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175F" w14:textId="67A25581" w:rsidR="00514C79" w:rsidRPr="000553A9" w:rsidRDefault="00514C79" w:rsidP="00514C79">
      <w:pPr>
        <w:widowControl/>
        <w:kinsoku/>
        <w:rPr>
          <w:b/>
          <w:i/>
          <w:caps/>
          <w:sz w:val="22"/>
          <w:szCs w:val="22"/>
          <w:lang w:val="es-419"/>
        </w:rPr>
      </w:pPr>
      <w:bookmarkStart w:id="0" w:name="_GoBack"/>
      <w:bookmarkEnd w:id="0"/>
      <w:r w:rsidRPr="000553A9">
        <w:rPr>
          <w:b/>
          <w:caps/>
          <w:sz w:val="22"/>
          <w:lang w:val="es-419"/>
        </w:rPr>
        <w:t>Nuevos ejemplos propuestos para el Anexo VI de la Norma ST.96</w:t>
      </w:r>
    </w:p>
    <w:p w14:paraId="1F543620" w14:textId="77777777" w:rsidR="00514C79" w:rsidRPr="000553A9" w:rsidRDefault="00514C79" w:rsidP="00D251E9">
      <w:pPr>
        <w:pStyle w:val="Heading3"/>
        <w:spacing w:before="0" w:after="120"/>
        <w:rPr>
          <w:i/>
          <w:sz w:val="22"/>
          <w:szCs w:val="22"/>
          <w:u w:val="none"/>
          <w:lang w:val="es-419" w:eastAsia="en-US"/>
        </w:rPr>
      </w:pPr>
    </w:p>
    <w:p w14:paraId="3FB0811F" w14:textId="315B86EE" w:rsidR="00D251E9" w:rsidRPr="000553A9" w:rsidRDefault="00D251E9" w:rsidP="00D251E9">
      <w:pPr>
        <w:pStyle w:val="Heading3"/>
        <w:spacing w:before="0" w:after="120"/>
        <w:rPr>
          <w:i/>
          <w:sz w:val="22"/>
          <w:szCs w:val="22"/>
          <w:u w:val="none"/>
          <w:lang w:val="es-419"/>
        </w:rPr>
      </w:pPr>
      <w:r w:rsidRPr="000553A9">
        <w:rPr>
          <w:i/>
          <w:sz w:val="22"/>
          <w:u w:val="none"/>
          <w:lang w:val="es-419"/>
        </w:rPr>
        <w:t>Párrafo 94 – Variante de secuencia divulgada como secuencia única con residuos alternativos enumerados</w:t>
      </w:r>
    </w:p>
    <w:p w14:paraId="71566829" w14:textId="77777777" w:rsidR="00D251E9" w:rsidRPr="000553A9" w:rsidRDefault="00D251E9" w:rsidP="00D251E9">
      <w:pPr>
        <w:widowControl/>
        <w:kinsoku/>
        <w:spacing w:after="170"/>
        <w:rPr>
          <w:rFonts w:eastAsiaTheme="minorEastAsia"/>
          <w:b/>
          <w:sz w:val="22"/>
          <w:szCs w:val="22"/>
          <w:lang w:val="es-419"/>
        </w:rPr>
      </w:pPr>
      <w:bookmarkStart w:id="1" w:name="page55"/>
      <w:r w:rsidRPr="000553A9">
        <w:rPr>
          <w:b/>
          <w:sz w:val="22"/>
          <w:lang w:val="es-419"/>
        </w:rPr>
        <w:t>Ejemplo 94-2: Representación de una secuencia única con aminoácidos alternativos enumerados que podrían ser aminoácidos modificados</w:t>
      </w:r>
    </w:p>
    <w:bookmarkEnd w:id="1"/>
    <w:p w14:paraId="1AE6EE4C" w14:textId="77777777" w:rsidR="00D251E9" w:rsidRPr="000553A9" w:rsidRDefault="00D251E9" w:rsidP="00D251E9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En una solicitud de patente se describe el polipéptido</w:t>
      </w:r>
    </w:p>
    <w:p w14:paraId="2850A7C3" w14:textId="77777777" w:rsidR="00D251E9" w:rsidRPr="000553A9" w:rsidRDefault="00D251E9" w:rsidP="00D251E9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Leu-Glu-Tyr-Cys-Leu-Lys-Arg-Trp-Xaa-Glu-Thr-Ile-Ser-His-Cys-Ala-Trp,</w:t>
      </w:r>
    </w:p>
    <w:p w14:paraId="3940A8A0" w14:textId="77777777" w:rsidR="00957D4E" w:rsidRPr="000553A9" w:rsidRDefault="00957D4E" w:rsidP="00D251E9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donde Xaa puede ser Ile, Ala, Phe, Tyr, aIle, MeIle o Nle.</w:t>
      </w:r>
    </w:p>
    <w:p w14:paraId="0091D23A" w14:textId="3DFCEB9F" w:rsidR="00D251E9" w:rsidRPr="000553A9" w:rsidRDefault="00D251E9" w:rsidP="00D251E9">
      <w:pPr>
        <w:widowControl/>
        <w:kinsoku/>
        <w:spacing w:after="170"/>
        <w:rPr>
          <w:rFonts w:eastAsiaTheme="minorEastAsia"/>
          <w:b/>
          <w:bCs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1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Exige la Norma ST.26 la inclusión de la secuencia o secuencias?</w:t>
      </w:r>
    </w:p>
    <w:p w14:paraId="753AB536" w14:textId="77777777" w:rsidR="00D251E9" w:rsidRPr="000553A9" w:rsidRDefault="00D251E9" w:rsidP="00D251E9">
      <w:pPr>
        <w:widowControl/>
        <w:kinsoku/>
        <w:spacing w:after="170" w:line="276" w:lineRule="auto"/>
        <w:ind w:left="720"/>
        <w:rPr>
          <w:rFonts w:eastAsiaTheme="minorEastAsia"/>
          <w:b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SÍ</w:t>
      </w:r>
    </w:p>
    <w:p w14:paraId="6846D705" w14:textId="6AC90892" w:rsidR="00D251E9" w:rsidRPr="000553A9" w:rsidRDefault="00D251E9" w:rsidP="00D251E9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shd w:val="clear" w:color="auto" w:fill="FFFFFF"/>
          <w:lang w:val="es-419"/>
        </w:rPr>
      </w:pPr>
      <w:r w:rsidRPr="000553A9">
        <w:rPr>
          <w:sz w:val="22"/>
          <w:shd w:val="clear" w:color="auto" w:fill="FFFFFF"/>
          <w:lang w:val="es-419"/>
        </w:rPr>
        <w:t>El péptido enumerado prevé 16 aminoácidos específicamente definidos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Por lo tanto, la secuencia debe incluirse en una lista de secuencias, en virtud del párrafo 7.b) de la Norma ST.26.</w:t>
      </w:r>
    </w:p>
    <w:p w14:paraId="00B3D0AF" w14:textId="22524BF7" w:rsidR="00D251E9" w:rsidRPr="000553A9" w:rsidRDefault="00D251E9" w:rsidP="00D251E9">
      <w:pPr>
        <w:widowControl/>
        <w:kinsoku/>
        <w:spacing w:after="170" w:line="276" w:lineRule="auto"/>
        <w:rPr>
          <w:rFonts w:eastAsiaTheme="minorEastAsia"/>
          <w:b/>
          <w:bCs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3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Cómo deberían representarse la secuencia o secuencias en la lista de secuencias?</w:t>
      </w:r>
    </w:p>
    <w:p w14:paraId="0D597257" w14:textId="5C7A3D34" w:rsidR="005B0528" w:rsidRPr="000553A9" w:rsidRDefault="005B0528" w:rsidP="005B0528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El símbolo de ambigüedad más restrictivo que puede abarcar “Ile, Ala, Phe, Tyr, aIle, MeIle o Nle” es “X”</w:t>
      </w:r>
      <w:r w:rsidR="00F016A9">
        <w:rPr>
          <w:sz w:val="22"/>
          <w:lang w:val="es-419"/>
        </w:rPr>
        <w:t xml:space="preserve">. </w:t>
      </w:r>
      <w:r w:rsidRPr="000553A9">
        <w:rPr>
          <w:sz w:val="22"/>
          <w:lang w:val="es-419"/>
        </w:rPr>
        <w:t>Por lo tanto, la secuencia debe incluirse en una lista de secuencias como</w:t>
      </w:r>
    </w:p>
    <w:p w14:paraId="3B841FE4" w14:textId="77777777" w:rsidR="00D251E9" w:rsidRPr="000553A9" w:rsidRDefault="005B0528" w:rsidP="005B0528">
      <w:pPr>
        <w:widowControl/>
        <w:kinsoku/>
        <w:spacing w:after="170" w:line="276" w:lineRule="auto"/>
        <w:ind w:firstLine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 xml:space="preserve">LEYCLKRWXETISHCAW </w:t>
      </w:r>
      <w:r w:rsidRPr="000553A9">
        <w:rPr>
          <w:color w:val="000000"/>
          <w:sz w:val="22"/>
          <w:lang w:val="es-419"/>
        </w:rPr>
        <w:t>(SEQ ID NO xx).</w:t>
      </w:r>
    </w:p>
    <w:p w14:paraId="56C83A37" w14:textId="43492BFA" w:rsidR="00B069CD" w:rsidRPr="000553A9" w:rsidRDefault="00C36C56" w:rsidP="00D251E9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shd w:val="clear" w:color="auto" w:fill="FFFFFF"/>
          <w:lang w:val="es-419"/>
        </w:rPr>
      </w:pPr>
      <w:r w:rsidRPr="000553A9">
        <w:rPr>
          <w:sz w:val="22"/>
          <w:shd w:val="clear" w:color="auto" w:fill="FFFFFF"/>
          <w:lang w:val="es-419"/>
        </w:rPr>
        <w:t>Según el párrafo 30 de la Norma ST.26, “un aminoácido modificado debe describirse más detalladamente en el cuadro de características”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Sin embargo, el párrafo 30 no exige que se utilice una clave de caracterización específica para describir los aminoácidos modificados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Si bien en el párrafo 30 se describe la utilización de las claves de caracterización “CARBOHYD”, “LIPID”, “MOD_RES” y “SITE”, estas son más adecuadas para las situaciones en las que los aminoácidos modificados no están en una lista de alternativas en relación con una localización específica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En este ejemplo, la clave de caracterización “VARIANT” satisface el requisito del párrafo 30, puesto que permite incluir todas las alternativas para el sitio de la variante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 xml:space="preserve">En consecuencia, para describir el sitio de la variante en la posición 9 debe utilizarse la clave de caracterización “VARIANT” con el calificador “note” y un valor calificador “Ile, Ala, Phe, Tyr, </w:t>
      </w:r>
      <w:r w:rsidRPr="000553A9">
        <w:rPr>
          <w:sz w:val="22"/>
          <w:lang w:val="es-419"/>
        </w:rPr>
        <w:t>aIle, MeIle o Nle”</w:t>
      </w:r>
      <w:r w:rsidR="00F016A9">
        <w:rPr>
          <w:sz w:val="22"/>
          <w:lang w:val="es-419"/>
        </w:rPr>
        <w:t xml:space="preserve">. </w:t>
      </w:r>
      <w:r w:rsidRPr="000553A9">
        <w:rPr>
          <w:sz w:val="22"/>
          <w:lang w:val="es-419"/>
        </w:rPr>
        <w:t>Puede utilizarse una segunda clave de caracterización, como “SITE” con el calificador “note”, para identificar en mayor medida los aminoácidos modificados hallados en la posición 9</w:t>
      </w:r>
      <w:r w:rsidR="00F016A9">
        <w:rPr>
          <w:sz w:val="22"/>
          <w:lang w:val="es-419"/>
        </w:rPr>
        <w:t xml:space="preserve">. </w:t>
      </w:r>
      <w:r w:rsidRPr="000553A9">
        <w:rPr>
          <w:sz w:val="22"/>
          <w:lang w:val="es-419"/>
        </w:rPr>
        <w:t xml:space="preserve"> </w:t>
      </w:r>
    </w:p>
    <w:p w14:paraId="5A6E43F8" w14:textId="1CE839C3" w:rsidR="00ED2F74" w:rsidRPr="000553A9" w:rsidRDefault="00D251E9" w:rsidP="00D251E9">
      <w:pPr>
        <w:widowControl/>
        <w:kinsoku/>
        <w:spacing w:after="170" w:line="276" w:lineRule="auto"/>
        <w:rPr>
          <w:rFonts w:eastAsiaTheme="minorEastAsia"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Párrafos de la Norma ST.26 aplicables</w:t>
      </w:r>
      <w:r w:rsidR="00F016A9">
        <w:rPr>
          <w:b/>
          <w:sz w:val="22"/>
          <w:lang w:val="es-419"/>
        </w:rPr>
        <w:t xml:space="preserve">: </w:t>
      </w:r>
      <w:r w:rsidRPr="000553A9">
        <w:rPr>
          <w:sz w:val="22"/>
          <w:lang w:val="es-419"/>
        </w:rPr>
        <w:t xml:space="preserve">3.a), 7.b), 27, 30, </w:t>
      </w:r>
      <w:r w:rsidRPr="000553A9">
        <w:rPr>
          <w:b/>
          <w:sz w:val="22"/>
          <w:lang w:val="es-419"/>
        </w:rPr>
        <w:t>94</w:t>
      </w:r>
      <w:r w:rsidRPr="000553A9">
        <w:rPr>
          <w:sz w:val="22"/>
          <w:lang w:val="es-419"/>
        </w:rPr>
        <w:t>, 96 y Anexo I, Sección 4, Cuadro 4.</w:t>
      </w:r>
    </w:p>
    <w:p w14:paraId="533261D3" w14:textId="77777777" w:rsidR="00ED2F74" w:rsidRPr="000553A9" w:rsidRDefault="00ED2F74" w:rsidP="00ED2F74">
      <w:pPr>
        <w:rPr>
          <w:sz w:val="22"/>
          <w:szCs w:val="22"/>
          <w:lang w:val="es-419"/>
        </w:rPr>
      </w:pPr>
      <w:r w:rsidRPr="000553A9">
        <w:rPr>
          <w:lang w:val="es-419"/>
        </w:rPr>
        <w:br w:type="page"/>
      </w:r>
    </w:p>
    <w:p w14:paraId="4EDFC899" w14:textId="77777777" w:rsidR="00ED2F74" w:rsidRPr="000553A9" w:rsidRDefault="00ED2F74" w:rsidP="00ED2F74">
      <w:pPr>
        <w:pStyle w:val="Heading3"/>
        <w:spacing w:before="0" w:after="120"/>
        <w:rPr>
          <w:i/>
          <w:sz w:val="22"/>
          <w:szCs w:val="22"/>
          <w:u w:val="none"/>
          <w:lang w:val="es-419"/>
        </w:rPr>
      </w:pPr>
      <w:r w:rsidRPr="000553A9">
        <w:rPr>
          <w:i/>
          <w:sz w:val="22"/>
          <w:u w:val="none"/>
          <w:lang w:val="es-419"/>
        </w:rPr>
        <w:lastRenderedPageBreak/>
        <w:t>Párrafo 30 – Anotación de un aminoácido modificado</w:t>
      </w:r>
    </w:p>
    <w:p w14:paraId="7A1F7377" w14:textId="77777777" w:rsidR="00ED2F74" w:rsidRPr="000553A9" w:rsidRDefault="00ED2F74" w:rsidP="00ED2F74">
      <w:pPr>
        <w:widowControl/>
        <w:kinsoku/>
        <w:spacing w:after="170"/>
        <w:rPr>
          <w:rFonts w:eastAsiaTheme="minorEastAsia"/>
          <w:b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Ejemplo 30-2: Aminoácidos modificados (modificación postraduccional)</w:t>
      </w:r>
    </w:p>
    <w:p w14:paraId="239D8CED" w14:textId="77777777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En una solicitud de patente se describe el polipéptido</w:t>
      </w:r>
    </w:p>
    <w:p w14:paraId="6E341AC4" w14:textId="77777777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Leu-Glu-Tyr-Cys-Leu-Lys-</w:t>
      </w:r>
      <w:r w:rsidRPr="000553A9">
        <w:rPr>
          <w:b/>
          <w:sz w:val="22"/>
          <w:lang w:val="es-419"/>
        </w:rPr>
        <w:t>Arg</w:t>
      </w:r>
      <w:r w:rsidRPr="000553A9">
        <w:rPr>
          <w:sz w:val="22"/>
          <w:lang w:val="es-419"/>
        </w:rPr>
        <w:t>-Trp-Glu-Thr-Ile-Ser-His,</w:t>
      </w:r>
    </w:p>
    <w:p w14:paraId="5FF3B3A8" w14:textId="5DF239BB" w:rsidR="00080F9B" w:rsidRPr="000553A9" w:rsidRDefault="00080F9B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en el que Arg, situado en la posición 7, puede deiminarse en citrulina mediante una modificación postraduccional.</w:t>
      </w:r>
    </w:p>
    <w:p w14:paraId="234027F3" w14:textId="0A27CF10" w:rsidR="00ED2F74" w:rsidRPr="000553A9" w:rsidRDefault="00ED2F74" w:rsidP="00ED2F74">
      <w:pPr>
        <w:widowControl/>
        <w:kinsoku/>
        <w:spacing w:after="170"/>
        <w:rPr>
          <w:rFonts w:eastAsiaTheme="minorEastAsia"/>
          <w:b/>
          <w:bCs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1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Exige la Norma ST.26 la inclusión de la secuencia o secuencias?</w:t>
      </w:r>
    </w:p>
    <w:p w14:paraId="6F4948AD" w14:textId="77777777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b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SÍ</w:t>
      </w:r>
    </w:p>
    <w:p w14:paraId="697605EA" w14:textId="6214B3DA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shd w:val="clear" w:color="auto" w:fill="FFFFFF"/>
          <w:lang w:val="es-419"/>
        </w:rPr>
      </w:pPr>
      <w:r w:rsidRPr="000553A9">
        <w:rPr>
          <w:sz w:val="22"/>
          <w:shd w:val="clear" w:color="auto" w:fill="FFFFFF"/>
          <w:lang w:val="es-419"/>
        </w:rPr>
        <w:t>El péptido enumerado prevé 13 aminoácidos específicamente definidos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Por lo tanto, la secuencia debe incluirse en una lista de secuencias, según lo exige el párrafo 7.b) de la Norma ST.26.</w:t>
      </w:r>
    </w:p>
    <w:p w14:paraId="6FCDBF97" w14:textId="7C5605E9" w:rsidR="00ED2F74" w:rsidRPr="000553A9" w:rsidRDefault="00ED2F74" w:rsidP="00ED2F74">
      <w:pPr>
        <w:widowControl/>
        <w:kinsoku/>
        <w:spacing w:after="170" w:line="276" w:lineRule="auto"/>
        <w:rPr>
          <w:rFonts w:eastAsiaTheme="minorEastAsia"/>
          <w:b/>
          <w:bCs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3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Cómo deberían representarse la secuencia o secuencias en la lista de secuencias?</w:t>
      </w:r>
    </w:p>
    <w:p w14:paraId="433BFF0A" w14:textId="17EA56D6" w:rsidR="00ED2F74" w:rsidRPr="000553A9" w:rsidRDefault="00ED2F74" w:rsidP="00ED2F74">
      <w:pPr>
        <w:widowControl/>
        <w:kinsoku/>
        <w:spacing w:after="170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Con arreglo al párrafo 29 de la Norma ST.26, un aminoácido modificado debería representarse en la secuencia como el correspondiente aminoácido no modificado, cuando sea posible</w:t>
      </w:r>
      <w:r w:rsidR="00F016A9">
        <w:rPr>
          <w:sz w:val="22"/>
          <w:lang w:val="es-419"/>
        </w:rPr>
        <w:t xml:space="preserve">. </w:t>
      </w:r>
    </w:p>
    <w:p w14:paraId="6FB3EDC9" w14:textId="77777777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Por lo tanto, la secuencia debería incluirse en una lista de secuencias como</w:t>
      </w:r>
    </w:p>
    <w:p w14:paraId="64B618FA" w14:textId="77777777" w:rsidR="00ED2F74" w:rsidRPr="000553A9" w:rsidRDefault="003F6102" w:rsidP="00ED2F74">
      <w:pPr>
        <w:widowControl/>
        <w:kinsoku/>
        <w:spacing w:after="170" w:line="276" w:lineRule="auto"/>
        <w:ind w:left="720"/>
        <w:rPr>
          <w:rFonts w:eastAsiaTheme="minorEastAsia"/>
          <w:iCs/>
          <w:color w:val="000000"/>
          <w:sz w:val="22"/>
          <w:szCs w:val="22"/>
          <w:lang w:val="es-419"/>
        </w:rPr>
      </w:pPr>
      <w:r w:rsidRPr="000553A9">
        <w:rPr>
          <w:sz w:val="22"/>
          <w:lang w:val="es-419"/>
        </w:rPr>
        <w:t xml:space="preserve">LEYCLKRWETISH </w:t>
      </w:r>
      <w:r w:rsidRPr="000553A9">
        <w:rPr>
          <w:color w:val="000000"/>
          <w:sz w:val="22"/>
          <w:lang w:val="es-419"/>
        </w:rPr>
        <w:t>(SEQ ID NO xx),</w:t>
      </w:r>
    </w:p>
    <w:p w14:paraId="38E90A75" w14:textId="309D9513" w:rsidR="007607BD" w:rsidRPr="000553A9" w:rsidRDefault="007607BD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donde se utiliza el símbolo “R” para representar la arginina en la posición 7.</w:t>
      </w:r>
    </w:p>
    <w:p w14:paraId="5F4309F6" w14:textId="0A137849" w:rsidR="00ED2F74" w:rsidRPr="000553A9" w:rsidRDefault="00ED2F74" w:rsidP="00ED2F74">
      <w:pPr>
        <w:widowControl/>
        <w:kinsoku/>
        <w:spacing w:after="170" w:line="276" w:lineRule="auto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shd w:val="clear" w:color="auto" w:fill="FFFFFF"/>
          <w:lang w:val="es-419"/>
        </w:rPr>
        <w:t>Es necesario añadir una descripción en la que se indique que la arginina en la posición 7 puede convertirse en citrulina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La modificación de la arginina para convertirla en citrulina es una modificación postraduccional</w:t>
      </w:r>
      <w:r w:rsidR="00F016A9">
        <w:rPr>
          <w:sz w:val="22"/>
          <w:shd w:val="clear" w:color="auto" w:fill="FFFFFF"/>
          <w:lang w:val="es-419"/>
        </w:rPr>
        <w:t xml:space="preserve">. </w:t>
      </w:r>
      <w:r w:rsidRPr="000553A9">
        <w:rPr>
          <w:sz w:val="22"/>
          <w:shd w:val="clear" w:color="auto" w:fill="FFFFFF"/>
          <w:lang w:val="es-419"/>
        </w:rPr>
        <w:t>Por consiguiente, la</w:t>
      </w:r>
      <w:r w:rsidRPr="000553A9">
        <w:rPr>
          <w:sz w:val="22"/>
          <w:lang w:val="es-419"/>
        </w:rPr>
        <w:t xml:space="preserve"> clave de caracterización “MOD_RES” debe utilizarse junto con el calificador obligatorio “</w:t>
      </w:r>
      <w:r w:rsidRPr="000553A9">
        <w:rPr>
          <w:sz w:val="22"/>
          <w:shd w:val="clear" w:color="auto" w:fill="FFFFFF"/>
          <w:lang w:val="es-419"/>
        </w:rPr>
        <w:t>note</w:t>
      </w:r>
      <w:r w:rsidRPr="000553A9">
        <w:rPr>
          <w:sz w:val="22"/>
          <w:lang w:val="es-419"/>
        </w:rPr>
        <w:t>” para indicar que la arginina debe deiminarse para formar la citrulina</w:t>
      </w:r>
      <w:r w:rsidR="00F016A9">
        <w:rPr>
          <w:sz w:val="22"/>
          <w:lang w:val="es-419"/>
        </w:rPr>
        <w:t xml:space="preserve">. </w:t>
      </w:r>
      <w:r w:rsidRPr="000553A9">
        <w:rPr>
          <w:sz w:val="22"/>
          <w:lang w:val="es-419"/>
        </w:rPr>
        <w:t>El descriptor de localización en el elemento “localización de característica” es el número de posición de la arginina modificada.</w:t>
      </w:r>
    </w:p>
    <w:p w14:paraId="29E20BF1" w14:textId="475D38C8" w:rsidR="00357C1E" w:rsidRPr="000553A9" w:rsidRDefault="00ED2F74" w:rsidP="00ED2F74">
      <w:pPr>
        <w:widowControl/>
        <w:kinsoku/>
        <w:spacing w:after="170" w:line="276" w:lineRule="auto"/>
        <w:rPr>
          <w:rFonts w:eastAsiaTheme="minorEastAsia"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Párrafos de la Norma ST.26 aplicables</w:t>
      </w:r>
      <w:r w:rsidR="00F016A9">
        <w:rPr>
          <w:b/>
          <w:sz w:val="22"/>
          <w:lang w:val="es-419"/>
        </w:rPr>
        <w:t xml:space="preserve">: </w:t>
      </w:r>
      <w:r w:rsidRPr="000553A9">
        <w:rPr>
          <w:sz w:val="22"/>
          <w:lang w:val="es-419"/>
        </w:rPr>
        <w:t xml:space="preserve">3.a), 7.b), </w:t>
      </w:r>
      <w:r w:rsidRPr="000553A9">
        <w:rPr>
          <w:b/>
          <w:sz w:val="22"/>
          <w:lang w:val="es-419"/>
        </w:rPr>
        <w:t>30</w:t>
      </w:r>
      <w:r w:rsidRPr="000553A9">
        <w:rPr>
          <w:sz w:val="22"/>
          <w:lang w:val="es-419"/>
        </w:rPr>
        <w:t xml:space="preserve"> y Anexo I, Sección 7, clave de caracterización 7.18.</w:t>
      </w:r>
    </w:p>
    <w:p w14:paraId="5FF0F3C4" w14:textId="77777777" w:rsidR="00357C1E" w:rsidRPr="000553A9" w:rsidRDefault="00357C1E" w:rsidP="00357C1E">
      <w:pPr>
        <w:rPr>
          <w:sz w:val="22"/>
          <w:szCs w:val="22"/>
          <w:lang w:val="es-419"/>
        </w:rPr>
      </w:pPr>
      <w:r w:rsidRPr="000553A9">
        <w:rPr>
          <w:lang w:val="es-419"/>
        </w:rPr>
        <w:br w:type="page"/>
      </w:r>
    </w:p>
    <w:p w14:paraId="39C49087" w14:textId="77777777" w:rsidR="00357C1E" w:rsidRPr="000553A9" w:rsidRDefault="00357C1E" w:rsidP="00357C1E">
      <w:pPr>
        <w:pStyle w:val="Heading3"/>
        <w:spacing w:before="0" w:after="120"/>
        <w:rPr>
          <w:i/>
          <w:sz w:val="22"/>
          <w:szCs w:val="22"/>
          <w:u w:val="none"/>
          <w:lang w:val="es-419"/>
        </w:rPr>
      </w:pPr>
      <w:bookmarkStart w:id="2" w:name="_Toc53737930"/>
      <w:r w:rsidRPr="000553A9">
        <w:rPr>
          <w:i/>
          <w:sz w:val="22"/>
          <w:u w:val="none"/>
          <w:lang w:val="es-419"/>
        </w:rPr>
        <w:lastRenderedPageBreak/>
        <w:t xml:space="preserve">Párrafo 12 – secuencia de nucleótidos circular </w:t>
      </w:r>
      <w:bookmarkEnd w:id="2"/>
    </w:p>
    <w:p w14:paraId="44E95B37" w14:textId="315A0A97" w:rsidR="00357C1E" w:rsidRPr="000553A9" w:rsidRDefault="00357C1E" w:rsidP="00357C1E">
      <w:pPr>
        <w:widowControl/>
        <w:kinsoku/>
        <w:spacing w:after="170"/>
        <w:rPr>
          <w:rFonts w:eastAsiaTheme="minorEastAsia"/>
          <w:b/>
          <w:sz w:val="22"/>
          <w:szCs w:val="22"/>
          <w:lang w:val="es-419"/>
        </w:rPr>
      </w:pPr>
      <w:bookmarkStart w:id="3" w:name="page38"/>
      <w:bookmarkStart w:id="4" w:name="page44"/>
      <w:bookmarkEnd w:id="3"/>
      <w:r w:rsidRPr="000553A9">
        <w:rPr>
          <w:b/>
          <w:sz w:val="22"/>
          <w:lang w:val="es-419"/>
        </w:rPr>
        <w:t>Ejemplo 12-1</w:t>
      </w:r>
      <w:r w:rsidR="00F016A9">
        <w:rPr>
          <w:b/>
          <w:sz w:val="22"/>
          <w:lang w:val="es-419"/>
        </w:rPr>
        <w:t xml:space="preserve">: </w:t>
      </w:r>
      <w:r w:rsidRPr="000553A9">
        <w:rPr>
          <w:b/>
          <w:sz w:val="22"/>
          <w:lang w:val="es-419"/>
        </w:rPr>
        <w:t>Secuencia de nucleótidos circular</w:t>
      </w:r>
    </w:p>
    <w:bookmarkEnd w:id="4"/>
    <w:p w14:paraId="475D3475" w14:textId="77777777" w:rsidR="00357C1E" w:rsidRPr="000553A9" w:rsidRDefault="00357C1E" w:rsidP="00357C1E">
      <w:pPr>
        <w:widowControl/>
        <w:kinsoku/>
        <w:spacing w:after="170"/>
        <w:ind w:left="709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Una solicitud de patente contiene la figura siguiente, en la que se divulga la secuencia de ADN del plásmido pCIRC1:</w:t>
      </w:r>
    </w:p>
    <w:p w14:paraId="5DB2406C" w14:textId="77777777" w:rsidR="00AF073A" w:rsidRPr="000553A9" w:rsidRDefault="008121A9" w:rsidP="008121A9">
      <w:pPr>
        <w:widowControl/>
        <w:kinsoku/>
        <w:spacing w:after="170"/>
        <w:ind w:left="-360" w:firstLine="90"/>
        <w:rPr>
          <w:rFonts w:eastAsiaTheme="minorEastAsia"/>
          <w:sz w:val="22"/>
          <w:szCs w:val="22"/>
          <w:lang w:val="es-419"/>
        </w:rPr>
      </w:pPr>
      <w:r w:rsidRPr="000553A9">
        <w:rPr>
          <w:noProof/>
          <w:sz w:val="22"/>
          <w:lang w:val="en-US"/>
        </w:rPr>
        <w:drawing>
          <wp:inline distT="0" distB="0" distL="0" distR="0" wp14:anchorId="386485FD" wp14:editId="037509F7">
            <wp:extent cx="6169661" cy="1046074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550" cy="10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59DC" w14:textId="77777777" w:rsidR="00357C1E" w:rsidRPr="000553A9" w:rsidRDefault="00357C1E" w:rsidP="00357C1E">
      <w:pPr>
        <w:widowControl/>
        <w:kinsoku/>
        <w:spacing w:after="170"/>
        <w:rPr>
          <w:rFonts w:eastAsiaTheme="minorEastAsia" w:cs="Times New Roman"/>
          <w:sz w:val="22"/>
          <w:szCs w:val="22"/>
          <w:lang w:val="es-419"/>
        </w:rPr>
      </w:pPr>
      <w:r w:rsidRPr="000553A9">
        <w:rPr>
          <w:rFonts w:ascii="Courier New" w:hAnsi="Courier New"/>
          <w:sz w:val="22"/>
          <w:lang w:val="es-419"/>
        </w:rPr>
        <w:t xml:space="preserve">      </w:t>
      </w:r>
    </w:p>
    <w:p w14:paraId="30AA129B" w14:textId="308BDBDC" w:rsidR="00357C1E" w:rsidRPr="000553A9" w:rsidRDefault="00357C1E" w:rsidP="00357C1E">
      <w:pPr>
        <w:widowControl/>
        <w:kinsoku/>
        <w:spacing w:after="170"/>
        <w:rPr>
          <w:rFonts w:eastAsiaTheme="minorEastAsia"/>
          <w:b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1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Exige la Norma ST.26 la inclusión de la secuencia o secuencias?</w:t>
      </w:r>
    </w:p>
    <w:p w14:paraId="07989B4E" w14:textId="77777777" w:rsidR="00357C1E" w:rsidRPr="000553A9" w:rsidRDefault="00357C1E" w:rsidP="00357C1E">
      <w:pPr>
        <w:widowControl/>
        <w:tabs>
          <w:tab w:val="left" w:pos="720"/>
        </w:tabs>
        <w:kinsoku/>
        <w:spacing w:after="170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 xml:space="preserve">SÍ </w:t>
      </w:r>
    </w:p>
    <w:p w14:paraId="048AAE65" w14:textId="77777777" w:rsidR="00357C1E" w:rsidRPr="000553A9" w:rsidRDefault="00D735F5" w:rsidP="00357C1E">
      <w:pPr>
        <w:widowControl/>
        <w:tabs>
          <w:tab w:val="left" w:pos="720"/>
        </w:tabs>
        <w:kinsoku/>
        <w:spacing w:after="170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 xml:space="preserve">La secuencia de nucleótidos enumerada tiene más de diez nucleótidos específicamente definidos. </w:t>
      </w:r>
      <w:r w:rsidRPr="000553A9">
        <w:rPr>
          <w:sz w:val="22"/>
          <w:shd w:val="clear" w:color="auto" w:fill="FFFFFF"/>
          <w:lang w:val="es-419"/>
        </w:rPr>
        <w:t>Por lo tanto, la secuencia debe incluirse en una lista de secuencias, en virtud del párrafo 7.a) de la Norma ST.26.</w:t>
      </w:r>
      <w:r w:rsidRPr="000553A9">
        <w:rPr>
          <w:sz w:val="22"/>
          <w:lang w:val="es-419"/>
        </w:rPr>
        <w:t xml:space="preserve"> </w:t>
      </w:r>
    </w:p>
    <w:p w14:paraId="57510EDD" w14:textId="70A87371" w:rsidR="00357C1E" w:rsidRPr="000553A9" w:rsidRDefault="00357C1E" w:rsidP="00357C1E">
      <w:pPr>
        <w:widowControl/>
        <w:kinsoku/>
        <w:spacing w:after="170"/>
        <w:rPr>
          <w:rFonts w:eastAsiaTheme="minorEastAsia"/>
          <w:b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Pregunta 3</w:t>
      </w:r>
      <w:r w:rsidR="000553A9" w:rsidRPr="000553A9">
        <w:rPr>
          <w:b/>
          <w:sz w:val="22"/>
          <w:lang w:val="es-419"/>
        </w:rPr>
        <w:t>: ¿</w:t>
      </w:r>
      <w:r w:rsidRPr="000553A9">
        <w:rPr>
          <w:b/>
          <w:sz w:val="22"/>
          <w:lang w:val="es-419"/>
        </w:rPr>
        <w:t>Cómo deberían representarse la secuencia o secuencias en la lista de secuencias?</w:t>
      </w:r>
    </w:p>
    <w:p w14:paraId="5BB41AA3" w14:textId="534C3EBB" w:rsidR="00AF2F86" w:rsidRPr="000553A9" w:rsidRDefault="00AF2F86" w:rsidP="00357C1E">
      <w:pPr>
        <w:widowControl/>
        <w:kinsoku/>
        <w:spacing w:after="170"/>
        <w:ind w:left="720"/>
        <w:rPr>
          <w:rFonts w:eastAsiaTheme="minorEastAsia"/>
          <w:sz w:val="22"/>
          <w:szCs w:val="22"/>
          <w:lang w:val="es-419"/>
        </w:rPr>
      </w:pPr>
      <w:r w:rsidRPr="000553A9">
        <w:rPr>
          <w:sz w:val="22"/>
          <w:lang w:val="es-419"/>
        </w:rPr>
        <w:t>De conformidad con el párrafo 12 de la Norma ST.26, cuando las secuencias de nucleótidos tengan una configuración circular, el solicitante deberá escoger el nucleótido del residuo de la posición número 1</w:t>
      </w:r>
      <w:r w:rsidR="00F016A9">
        <w:rPr>
          <w:sz w:val="22"/>
          <w:lang w:val="es-419"/>
        </w:rPr>
        <w:t xml:space="preserve">. </w:t>
      </w:r>
      <w:r w:rsidRPr="000553A9">
        <w:rPr>
          <w:color w:val="000000"/>
          <w:sz w:val="22"/>
          <w:lang w:val="es-419"/>
        </w:rPr>
        <w:t>A los efectos del presente ejemplo, el residuo “a” representado por la flecha en la figura se utiliza como posición 1</w:t>
      </w:r>
      <w:r w:rsidR="00F016A9">
        <w:rPr>
          <w:color w:val="000000"/>
          <w:sz w:val="22"/>
          <w:lang w:val="es-419"/>
        </w:rPr>
        <w:t xml:space="preserve">. </w:t>
      </w:r>
      <w:r w:rsidRPr="000553A9">
        <w:rPr>
          <w:color w:val="000000"/>
          <w:sz w:val="22"/>
          <w:lang w:val="es-419"/>
        </w:rPr>
        <w:t>Sin embargo, puede escogerse cualquier residuo para señalar la posición 1</w:t>
      </w:r>
      <w:r w:rsidR="00F016A9">
        <w:rPr>
          <w:color w:val="000000"/>
          <w:sz w:val="22"/>
          <w:lang w:val="es-419"/>
        </w:rPr>
        <w:t xml:space="preserve">. </w:t>
      </w:r>
      <w:r w:rsidRPr="000553A9">
        <w:rPr>
          <w:sz w:val="22"/>
          <w:lang w:val="es-419"/>
        </w:rPr>
        <w:t>Con el residuo indicado por la flecha en la posición 1, la secuencia debería incluirse en una lista de secuencias como:</w:t>
      </w:r>
    </w:p>
    <w:p w14:paraId="276EBDB4" w14:textId="77777777" w:rsidR="00357C1E" w:rsidRPr="000553A9" w:rsidRDefault="00AF2F86" w:rsidP="009214C9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iCs/>
          <w:color w:val="000000"/>
          <w:sz w:val="22"/>
          <w:szCs w:val="22"/>
          <w:lang w:val="es-419"/>
        </w:rPr>
      </w:pPr>
      <w:r w:rsidRPr="000553A9">
        <w:rPr>
          <w:rFonts w:ascii="Arial" w:hAnsi="Arial"/>
          <w:color w:val="000000" w:themeColor="text1"/>
          <w:sz w:val="22"/>
          <w:lang w:val="es-419"/>
        </w:rPr>
        <w:t xml:space="preserve">atggataatgaagaagttaacgaagaatgtatgagattatttttcaagaacgctcgtgcgcatctggataaacatctaacatcaaggttgacatgcgatgaaaatgaaaatgcatatatcacgttcagatgcttcctggatggaatacatcgcaaatctactaggtttctcgaagagctacttttgaaacaagaaaatatgtaccaccaatg  </w:t>
      </w:r>
      <w:r w:rsidRPr="000553A9">
        <w:rPr>
          <w:rFonts w:ascii="Arial" w:hAnsi="Arial"/>
          <w:color w:val="000000"/>
          <w:sz w:val="22"/>
          <w:lang w:val="es-419"/>
        </w:rPr>
        <w:t>(SEQ ID NO xx)</w:t>
      </w:r>
    </w:p>
    <w:p w14:paraId="5E7057BD" w14:textId="77777777" w:rsidR="00702567" w:rsidRPr="000553A9" w:rsidRDefault="00702567" w:rsidP="009214C9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iCs/>
          <w:color w:val="000000"/>
          <w:sz w:val="22"/>
          <w:szCs w:val="22"/>
          <w:lang w:val="es-419"/>
        </w:rPr>
      </w:pPr>
    </w:p>
    <w:p w14:paraId="16E2D417" w14:textId="7F948E02" w:rsidR="00702567" w:rsidRPr="000553A9" w:rsidRDefault="00702567" w:rsidP="009214C9">
      <w:pPr>
        <w:pStyle w:val="NormalWeb"/>
        <w:spacing w:before="0" w:beforeAutospacing="0" w:after="0" w:afterAutospacing="0"/>
        <w:ind w:left="720"/>
        <w:rPr>
          <w:rFonts w:ascii="Arial" w:eastAsiaTheme="minorEastAsia" w:hAnsi="Arial" w:cs="Arial"/>
          <w:iCs/>
          <w:color w:val="000000"/>
          <w:sz w:val="22"/>
          <w:szCs w:val="22"/>
          <w:lang w:val="es-419"/>
        </w:rPr>
      </w:pPr>
      <w:r w:rsidRPr="000553A9">
        <w:rPr>
          <w:rFonts w:ascii="Arial" w:hAnsi="Arial"/>
          <w:color w:val="000000"/>
          <w:sz w:val="22"/>
          <w:lang w:val="es-419"/>
        </w:rPr>
        <w:t>La secuencia debería describirse más detalladamente mediante la clave de caracterización “misc_feature” con una localización de “212^1”, que señala que el último residuo de la secuencia, en la posición 212, está vinculada con el residuo 1</w:t>
      </w:r>
      <w:r w:rsidR="00F016A9">
        <w:rPr>
          <w:rFonts w:ascii="Arial" w:hAnsi="Arial"/>
          <w:color w:val="000000"/>
          <w:sz w:val="22"/>
          <w:lang w:val="es-419"/>
        </w:rPr>
        <w:t xml:space="preserve">. </w:t>
      </w:r>
      <w:r w:rsidRPr="000553A9">
        <w:rPr>
          <w:rFonts w:ascii="Arial" w:hAnsi="Arial"/>
          <w:color w:val="000000"/>
          <w:sz w:val="22"/>
          <w:lang w:val="es-419"/>
        </w:rPr>
        <w:t>Debe incluirse un calificador “note” con un valor que señale que la molécula es circular.</w:t>
      </w:r>
    </w:p>
    <w:p w14:paraId="16EF3573" w14:textId="77777777" w:rsidR="009214C9" w:rsidRPr="000553A9" w:rsidRDefault="009214C9" w:rsidP="009214C9">
      <w:pPr>
        <w:pStyle w:val="NormalWeb"/>
        <w:spacing w:before="0" w:beforeAutospacing="0" w:after="0" w:afterAutospacing="0"/>
        <w:ind w:left="720"/>
        <w:rPr>
          <w:rFonts w:ascii="Courier New" w:eastAsiaTheme="minorEastAsia" w:hAnsi="Courier New" w:cs="Courier New"/>
          <w:color w:val="000000" w:themeColor="text1"/>
          <w:kern w:val="24"/>
          <w:sz w:val="22"/>
          <w:szCs w:val="22"/>
          <w:lang w:val="es-419"/>
        </w:rPr>
      </w:pPr>
    </w:p>
    <w:p w14:paraId="174B0431" w14:textId="6E25CD44" w:rsidR="00ED2F74" w:rsidRPr="000553A9" w:rsidRDefault="00357C1E" w:rsidP="00ED2F74">
      <w:pPr>
        <w:widowControl/>
        <w:kinsoku/>
        <w:spacing w:after="170" w:line="276" w:lineRule="auto"/>
        <w:rPr>
          <w:rFonts w:eastAsiaTheme="minorEastAsia"/>
          <w:sz w:val="22"/>
          <w:szCs w:val="22"/>
          <w:lang w:val="es-419"/>
        </w:rPr>
      </w:pPr>
      <w:r w:rsidRPr="000553A9">
        <w:rPr>
          <w:b/>
          <w:sz w:val="22"/>
          <w:lang w:val="es-419"/>
        </w:rPr>
        <w:t>Párrafos de la Norma ST.26 aplicables</w:t>
      </w:r>
      <w:r w:rsidR="00F016A9">
        <w:rPr>
          <w:b/>
          <w:sz w:val="22"/>
          <w:lang w:val="es-419"/>
        </w:rPr>
        <w:t xml:space="preserve">: </w:t>
      </w:r>
      <w:r w:rsidRPr="000553A9">
        <w:rPr>
          <w:sz w:val="22"/>
          <w:lang w:val="es-419"/>
        </w:rPr>
        <w:t xml:space="preserve">7.a), </w:t>
      </w:r>
      <w:r w:rsidRPr="000553A9">
        <w:rPr>
          <w:b/>
          <w:sz w:val="22"/>
          <w:lang w:val="es-419"/>
        </w:rPr>
        <w:t>12</w:t>
      </w:r>
      <w:r w:rsidRPr="000553A9">
        <w:rPr>
          <w:sz w:val="22"/>
          <w:lang w:val="es-419"/>
        </w:rPr>
        <w:t xml:space="preserve"> y Anexo I, Sección 5, clave de caracterización 5.15.</w:t>
      </w:r>
    </w:p>
    <w:p w14:paraId="33EC8ECA" w14:textId="77777777" w:rsidR="00D251E9" w:rsidRPr="000553A9" w:rsidRDefault="00D251E9" w:rsidP="00D251E9">
      <w:pPr>
        <w:widowControl/>
        <w:kinsoku/>
        <w:spacing w:after="170" w:line="276" w:lineRule="auto"/>
        <w:rPr>
          <w:rFonts w:eastAsiaTheme="minorEastAsia"/>
          <w:b/>
          <w:bCs/>
          <w:sz w:val="22"/>
          <w:szCs w:val="22"/>
          <w:lang w:val="es-419" w:eastAsia="de-DE"/>
        </w:rPr>
      </w:pPr>
    </w:p>
    <w:p w14:paraId="152E9DB3" w14:textId="5ABDD9E3" w:rsidR="000A38CB" w:rsidRPr="000553A9" w:rsidRDefault="00AE54E9" w:rsidP="00AE54E9">
      <w:pPr>
        <w:jc w:val="right"/>
        <w:rPr>
          <w:sz w:val="22"/>
          <w:szCs w:val="22"/>
          <w:lang w:val="es-419"/>
        </w:rPr>
      </w:pPr>
      <w:r w:rsidRPr="000553A9">
        <w:rPr>
          <w:sz w:val="22"/>
          <w:lang w:val="es-419"/>
        </w:rPr>
        <w:t>[Sigue el Anexo II (Apéndice del Anexo VI)]</w:t>
      </w:r>
    </w:p>
    <w:sectPr w:rsidR="000A38CB" w:rsidRPr="000553A9" w:rsidSect="00514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10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3E863" w14:textId="77777777" w:rsidR="00CD3C6B" w:rsidRDefault="00CD3C6B" w:rsidP="00AE54E9">
      <w:r>
        <w:separator/>
      </w:r>
    </w:p>
  </w:endnote>
  <w:endnote w:type="continuationSeparator" w:id="0">
    <w:p w14:paraId="78D3FEA5" w14:textId="77777777" w:rsidR="00CD3C6B" w:rsidRDefault="00CD3C6B" w:rsidP="00A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51C8A" w14:textId="77777777" w:rsidR="00912C35" w:rsidRDefault="00912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A15F" w14:textId="77777777" w:rsidR="00912C35" w:rsidRDefault="00912C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2D35E" w14:textId="77777777" w:rsidR="00912C35" w:rsidRDefault="00912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4A98" w14:textId="77777777" w:rsidR="00CD3C6B" w:rsidRDefault="00CD3C6B" w:rsidP="00AE54E9">
      <w:r>
        <w:separator/>
      </w:r>
    </w:p>
  </w:footnote>
  <w:footnote w:type="continuationSeparator" w:id="0">
    <w:p w14:paraId="2DB5E327" w14:textId="77777777" w:rsidR="00CD3C6B" w:rsidRDefault="00CD3C6B" w:rsidP="00AE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9D47" w14:textId="51B596A1" w:rsidR="00514C79" w:rsidRPr="00514C79" w:rsidRDefault="00514C79" w:rsidP="00514C79">
    <w:pPr>
      <w:pStyle w:val="Header"/>
      <w:jc w:val="right"/>
      <w:rPr>
        <w:sz w:val="22"/>
        <w:szCs w:val="22"/>
      </w:rPr>
    </w:pPr>
    <w:r>
      <w:rPr>
        <w:sz w:val="22"/>
      </w:rPr>
      <w:t>CWS/10/13</w:t>
    </w:r>
  </w:p>
  <w:p w14:paraId="7C869A35" w14:textId="0EC9F7F2" w:rsidR="00AE54E9" w:rsidRPr="00514C79" w:rsidRDefault="00514C79" w:rsidP="00514C79">
    <w:pPr>
      <w:pStyle w:val="Header"/>
      <w:spacing w:after="360"/>
      <w:jc w:val="right"/>
      <w:rPr>
        <w:sz w:val="22"/>
        <w:szCs w:val="22"/>
      </w:rPr>
    </w:pPr>
    <w:r>
      <w:rPr>
        <w:sz w:val="22"/>
      </w:rPr>
      <w:t xml:space="preserve">Anexo I, página </w:t>
    </w:r>
    <w:r w:rsidRPr="00514C79">
      <w:rPr>
        <w:sz w:val="22"/>
      </w:rPr>
      <w:fldChar w:fldCharType="begin"/>
    </w:r>
    <w:r w:rsidRPr="00514C79">
      <w:rPr>
        <w:sz w:val="22"/>
      </w:rPr>
      <w:instrText xml:space="preserve"> PAGE  \* MERGEFORMAT </w:instrText>
    </w:r>
    <w:r w:rsidRPr="00514C79">
      <w:rPr>
        <w:sz w:val="22"/>
      </w:rPr>
      <w:fldChar w:fldCharType="separate"/>
    </w:r>
    <w:r w:rsidR="00912C35">
      <w:rPr>
        <w:noProof/>
        <w:sz w:val="22"/>
      </w:rPr>
      <w:t>2</w:t>
    </w:r>
    <w:r w:rsidRPr="00514C79"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56CE" w14:textId="77777777" w:rsidR="00514C79" w:rsidRPr="00514C79" w:rsidRDefault="00514C79" w:rsidP="00514C79">
    <w:pPr>
      <w:pStyle w:val="Header"/>
      <w:jc w:val="right"/>
      <w:rPr>
        <w:sz w:val="22"/>
        <w:szCs w:val="22"/>
      </w:rPr>
    </w:pPr>
    <w:r>
      <w:rPr>
        <w:sz w:val="22"/>
      </w:rPr>
      <w:t>CWS/10/13</w:t>
    </w:r>
  </w:p>
  <w:p w14:paraId="4A6064DB" w14:textId="0AC28A1F" w:rsidR="00AE54E9" w:rsidRPr="00514C79" w:rsidRDefault="00514C79" w:rsidP="00514C79">
    <w:pPr>
      <w:pStyle w:val="Header"/>
      <w:spacing w:after="360"/>
      <w:jc w:val="right"/>
      <w:rPr>
        <w:sz w:val="22"/>
        <w:szCs w:val="22"/>
      </w:rPr>
    </w:pPr>
    <w:r>
      <w:rPr>
        <w:sz w:val="22"/>
      </w:rPr>
      <w:t xml:space="preserve">Anexo I, página </w:t>
    </w:r>
    <w:r w:rsidRPr="00514C79">
      <w:rPr>
        <w:sz w:val="22"/>
      </w:rPr>
      <w:fldChar w:fldCharType="begin"/>
    </w:r>
    <w:r w:rsidRPr="00514C79">
      <w:rPr>
        <w:sz w:val="22"/>
      </w:rPr>
      <w:instrText xml:space="preserve"> PAGE  \* MERGEFORMAT </w:instrText>
    </w:r>
    <w:r w:rsidRPr="00514C79">
      <w:rPr>
        <w:sz w:val="22"/>
      </w:rPr>
      <w:fldChar w:fldCharType="separate"/>
    </w:r>
    <w:r w:rsidR="00912C35">
      <w:rPr>
        <w:noProof/>
        <w:sz w:val="22"/>
      </w:rPr>
      <w:t>3</w:t>
    </w:r>
    <w:r w:rsidRPr="00514C79"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4B37" w14:textId="422DEDA8" w:rsidR="00514C79" w:rsidRPr="00514C79" w:rsidRDefault="00514C79" w:rsidP="00514C79">
    <w:pPr>
      <w:pStyle w:val="Header"/>
      <w:jc w:val="right"/>
      <w:rPr>
        <w:sz w:val="22"/>
        <w:szCs w:val="22"/>
      </w:rPr>
    </w:pPr>
    <w:r>
      <w:rPr>
        <w:sz w:val="22"/>
      </w:rPr>
      <w:t>CWS/10/13</w:t>
    </w:r>
  </w:p>
  <w:p w14:paraId="6DA24E0D" w14:textId="5DF82EDF" w:rsidR="00514C79" w:rsidRPr="00514C79" w:rsidRDefault="00514C79" w:rsidP="00514C79">
    <w:pPr>
      <w:pStyle w:val="Header"/>
      <w:jc w:val="right"/>
      <w:rPr>
        <w:sz w:val="22"/>
        <w:szCs w:val="22"/>
      </w:rPr>
    </w:pPr>
    <w:r>
      <w:rPr>
        <w:sz w:val="22"/>
      </w:rPr>
      <w:t>Anexo I</w:t>
    </w:r>
  </w:p>
  <w:p w14:paraId="7628D7B4" w14:textId="731028DE" w:rsidR="00AE54E9" w:rsidRDefault="00AE54E9" w:rsidP="00AE5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E9"/>
    <w:rsid w:val="000553A9"/>
    <w:rsid w:val="00080F9B"/>
    <w:rsid w:val="000A38CB"/>
    <w:rsid w:val="001246DA"/>
    <w:rsid w:val="001F22C9"/>
    <w:rsid w:val="00213849"/>
    <w:rsid w:val="002141CB"/>
    <w:rsid w:val="00233050"/>
    <w:rsid w:val="0026523A"/>
    <w:rsid w:val="002A58FD"/>
    <w:rsid w:val="002D4FCF"/>
    <w:rsid w:val="002D60BE"/>
    <w:rsid w:val="003049A8"/>
    <w:rsid w:val="003246A0"/>
    <w:rsid w:val="00357C1E"/>
    <w:rsid w:val="003940B8"/>
    <w:rsid w:val="003C29A0"/>
    <w:rsid w:val="003D6A03"/>
    <w:rsid w:val="003F6102"/>
    <w:rsid w:val="004356AE"/>
    <w:rsid w:val="00447D9B"/>
    <w:rsid w:val="004937D2"/>
    <w:rsid w:val="00514C79"/>
    <w:rsid w:val="005B0528"/>
    <w:rsid w:val="005B71FE"/>
    <w:rsid w:val="00667FFE"/>
    <w:rsid w:val="00702567"/>
    <w:rsid w:val="007137D2"/>
    <w:rsid w:val="007607BD"/>
    <w:rsid w:val="00794889"/>
    <w:rsid w:val="008121A9"/>
    <w:rsid w:val="00836A14"/>
    <w:rsid w:val="00870C3A"/>
    <w:rsid w:val="00912C35"/>
    <w:rsid w:val="00913E57"/>
    <w:rsid w:val="009214C9"/>
    <w:rsid w:val="00957D4E"/>
    <w:rsid w:val="00972980"/>
    <w:rsid w:val="009B3598"/>
    <w:rsid w:val="00A27A15"/>
    <w:rsid w:val="00A41248"/>
    <w:rsid w:val="00A52AF6"/>
    <w:rsid w:val="00A5613A"/>
    <w:rsid w:val="00A71994"/>
    <w:rsid w:val="00AE54E9"/>
    <w:rsid w:val="00AF073A"/>
    <w:rsid w:val="00AF2F86"/>
    <w:rsid w:val="00B069CD"/>
    <w:rsid w:val="00BF558C"/>
    <w:rsid w:val="00C03068"/>
    <w:rsid w:val="00C36C56"/>
    <w:rsid w:val="00C74665"/>
    <w:rsid w:val="00CD3C6B"/>
    <w:rsid w:val="00CF2797"/>
    <w:rsid w:val="00CF5F26"/>
    <w:rsid w:val="00D251E9"/>
    <w:rsid w:val="00D735F5"/>
    <w:rsid w:val="00DE032F"/>
    <w:rsid w:val="00E5005D"/>
    <w:rsid w:val="00E53D75"/>
    <w:rsid w:val="00E65E1A"/>
    <w:rsid w:val="00ED2F74"/>
    <w:rsid w:val="00F016A9"/>
    <w:rsid w:val="00F40E10"/>
    <w:rsid w:val="00F42802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16B21B"/>
  <w15:chartTrackingRefBased/>
  <w15:docId w15:val="{9144F94B-FAF6-4914-A416-DA144856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1E9"/>
    <w:pPr>
      <w:widowControl w:val="0"/>
      <w:kinsoku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251E9"/>
    <w:pPr>
      <w:keepNext/>
      <w:spacing w:before="240" w:after="60"/>
      <w:outlineLvl w:val="2"/>
    </w:pPr>
    <w:rPr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51E9"/>
    <w:rPr>
      <w:rFonts w:ascii="Arial" w:eastAsia="SimSun" w:hAnsi="Arial" w:cs="Arial"/>
      <w:bCs/>
      <w:sz w:val="24"/>
      <w:szCs w:val="26"/>
      <w:u w:val="single"/>
      <w:lang w:eastAsia="zh-CN"/>
    </w:rPr>
  </w:style>
  <w:style w:type="paragraph" w:styleId="NormalWeb">
    <w:name w:val="Normal (Web)"/>
    <w:basedOn w:val="Normal"/>
    <w:uiPriority w:val="99"/>
    <w:unhideWhenUsed/>
    <w:rsid w:val="00AF2F86"/>
    <w:pPr>
      <w:widowControl/>
      <w:kinsoku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068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68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68"/>
    <w:rPr>
      <w:rFonts w:ascii="Segoe UI" w:eastAsia="SimSu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rsid w:val="00AE54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4E9"/>
    <w:rPr>
      <w:rFonts w:ascii="Arial" w:eastAsia="SimSun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54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4E9"/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4955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CWS/10/13 Annex</vt:lpstr>
    </vt:vector>
  </TitlesOfParts>
  <Company>United States Patent and Trademark Office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CWS/10/13 Annex</dc:title>
  <dc:subject/>
  <dc:creator>WIPO</dc:creator>
  <cp:keywords>FOR OFFICIAL USE ONLY</cp:keywords>
  <dc:description/>
  <cp:lastModifiedBy>CHAVAS Louison</cp:lastModifiedBy>
  <cp:revision>2</cp:revision>
  <dcterms:created xsi:type="dcterms:W3CDTF">2022-10-04T10:43:00Z</dcterms:created>
  <dcterms:modified xsi:type="dcterms:W3CDTF">2022-10-04T10:43:00Z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37a448e0-bba1-44eb-a41a-ea284c00d485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