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1D0CB"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71DEB4DB" wp14:editId="07CD374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D33E745"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AF6830">
        <w:rPr>
          <w:rFonts w:ascii="Arial Black" w:hAnsi="Arial Black"/>
          <w:caps/>
          <w:sz w:val="15"/>
          <w:szCs w:val="15"/>
        </w:rPr>
        <w:t>9</w:t>
      </w:r>
    </w:p>
    <w:p w14:paraId="5B3C0EA4"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847FC">
        <w:rPr>
          <w:rFonts w:ascii="Arial Black" w:hAnsi="Arial Black"/>
          <w:caps/>
          <w:sz w:val="15"/>
          <w:szCs w:val="15"/>
        </w:rPr>
        <w:t>english</w:t>
      </w:r>
    </w:p>
    <w:bookmarkEnd w:id="1"/>
    <w:p w14:paraId="2A0A9BD8" w14:textId="28D6FF2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9C425B" w:rsidRPr="00886B33">
        <w:rPr>
          <w:rFonts w:ascii="Arial Black" w:hAnsi="Arial Black"/>
          <w:caps/>
          <w:sz w:val="15"/>
          <w:szCs w:val="15"/>
        </w:rPr>
        <w:t>september</w:t>
      </w:r>
      <w:r w:rsidR="002847FC" w:rsidRPr="00886B33">
        <w:rPr>
          <w:rFonts w:ascii="Arial Black" w:hAnsi="Arial Black"/>
          <w:caps/>
          <w:sz w:val="15"/>
          <w:szCs w:val="15"/>
        </w:rPr>
        <w:t xml:space="preserve"> </w:t>
      </w:r>
      <w:r w:rsidR="00886B33">
        <w:rPr>
          <w:rFonts w:ascii="Arial Black" w:hAnsi="Arial Black"/>
          <w:caps/>
          <w:sz w:val="15"/>
          <w:szCs w:val="15"/>
        </w:rPr>
        <w:t>16</w:t>
      </w:r>
      <w:r w:rsidR="002847FC">
        <w:rPr>
          <w:rFonts w:ascii="Arial Black" w:hAnsi="Arial Black"/>
          <w:caps/>
          <w:sz w:val="15"/>
          <w:szCs w:val="15"/>
        </w:rPr>
        <w:t>, 2021</w:t>
      </w:r>
    </w:p>
    <w:bookmarkEnd w:id="2"/>
    <w:p w14:paraId="74098761" w14:textId="77777777" w:rsidR="008B2CC1" w:rsidRPr="002847FC" w:rsidRDefault="00E45755" w:rsidP="00720EFD">
      <w:pPr>
        <w:pStyle w:val="Heading1"/>
        <w:spacing w:before="0" w:after="480"/>
        <w:rPr>
          <w:sz w:val="36"/>
          <w:szCs w:val="28"/>
        </w:rPr>
      </w:pPr>
      <w:r w:rsidRPr="002847FC">
        <w:rPr>
          <w:caps w:val="0"/>
          <w:sz w:val="28"/>
        </w:rPr>
        <w:t xml:space="preserve">Committee on WIPO Standards </w:t>
      </w:r>
      <w:r w:rsidRPr="002847FC">
        <w:rPr>
          <w:sz w:val="28"/>
        </w:rPr>
        <w:t>(CWS)</w:t>
      </w:r>
    </w:p>
    <w:p w14:paraId="2C9B933E" w14:textId="77777777" w:rsidR="00E45755" w:rsidRPr="00846CF6" w:rsidRDefault="00E45755" w:rsidP="00E45755">
      <w:pPr>
        <w:outlineLvl w:val="1"/>
        <w:rPr>
          <w:b/>
          <w:sz w:val="24"/>
          <w:szCs w:val="24"/>
        </w:rPr>
      </w:pPr>
      <w:r w:rsidRPr="00846CF6">
        <w:rPr>
          <w:b/>
          <w:sz w:val="24"/>
          <w:szCs w:val="24"/>
        </w:rPr>
        <w:t>Ninth Session</w:t>
      </w:r>
    </w:p>
    <w:p w14:paraId="676C86DD" w14:textId="77777777" w:rsidR="008B2CC1" w:rsidRPr="003845C1" w:rsidRDefault="00846CF6" w:rsidP="00F9165B">
      <w:pPr>
        <w:spacing w:after="720"/>
        <w:outlineLvl w:val="1"/>
        <w:rPr>
          <w:b/>
          <w:sz w:val="24"/>
          <w:szCs w:val="24"/>
        </w:rPr>
      </w:pPr>
      <w:r w:rsidRPr="00846CF6">
        <w:rPr>
          <w:b/>
          <w:sz w:val="24"/>
          <w:szCs w:val="24"/>
        </w:rPr>
        <w:t>Geneva, November 1 to 5, 2021</w:t>
      </w:r>
    </w:p>
    <w:p w14:paraId="497EC837" w14:textId="77777777" w:rsidR="008B2CC1" w:rsidRPr="003845C1" w:rsidRDefault="002847FC" w:rsidP="00DD7B7F">
      <w:pPr>
        <w:spacing w:after="360"/>
        <w:outlineLvl w:val="0"/>
        <w:rPr>
          <w:caps/>
          <w:sz w:val="24"/>
        </w:rPr>
      </w:pPr>
      <w:bookmarkStart w:id="3" w:name="TitleOfDoc"/>
      <w:r>
        <w:rPr>
          <w:caps/>
          <w:sz w:val="24"/>
        </w:rPr>
        <w:t>Proposal for the revision of WIPO Standard ST.27</w:t>
      </w:r>
    </w:p>
    <w:p w14:paraId="1FD3D075" w14:textId="37A50E52" w:rsidR="002928D3" w:rsidRPr="00F9165B" w:rsidRDefault="002847FC" w:rsidP="001D4107">
      <w:pPr>
        <w:spacing w:after="1040"/>
        <w:rPr>
          <w:i/>
        </w:rPr>
      </w:pPr>
      <w:bookmarkStart w:id="4" w:name="Prepared"/>
      <w:bookmarkEnd w:id="3"/>
      <w:bookmarkEnd w:id="4"/>
      <w:r>
        <w:rPr>
          <w:i/>
        </w:rPr>
        <w:t>Document prepared by the Legal Status Task Force Leader</w:t>
      </w:r>
    </w:p>
    <w:p w14:paraId="1BF0D041" w14:textId="77777777" w:rsidR="002847FC" w:rsidRDefault="002847FC" w:rsidP="00886B33">
      <w:pPr>
        <w:pStyle w:val="Heading2"/>
        <w:rPr>
          <w:rFonts w:eastAsia="Malgun Gothic"/>
          <w:caps w:val="0"/>
          <w:szCs w:val="22"/>
        </w:rPr>
      </w:pPr>
      <w:r w:rsidRPr="00886B33">
        <w:t>BACKGROUND</w:t>
      </w:r>
    </w:p>
    <w:p w14:paraId="0072067D" w14:textId="07DC5AD2" w:rsidR="002847FC" w:rsidRDefault="002847FC" w:rsidP="002847FC">
      <w:pPr>
        <w:pStyle w:val="ONUMFS"/>
        <w:numPr>
          <w:ilvl w:val="0"/>
          <w:numId w:val="0"/>
        </w:numPr>
      </w:pPr>
      <w:r>
        <w:fldChar w:fldCharType="begin"/>
      </w:r>
      <w:r>
        <w:instrText xml:space="preserve"> AUTONUM  </w:instrText>
      </w:r>
      <w:r>
        <w:fldChar w:fldCharType="end"/>
      </w:r>
      <w:r>
        <w:tab/>
        <w:t xml:space="preserve">At its </w:t>
      </w:r>
      <w:r w:rsidR="008E1DE5">
        <w:t xml:space="preserve">seventh </w:t>
      </w:r>
      <w:r>
        <w:t>session in 201</w:t>
      </w:r>
      <w:r w:rsidR="008E1DE5">
        <w:t>9</w:t>
      </w:r>
      <w:r>
        <w:t>, the Committee on WIPO Standards (CWS)</w:t>
      </w:r>
      <w:r w:rsidR="008E1DE5">
        <w:t xml:space="preserve"> approved a</w:t>
      </w:r>
      <w:r>
        <w:t xml:space="preserve"> </w:t>
      </w:r>
      <w:r w:rsidR="008E1DE5">
        <w:t xml:space="preserve">proposal to add three reserved characters to the encoding of </w:t>
      </w:r>
      <w:r w:rsidR="009868F6">
        <w:t xml:space="preserve">WIPO Standard </w:t>
      </w:r>
      <w:r w:rsidR="008E1DE5">
        <w:t xml:space="preserve">ST.27 </w:t>
      </w:r>
      <w:r w:rsidR="0066494E">
        <w:t xml:space="preserve">patent </w:t>
      </w:r>
      <w:r w:rsidR="008E1DE5">
        <w:t>legal status events.  These characters were fixed as “xxx” and reserved for possible future</w:t>
      </w:r>
      <w:r w:rsidR="005270CE">
        <w:t xml:space="preserve"> use</w:t>
      </w:r>
      <w:r w:rsidR="008E1DE5">
        <w:t xml:space="preserve">.  </w:t>
      </w:r>
      <w:r w:rsidR="00C853D0">
        <w:t xml:space="preserve">The Legal Status Task Force planned to explore possible uses for reserved characters and prepare a proposal for </w:t>
      </w:r>
      <w:r w:rsidR="009868F6">
        <w:t xml:space="preserve">consideration by </w:t>
      </w:r>
      <w:r w:rsidR="00C853D0">
        <w:t>the CWS.</w:t>
      </w:r>
      <w:r>
        <w:t xml:space="preserve">  (See paragraphs </w:t>
      </w:r>
      <w:r w:rsidR="008E1DE5">
        <w:t xml:space="preserve">120 to 122 </w:t>
      </w:r>
      <w:r>
        <w:t>of document CWS/</w:t>
      </w:r>
      <w:r w:rsidR="008E1DE5">
        <w:t>7</w:t>
      </w:r>
      <w:r>
        <w:t>/2</w:t>
      </w:r>
      <w:r w:rsidR="008E1DE5">
        <w:t>9</w:t>
      </w:r>
      <w:r>
        <w:t>.)</w:t>
      </w:r>
    </w:p>
    <w:p w14:paraId="316F97B8" w14:textId="77777777" w:rsidR="002847FC" w:rsidRPr="00D0286B" w:rsidRDefault="002847FC" w:rsidP="00886B33">
      <w:pPr>
        <w:pStyle w:val="Heading2"/>
      </w:pPr>
      <w:r>
        <w:t>PROPOSED REVISIOn to WIPO Standard ST.27</w:t>
      </w:r>
    </w:p>
    <w:p w14:paraId="211C2B10" w14:textId="21EA8D99" w:rsidR="002934DD" w:rsidRDefault="002847FC" w:rsidP="002847FC">
      <w:pPr>
        <w:pStyle w:val="ONUMFS"/>
        <w:numPr>
          <w:ilvl w:val="0"/>
          <w:numId w:val="0"/>
        </w:numPr>
      </w:pPr>
      <w:r>
        <w:fldChar w:fldCharType="begin"/>
      </w:r>
      <w:r>
        <w:instrText xml:space="preserve"> AUTONUM  </w:instrText>
      </w:r>
      <w:r>
        <w:fldChar w:fldCharType="end"/>
      </w:r>
      <w:r>
        <w:tab/>
      </w:r>
      <w:r w:rsidR="00690E72">
        <w:t xml:space="preserve">A group of Task Force </w:t>
      </w:r>
      <w:r w:rsidR="00B23511">
        <w:t>m</w:t>
      </w:r>
      <w:r w:rsidR="00C853D0">
        <w:t>embers held discussions several times in 2020 and 2021 on a potential use of reserved characters</w:t>
      </w:r>
      <w:r>
        <w:t>.</w:t>
      </w:r>
      <w:r w:rsidR="00C853D0">
        <w:t xml:space="preserve">  This group prepared a proposal</w:t>
      </w:r>
      <w:r w:rsidR="00A201D9">
        <w:t xml:space="preserve"> called </w:t>
      </w:r>
      <w:r w:rsidR="009868F6" w:rsidRPr="009868F6">
        <w:t>‘</w:t>
      </w:r>
      <w:r w:rsidR="00A201D9" w:rsidRPr="00006E47">
        <w:t>procedure indicators</w:t>
      </w:r>
      <w:r w:rsidR="009868F6" w:rsidRPr="00795982">
        <w:t>’</w:t>
      </w:r>
      <w:r w:rsidR="00C853D0">
        <w:t xml:space="preserve">, which was presented to the Task Force in August 2021.  The Task Force agreed to recommend the </w:t>
      </w:r>
      <w:r w:rsidR="00C1769A" w:rsidRPr="009868F6">
        <w:t>‘</w:t>
      </w:r>
      <w:r w:rsidR="00C1769A" w:rsidRPr="00006E47">
        <w:t>procedure indicators</w:t>
      </w:r>
      <w:r w:rsidR="00C1769A" w:rsidRPr="00795982">
        <w:t>’</w:t>
      </w:r>
      <w:r w:rsidR="00C1769A">
        <w:t xml:space="preserve"> </w:t>
      </w:r>
      <w:r w:rsidR="00C853D0">
        <w:t xml:space="preserve">proposal </w:t>
      </w:r>
      <w:r w:rsidR="00A201D9">
        <w:t xml:space="preserve">to ST.27 </w:t>
      </w:r>
      <w:r w:rsidR="00C853D0">
        <w:t xml:space="preserve">for </w:t>
      </w:r>
      <w:r w:rsidR="009868F6">
        <w:t>consideration</w:t>
      </w:r>
      <w:r w:rsidR="00C853D0">
        <w:t xml:space="preserve"> by the CWS</w:t>
      </w:r>
      <w:r w:rsidR="00A201D9">
        <w:t>, as described below</w:t>
      </w:r>
      <w:r w:rsidR="00C853D0">
        <w:t>.</w:t>
      </w:r>
      <w:r w:rsidR="002934DD">
        <w:t xml:space="preserve">  </w:t>
      </w:r>
    </w:p>
    <w:p w14:paraId="50ACD326" w14:textId="0E9DDE81" w:rsidR="002847FC" w:rsidRDefault="002934DD" w:rsidP="002847FC">
      <w:pPr>
        <w:pStyle w:val="ONUMFS"/>
        <w:numPr>
          <w:ilvl w:val="0"/>
          <w:numId w:val="0"/>
        </w:numPr>
      </w:pPr>
      <w:r>
        <w:fldChar w:fldCharType="begin"/>
      </w:r>
      <w:r>
        <w:instrText xml:space="preserve"> AUTONUM  </w:instrText>
      </w:r>
      <w:r>
        <w:fldChar w:fldCharType="end"/>
      </w:r>
      <w:r>
        <w:tab/>
      </w:r>
      <w:r w:rsidR="00A201D9">
        <w:t xml:space="preserve">The Task Force believes that </w:t>
      </w:r>
      <w:r w:rsidR="009868F6">
        <w:t xml:space="preserve">the </w:t>
      </w:r>
      <w:r w:rsidR="00C1769A" w:rsidRPr="009868F6">
        <w:t>‘</w:t>
      </w:r>
      <w:r w:rsidR="00C1769A" w:rsidRPr="00006E47">
        <w:t>procedure indicators</w:t>
      </w:r>
      <w:r w:rsidR="00C1769A" w:rsidRPr="00795982">
        <w:t>’</w:t>
      </w:r>
      <w:r w:rsidR="00C1769A">
        <w:t xml:space="preserve"> </w:t>
      </w:r>
      <w:r w:rsidR="00A201D9">
        <w:t xml:space="preserve">would also be useful for </w:t>
      </w:r>
      <w:r w:rsidR="00B23511">
        <w:t xml:space="preserve">industrial </w:t>
      </w:r>
      <w:r w:rsidR="00A201D9">
        <w:t xml:space="preserve">designs (ST.87) and trademarks (ST.61) legal status, and proposes </w:t>
      </w:r>
      <w:r>
        <w:t xml:space="preserve">working to adapt and incorporate </w:t>
      </w:r>
      <w:r w:rsidR="009868F6">
        <w:t xml:space="preserve">the </w:t>
      </w:r>
      <w:r w:rsidR="00C1769A" w:rsidRPr="009868F6">
        <w:t>‘</w:t>
      </w:r>
      <w:r w:rsidR="00C1769A" w:rsidRPr="00006E47">
        <w:t>procedure indicators</w:t>
      </w:r>
      <w:r w:rsidR="00C1769A" w:rsidRPr="00795982">
        <w:t>’</w:t>
      </w:r>
      <w:r w:rsidR="00C1769A">
        <w:t xml:space="preserve"> </w:t>
      </w:r>
      <w:r w:rsidR="006D6081">
        <w:t xml:space="preserve">for those </w:t>
      </w:r>
      <w:r w:rsidR="009868F6">
        <w:t>S</w:t>
      </w:r>
      <w:r w:rsidR="006D6081">
        <w:t xml:space="preserve">tandards.  If this work is approved, a proposal for revising the </w:t>
      </w:r>
      <w:r w:rsidR="009868F6">
        <w:t>S</w:t>
      </w:r>
      <w:r w:rsidR="006D6081">
        <w:t>tandards will be presented at CWS/10.</w:t>
      </w:r>
    </w:p>
    <w:p w14:paraId="112D4232" w14:textId="2A05E3E9" w:rsidR="00C853D0" w:rsidRDefault="00C853D0" w:rsidP="002847FC">
      <w:pPr>
        <w:pStyle w:val="ONUMFS"/>
        <w:numPr>
          <w:ilvl w:val="0"/>
          <w:numId w:val="0"/>
        </w:numPr>
      </w:pPr>
      <w:r>
        <w:fldChar w:fldCharType="begin"/>
      </w:r>
      <w:r>
        <w:instrText xml:space="preserve"> AUTONUM  </w:instrText>
      </w:r>
      <w:r>
        <w:fldChar w:fldCharType="end"/>
      </w:r>
      <w:r>
        <w:tab/>
        <w:t>During this work, the International Bureau</w:t>
      </w:r>
      <w:r w:rsidR="00A201D9">
        <w:t xml:space="preserve"> suggested updating the terminology and presentation of reserv</w:t>
      </w:r>
      <w:r w:rsidR="00795982">
        <w:t>ed characters, in light of the Task F</w:t>
      </w:r>
      <w:r w:rsidR="00A201D9">
        <w:t>orce’s further experience.  The Task Force agreed to propose terminology updates</w:t>
      </w:r>
      <w:r w:rsidR="002934DD">
        <w:t>,</w:t>
      </w:r>
      <w:r w:rsidR="00A201D9">
        <w:t xml:space="preserve"> described below</w:t>
      </w:r>
      <w:r w:rsidR="002934DD">
        <w:t xml:space="preserve"> as </w:t>
      </w:r>
      <w:r w:rsidR="00795982" w:rsidRPr="009868F6">
        <w:t>‘</w:t>
      </w:r>
      <w:r w:rsidR="002934DD" w:rsidRPr="00795982">
        <w:t>event indicators</w:t>
      </w:r>
      <w:r w:rsidR="00795982" w:rsidRPr="00795982">
        <w:t>’</w:t>
      </w:r>
      <w:r w:rsidR="00A201D9">
        <w:t xml:space="preserve">.  </w:t>
      </w:r>
      <w:r w:rsidR="002934DD">
        <w:t xml:space="preserve">Because these updates are general in nature, the Task Force recommends applying the </w:t>
      </w:r>
      <w:r w:rsidR="00C1769A" w:rsidRPr="009868F6">
        <w:t>‘</w:t>
      </w:r>
      <w:r w:rsidR="00C1769A" w:rsidRPr="00795982">
        <w:t>event indicators’</w:t>
      </w:r>
      <w:r w:rsidR="00C1769A">
        <w:t xml:space="preserve"> </w:t>
      </w:r>
      <w:r w:rsidR="002934DD">
        <w:t>prop</w:t>
      </w:r>
      <w:r w:rsidR="00795982">
        <w:t>osal to all three legal status S</w:t>
      </w:r>
      <w:r w:rsidR="002934DD">
        <w:t>tandards.  This will harmoniz</w:t>
      </w:r>
      <w:r w:rsidR="00795982">
        <w:t>e the three S</w:t>
      </w:r>
      <w:r w:rsidR="002934DD">
        <w:t>tandards by incorporating reserved characters into all three.</w:t>
      </w:r>
    </w:p>
    <w:p w14:paraId="10512AD2" w14:textId="77777777" w:rsidR="00A201D9" w:rsidRPr="00D0286B" w:rsidRDefault="006D6081" w:rsidP="00886B33">
      <w:pPr>
        <w:pStyle w:val="Heading2"/>
      </w:pPr>
      <w:r>
        <w:lastRenderedPageBreak/>
        <w:t>EVent Indicators proposal</w:t>
      </w:r>
    </w:p>
    <w:p w14:paraId="14E465AD" w14:textId="0018C250" w:rsidR="00C853D0" w:rsidRDefault="00C853D0" w:rsidP="00C853D0">
      <w:pPr>
        <w:pStyle w:val="ONUMFS"/>
        <w:numPr>
          <w:ilvl w:val="0"/>
          <w:numId w:val="0"/>
        </w:numPr>
      </w:pPr>
      <w:r>
        <w:fldChar w:fldCharType="begin"/>
      </w:r>
      <w:r>
        <w:instrText xml:space="preserve"> AUTONUM  </w:instrText>
      </w:r>
      <w:r>
        <w:fldChar w:fldCharType="end"/>
      </w:r>
      <w:r>
        <w:tab/>
      </w:r>
      <w:r w:rsidR="006D6081">
        <w:t xml:space="preserve">The </w:t>
      </w:r>
      <w:r w:rsidR="007242AF" w:rsidRPr="009868F6">
        <w:t>‘</w:t>
      </w:r>
      <w:r w:rsidR="006D6081" w:rsidRPr="007242AF">
        <w:t>event indicators</w:t>
      </w:r>
      <w:r w:rsidR="007242AF" w:rsidRPr="007242AF">
        <w:t>’</w:t>
      </w:r>
      <w:r w:rsidR="006D6081">
        <w:t xml:space="preserve"> proposal contains new terminology for describing reserved characters.  It is proposed</w:t>
      </w:r>
      <w:r w:rsidR="007242AF">
        <w:t xml:space="preserve"> for all three legal status S</w:t>
      </w:r>
      <w:r w:rsidR="006D6081">
        <w:t>tandards: ST.27 (patents), ST.61 (trademarks), and ST.87 (</w:t>
      </w:r>
      <w:r w:rsidR="00B23511">
        <w:t xml:space="preserve">industrial </w:t>
      </w:r>
      <w:r w:rsidR="006D6081">
        <w:t>designs).</w:t>
      </w:r>
    </w:p>
    <w:p w14:paraId="191D57D8" w14:textId="01EE89D4" w:rsidR="006D6081" w:rsidRDefault="00C853D0" w:rsidP="00C853D0">
      <w:pPr>
        <w:pStyle w:val="ONUMFS"/>
        <w:numPr>
          <w:ilvl w:val="0"/>
          <w:numId w:val="0"/>
        </w:numPr>
      </w:pPr>
      <w:r>
        <w:fldChar w:fldCharType="begin"/>
      </w:r>
      <w:r>
        <w:instrText xml:space="preserve"> AUTONUM  </w:instrText>
      </w:r>
      <w:r>
        <w:fldChar w:fldCharType="end"/>
      </w:r>
      <w:r>
        <w:tab/>
      </w:r>
      <w:r w:rsidR="007242AF">
        <w:t>Currently, all three S</w:t>
      </w:r>
      <w:r w:rsidR="006D6081">
        <w:t xml:space="preserve">tandards record event information basically </w:t>
      </w:r>
      <w:r w:rsidR="00595382">
        <w:t xml:space="preserve">in </w:t>
      </w:r>
      <w:r w:rsidR="006D6081">
        <w:t xml:space="preserve">the same way.  Relevant events at an </w:t>
      </w:r>
      <w:r w:rsidR="00FC49F7">
        <w:t>Intellectual Property Office (</w:t>
      </w:r>
      <w:r w:rsidR="006D6081">
        <w:t>IPO</w:t>
      </w:r>
      <w:r w:rsidR="00FC49F7">
        <w:t>)</w:t>
      </w:r>
      <w:r w:rsidR="006D6081">
        <w:t xml:space="preserve"> are each recorded with a status event code, described</w:t>
      </w:r>
      <w:r w:rsidR="00B23511">
        <w:t xml:space="preserve"> in ST.27</w:t>
      </w:r>
      <w:r w:rsidR="006D6081">
        <w:t xml:space="preserve"> as follows:</w:t>
      </w:r>
    </w:p>
    <w:p w14:paraId="15BFC393" w14:textId="3DC87AF9" w:rsidR="006D6081" w:rsidRDefault="00595382" w:rsidP="006D6081">
      <w:pPr>
        <w:pStyle w:val="ONUMFS"/>
        <w:numPr>
          <w:ilvl w:val="0"/>
          <w:numId w:val="0"/>
        </w:numPr>
        <w:ind w:left="450"/>
      </w:pPr>
      <w:r>
        <w:t>“</w:t>
      </w:r>
      <w:r w:rsidR="006D6081" w:rsidRPr="006D6081">
        <w:t xml:space="preserve">27. The status event code below describes the structure of the code but does not necessarily represent the final visualization and representation in XML format. </w:t>
      </w:r>
    </w:p>
    <w:p w14:paraId="78BEAA87" w14:textId="75C5B7D0" w:rsidR="00C853D0" w:rsidRDefault="006D6081" w:rsidP="006D6081">
      <w:pPr>
        <w:pStyle w:val="ONUMFS"/>
        <w:numPr>
          <w:ilvl w:val="0"/>
          <w:numId w:val="0"/>
        </w:numPr>
        <w:ind w:left="450"/>
      </w:pPr>
      <w:r w:rsidRPr="006D6081">
        <w:t>[State – From (previous) stage – To (current) stage – Key event – Detailed event – National/regional/international event]</w:t>
      </w:r>
      <w:r w:rsidR="00595382">
        <w:t>“</w:t>
      </w:r>
    </w:p>
    <w:p w14:paraId="45A0EBDD" w14:textId="2EDCC6BA" w:rsidR="006D6081" w:rsidRDefault="006B44C1" w:rsidP="006D6081">
      <w:pPr>
        <w:pStyle w:val="ONUMFS"/>
        <w:numPr>
          <w:ilvl w:val="0"/>
          <w:numId w:val="0"/>
        </w:numPr>
      </w:pPr>
      <w:r>
        <w:fldChar w:fldCharType="begin"/>
      </w:r>
      <w:r>
        <w:instrText xml:space="preserve"> AUTONUM  </w:instrText>
      </w:r>
      <w:r>
        <w:fldChar w:fldCharType="end"/>
      </w:r>
      <w:r>
        <w:tab/>
        <w:t>In ST.61 and ST.87, an example status event code looks like this</w:t>
      </w:r>
      <w:r w:rsidR="006D6081">
        <w:t>: N-0-6-B10-B11-R120</w:t>
      </w:r>
      <w:r>
        <w:t>.  ST.27 uses the same format, but adds three reserved characters to the Key event and Detailed event fields, represented as three x’s like this:</w:t>
      </w:r>
      <w:r w:rsidRPr="006B44C1">
        <w:t xml:space="preserve"> N-0-6-B10xxx-B11xxx-R120</w:t>
      </w:r>
      <w:r>
        <w:t>.</w:t>
      </w:r>
    </w:p>
    <w:p w14:paraId="498549A3" w14:textId="6752C9A6" w:rsidR="003478E8" w:rsidRDefault="006B44C1" w:rsidP="006B44C1">
      <w:pPr>
        <w:pStyle w:val="ONUMFS"/>
        <w:numPr>
          <w:ilvl w:val="0"/>
          <w:numId w:val="0"/>
        </w:numPr>
      </w:pPr>
      <w:r>
        <w:fldChar w:fldCharType="begin"/>
      </w:r>
      <w:r>
        <w:instrText xml:space="preserve"> AUTONUM  </w:instrText>
      </w:r>
      <w:r>
        <w:fldChar w:fldCharType="end"/>
      </w:r>
      <w:r>
        <w:tab/>
        <w:t xml:space="preserve">While developing proposals for reserved characters, </w:t>
      </w:r>
      <w:r w:rsidR="00595382">
        <w:t>the Task Force</w:t>
      </w:r>
      <w:r>
        <w:t xml:space="preserve"> concluded that attaching reserved characters to event codes is not desirable.  </w:t>
      </w:r>
      <w:r w:rsidR="003478E8">
        <w:t xml:space="preserve">Uses of reserved characters add extra information about an event beyond the existing event codes.  Further, the extra information applies to the entire event represented by the status event code, not just to the </w:t>
      </w:r>
      <w:r w:rsidR="00B23511">
        <w:t>K</w:t>
      </w:r>
      <w:r w:rsidR="003478E8">
        <w:t xml:space="preserve">ey event or </w:t>
      </w:r>
      <w:r w:rsidR="00B23511">
        <w:t>D</w:t>
      </w:r>
      <w:r w:rsidR="003478E8">
        <w:t xml:space="preserve">etailed event themselves. </w:t>
      </w:r>
    </w:p>
    <w:p w14:paraId="183620AF" w14:textId="42D448DA" w:rsidR="00BA50E2" w:rsidRDefault="003478E8" w:rsidP="007242AF">
      <w:pPr>
        <w:pStyle w:val="ONUMFS"/>
        <w:numPr>
          <w:ilvl w:val="0"/>
          <w:numId w:val="0"/>
        </w:numPr>
      </w:pPr>
      <w:r>
        <w:fldChar w:fldCharType="begin"/>
      </w:r>
      <w:r>
        <w:instrText xml:space="preserve"> AUTONUM  </w:instrText>
      </w:r>
      <w:r>
        <w:fldChar w:fldCharType="end"/>
      </w:r>
      <w:r>
        <w:tab/>
      </w:r>
      <w:r w:rsidR="007242AF">
        <w:t>Thus, the Task F</w:t>
      </w:r>
      <w:r>
        <w:t xml:space="preserve">orce recommends creating a separate field within status event codes for possible uses of reserved characters.  The new field will be called </w:t>
      </w:r>
      <w:r w:rsidR="007242AF" w:rsidRPr="007242AF">
        <w:t>‘</w:t>
      </w:r>
      <w:r w:rsidRPr="007242AF">
        <w:t>event indicators</w:t>
      </w:r>
      <w:r w:rsidR="007242AF" w:rsidRPr="007242AF">
        <w:t>’</w:t>
      </w:r>
      <w:r>
        <w:t xml:space="preserve">, and will be positioned immediately after Detailed event in the status event code.  </w:t>
      </w:r>
      <w:r w:rsidR="00306263">
        <w:t>This presentation is clear</w:t>
      </w:r>
      <w:r w:rsidR="0066494E">
        <w:t>er</w:t>
      </w:r>
      <w:r w:rsidR="00306263">
        <w:t xml:space="preserve"> to end users.  It arranges information in a clear hierarchy, from most general (</w:t>
      </w:r>
      <w:r w:rsidR="00B23511">
        <w:t>K</w:t>
      </w:r>
      <w:r w:rsidR="00306263">
        <w:t>ey event) to more specific (</w:t>
      </w:r>
      <w:r w:rsidR="00B23511">
        <w:t>D</w:t>
      </w:r>
      <w:r w:rsidR="00306263">
        <w:t>etailed event) to even more specific (</w:t>
      </w:r>
      <w:r w:rsidR="00C1769A" w:rsidRPr="007242AF">
        <w:t>‘</w:t>
      </w:r>
      <w:r w:rsidR="00C1769A">
        <w:t>event indicator</w:t>
      </w:r>
      <w:r w:rsidR="00C1769A" w:rsidRPr="007242AF">
        <w:t>’</w:t>
      </w:r>
      <w:r w:rsidR="00306263">
        <w:t>) to most specific (national event).  It separates the required information from optional information, so users can understand the status event code more readily.</w:t>
      </w:r>
    </w:p>
    <w:p w14:paraId="6F908AB9" w14:textId="61AE8105" w:rsidR="00306263" w:rsidRPr="00D0286B" w:rsidRDefault="00306263" w:rsidP="00306263">
      <w:pPr>
        <w:pStyle w:val="Heading2"/>
        <w:spacing w:before="0"/>
      </w:pPr>
      <w:r>
        <w:t>PROPOSED revisions to ST.27</w:t>
      </w:r>
    </w:p>
    <w:p w14:paraId="1726E168" w14:textId="72E393CC" w:rsidR="006B44C1" w:rsidRPr="006B44C1" w:rsidRDefault="00306263" w:rsidP="006B44C1">
      <w:pPr>
        <w:pStyle w:val="ONUMFS"/>
        <w:numPr>
          <w:ilvl w:val="0"/>
          <w:numId w:val="0"/>
        </w:numPr>
      </w:pPr>
      <w:r>
        <w:fldChar w:fldCharType="begin"/>
      </w:r>
      <w:r>
        <w:instrText xml:space="preserve"> AUTONUM  </w:instrText>
      </w:r>
      <w:r>
        <w:fldChar w:fldCharType="end"/>
      </w:r>
      <w:r>
        <w:tab/>
      </w:r>
      <w:r w:rsidR="003478E8">
        <w:t>The description of status event code in paragraph 27 of ST.27 will be amended as follows:</w:t>
      </w:r>
    </w:p>
    <w:p w14:paraId="49A2128C" w14:textId="382A1E82" w:rsidR="003478E8" w:rsidRDefault="007242AF" w:rsidP="003478E8">
      <w:pPr>
        <w:pStyle w:val="ONUMFS"/>
        <w:numPr>
          <w:ilvl w:val="0"/>
          <w:numId w:val="0"/>
        </w:numPr>
        <w:ind w:left="450"/>
      </w:pPr>
      <w:r>
        <w:t>“</w:t>
      </w:r>
      <w:r w:rsidR="003478E8" w:rsidRPr="006D6081">
        <w:t xml:space="preserve">The status event code below describes the structure of the code but does not necessarily represent the final visualization and representation in XML format. </w:t>
      </w:r>
    </w:p>
    <w:p w14:paraId="69AE4E70" w14:textId="3DF6E007" w:rsidR="003478E8" w:rsidRDefault="003478E8" w:rsidP="003478E8">
      <w:pPr>
        <w:pStyle w:val="ONUMFS"/>
        <w:numPr>
          <w:ilvl w:val="0"/>
          <w:numId w:val="0"/>
        </w:numPr>
        <w:ind w:left="450"/>
      </w:pPr>
      <w:r w:rsidRPr="006D6081">
        <w:t xml:space="preserve">[State – From (previous) stage – To (current) stage – Key event – Detailed event – </w:t>
      </w:r>
      <w:r w:rsidRPr="003478E8">
        <w:rPr>
          <w:u w:val="single"/>
        </w:rPr>
        <w:t>Event indicators –</w:t>
      </w:r>
      <w:r w:rsidRPr="003478E8">
        <w:t xml:space="preserve"> </w:t>
      </w:r>
      <w:r w:rsidRPr="006D6081">
        <w:t>National/regional/international event]</w:t>
      </w:r>
      <w:r w:rsidR="007242AF">
        <w:t>”</w:t>
      </w:r>
      <w:r>
        <w:t xml:space="preserve"> </w:t>
      </w:r>
    </w:p>
    <w:p w14:paraId="5F0406C3" w14:textId="429B8073" w:rsidR="003478E8" w:rsidRPr="003478E8" w:rsidRDefault="003478E8" w:rsidP="003478E8">
      <w:pPr>
        <w:pStyle w:val="ONUMFS"/>
        <w:numPr>
          <w:ilvl w:val="0"/>
          <w:numId w:val="0"/>
        </w:numPr>
      </w:pPr>
      <w:r>
        <w:fldChar w:fldCharType="begin"/>
      </w:r>
      <w:r>
        <w:instrText xml:space="preserve"> AUTONUM  </w:instrText>
      </w:r>
      <w:r>
        <w:fldChar w:fldCharType="end"/>
      </w:r>
      <w:r>
        <w:tab/>
        <w:t xml:space="preserve">The definitions in paragraph 3 of </w:t>
      </w:r>
      <w:r w:rsidRPr="003478E8">
        <w:t>ST.27</w:t>
      </w:r>
      <w:r>
        <w:t xml:space="preserve"> will be amended as follows</w:t>
      </w:r>
      <w:r w:rsidRPr="003478E8">
        <w:t>:</w:t>
      </w:r>
    </w:p>
    <w:p w14:paraId="38844C25" w14:textId="77777777" w:rsidR="003478E8" w:rsidRPr="003478E8" w:rsidRDefault="003478E8" w:rsidP="0039777B">
      <w:pPr>
        <w:pStyle w:val="ONUME"/>
        <w:numPr>
          <w:ilvl w:val="0"/>
          <w:numId w:val="7"/>
        </w:numPr>
        <w:tabs>
          <w:tab w:val="left" w:pos="1080"/>
        </w:tabs>
        <w:spacing w:after="120"/>
      </w:pPr>
      <w:r w:rsidRPr="003478E8">
        <w:t>“key event” refers to a generic, broad, universally-termed event in a category</w:t>
      </w:r>
    </w:p>
    <w:p w14:paraId="4669F119" w14:textId="77777777" w:rsidR="003478E8" w:rsidRPr="003478E8" w:rsidRDefault="003478E8" w:rsidP="0039777B">
      <w:pPr>
        <w:pStyle w:val="ONUME"/>
        <w:numPr>
          <w:ilvl w:val="0"/>
          <w:numId w:val="7"/>
        </w:numPr>
        <w:tabs>
          <w:tab w:val="left" w:pos="1080"/>
        </w:tabs>
        <w:spacing w:after="120"/>
      </w:pPr>
      <w:r w:rsidRPr="003478E8">
        <w:t>“detailed event” refers to an event in a category, which is not the key event and is more specific in nature</w:t>
      </w:r>
    </w:p>
    <w:p w14:paraId="509FBDD2" w14:textId="7FCDEB0B" w:rsidR="00B23511" w:rsidRPr="003478E8" w:rsidRDefault="00B23511" w:rsidP="00B23511">
      <w:pPr>
        <w:pStyle w:val="ONUMFS"/>
        <w:numPr>
          <w:ilvl w:val="0"/>
          <w:numId w:val="7"/>
        </w:numPr>
        <w:rPr>
          <w:u w:val="single"/>
        </w:rPr>
      </w:pPr>
      <w:r w:rsidRPr="003478E8">
        <w:rPr>
          <w:u w:val="single"/>
        </w:rPr>
        <w:t>"event indicators" refers to extra information about a</w:t>
      </w:r>
      <w:r w:rsidR="00C55B28">
        <w:rPr>
          <w:u w:val="single"/>
        </w:rPr>
        <w:t xml:space="preserve"> key and/or detailed event</w:t>
      </w:r>
    </w:p>
    <w:p w14:paraId="695314C3" w14:textId="1B420758" w:rsidR="003478E8" w:rsidRPr="003478E8" w:rsidRDefault="00B23511" w:rsidP="00B23511">
      <w:pPr>
        <w:pStyle w:val="ONUME"/>
        <w:numPr>
          <w:ilvl w:val="0"/>
          <w:numId w:val="7"/>
        </w:numPr>
        <w:tabs>
          <w:tab w:val="left" w:pos="1080"/>
        </w:tabs>
        <w:spacing w:after="120"/>
      </w:pPr>
      <w:r w:rsidRPr="003478E8">
        <w:t xml:space="preserve"> </w:t>
      </w:r>
      <w:r w:rsidR="003478E8" w:rsidRPr="003478E8">
        <w:t>“national/regional event” refers to an event in the prosecution of an application or IP right according to</w:t>
      </w:r>
      <w:r w:rsidR="003478E8">
        <w:t xml:space="preserve"> </w:t>
      </w:r>
      <w:r w:rsidR="003478E8" w:rsidRPr="003478E8">
        <w:t>national/regional law</w:t>
      </w:r>
    </w:p>
    <w:p w14:paraId="78FA4F87" w14:textId="4F86C06C" w:rsidR="002F5D5D" w:rsidRDefault="000D2865" w:rsidP="004F4DD2">
      <w:pPr>
        <w:pStyle w:val="ONUMFS"/>
        <w:keepNext/>
        <w:numPr>
          <w:ilvl w:val="0"/>
          <w:numId w:val="0"/>
        </w:numPr>
      </w:pPr>
      <w:r>
        <w:lastRenderedPageBreak/>
        <w:fldChar w:fldCharType="begin"/>
      </w:r>
      <w:r>
        <w:instrText xml:space="preserve"> AUTONUM  </w:instrText>
      </w:r>
      <w:r>
        <w:fldChar w:fldCharType="end"/>
      </w:r>
      <w:r>
        <w:tab/>
        <w:t>The following new paragraph</w:t>
      </w:r>
      <w:r w:rsidR="002F5D5D">
        <w:t>s</w:t>
      </w:r>
      <w:r>
        <w:t xml:space="preserve"> </w:t>
      </w:r>
      <w:r w:rsidR="002F5D5D">
        <w:t xml:space="preserve">are proposed to </w:t>
      </w:r>
      <w:r>
        <w:t xml:space="preserve">be inserted </w:t>
      </w:r>
      <w:r w:rsidR="002F5D5D">
        <w:t>in WIPO ST.27:</w:t>
      </w:r>
    </w:p>
    <w:p w14:paraId="2D33D636" w14:textId="1C9EC6D3" w:rsidR="003478E8" w:rsidRDefault="002F5D5D" w:rsidP="004F4DD2">
      <w:pPr>
        <w:pStyle w:val="ONUMFS"/>
        <w:keepNext/>
        <w:numPr>
          <w:ilvl w:val="0"/>
          <w:numId w:val="0"/>
        </w:numPr>
      </w:pPr>
      <w:r>
        <w:t>A</w:t>
      </w:r>
      <w:r w:rsidR="000D2865">
        <w:t xml:space="preserve">fter Detailed Events, as </w:t>
      </w:r>
      <w:r w:rsidR="006A4D63">
        <w:t xml:space="preserve">a new </w:t>
      </w:r>
      <w:r w:rsidR="000D2865">
        <w:t>paragraph 25</w:t>
      </w:r>
    </w:p>
    <w:p w14:paraId="38AD9AC7" w14:textId="7068E079" w:rsidR="000D2865" w:rsidRPr="000D2865" w:rsidRDefault="0039777B" w:rsidP="004F4DD2">
      <w:pPr>
        <w:pStyle w:val="ONUMFS"/>
        <w:keepNext/>
        <w:numPr>
          <w:ilvl w:val="0"/>
          <w:numId w:val="0"/>
        </w:numPr>
        <w:ind w:left="567"/>
        <w:rPr>
          <w:u w:val="single"/>
        </w:rPr>
      </w:pPr>
      <w:r w:rsidRPr="0039777B">
        <w:t>“</w:t>
      </w:r>
      <w:r w:rsidR="000D2865" w:rsidRPr="000D2865">
        <w:rPr>
          <w:u w:val="single"/>
        </w:rPr>
        <w:t>Event Indicators</w:t>
      </w:r>
    </w:p>
    <w:p w14:paraId="4C9F6A94" w14:textId="1A5AB187" w:rsidR="0046730C" w:rsidRDefault="000D2865" w:rsidP="002F5D5D">
      <w:pPr>
        <w:pStyle w:val="ONUMFS"/>
        <w:numPr>
          <w:ilvl w:val="0"/>
          <w:numId w:val="0"/>
        </w:numPr>
        <w:ind w:left="567"/>
        <w:rPr>
          <w:u w:val="single"/>
        </w:rPr>
      </w:pPr>
      <w:r w:rsidRPr="000D2865">
        <w:rPr>
          <w:u w:val="single"/>
        </w:rPr>
        <w:t>25. Event indicators provide additional information about an event beyond what the key and</w:t>
      </w:r>
      <w:r w:rsidR="00C55B28">
        <w:rPr>
          <w:u w:val="single"/>
        </w:rPr>
        <w:t>/or</w:t>
      </w:r>
      <w:r w:rsidRPr="000D2865">
        <w:rPr>
          <w:u w:val="single"/>
        </w:rPr>
        <w:t xml:space="preserve"> detailed event codes provide.  </w:t>
      </w:r>
      <w:r w:rsidR="002F5D5D">
        <w:rPr>
          <w:u w:val="single"/>
        </w:rPr>
        <w:t xml:space="preserve">The list of event indicators is available in </w:t>
      </w:r>
      <w:r w:rsidR="003F5649">
        <w:rPr>
          <w:u w:val="single"/>
        </w:rPr>
        <w:t xml:space="preserve">the </w:t>
      </w:r>
      <w:r w:rsidR="002F5D5D">
        <w:rPr>
          <w:u w:val="single"/>
        </w:rPr>
        <w:t>Appendix to Annex I of this Standard</w:t>
      </w:r>
      <w:r w:rsidR="0039777B" w:rsidRPr="0039777B">
        <w:t>”</w:t>
      </w:r>
    </w:p>
    <w:p w14:paraId="516D9AF7" w14:textId="373E5161" w:rsidR="002F5D5D" w:rsidRDefault="002F5D5D" w:rsidP="00886B33">
      <w:pPr>
        <w:pStyle w:val="ONUMFS"/>
        <w:numPr>
          <w:ilvl w:val="0"/>
          <w:numId w:val="0"/>
        </w:numPr>
        <w:rPr>
          <w:u w:val="single"/>
        </w:rPr>
      </w:pPr>
      <w:r>
        <w:t xml:space="preserve">A </w:t>
      </w:r>
      <w:r w:rsidR="00B947FD">
        <w:t>new</w:t>
      </w:r>
      <w:r>
        <w:t xml:space="preserve"> section after paragraph 35 before the section “National/Regional Event Code”</w:t>
      </w:r>
    </w:p>
    <w:p w14:paraId="4E49FBCD" w14:textId="1130A850" w:rsidR="0046730C" w:rsidRPr="00886B33" w:rsidRDefault="0046730C" w:rsidP="0046730C">
      <w:pPr>
        <w:pStyle w:val="ONUMFS"/>
        <w:keepNext/>
        <w:numPr>
          <w:ilvl w:val="0"/>
          <w:numId w:val="0"/>
        </w:numPr>
        <w:ind w:left="567"/>
        <w:rPr>
          <w:u w:val="single"/>
        </w:rPr>
      </w:pPr>
      <w:r w:rsidRPr="00886B33">
        <w:t>“</w:t>
      </w:r>
      <w:r w:rsidRPr="00886B33">
        <w:rPr>
          <w:u w:val="single"/>
        </w:rPr>
        <w:t>Event Indicator Code</w:t>
      </w:r>
    </w:p>
    <w:p w14:paraId="07E643F1" w14:textId="1BC35AD8" w:rsidR="0046730C" w:rsidRPr="004F4DD2" w:rsidRDefault="003F5649" w:rsidP="004F4DD2">
      <w:pPr>
        <w:pStyle w:val="ONUMFS"/>
        <w:numPr>
          <w:ilvl w:val="0"/>
          <w:numId w:val="0"/>
        </w:numPr>
        <w:ind w:left="567"/>
        <w:rPr>
          <w:u w:val="single"/>
        </w:rPr>
      </w:pPr>
      <w:r>
        <w:rPr>
          <w:u w:val="single"/>
        </w:rPr>
        <w:t>x</w:t>
      </w:r>
      <w:r w:rsidR="0046730C">
        <w:rPr>
          <w:u w:val="single"/>
        </w:rPr>
        <w:t>x</w:t>
      </w:r>
      <w:r w:rsidR="0046730C" w:rsidRPr="000D2865">
        <w:rPr>
          <w:u w:val="single"/>
        </w:rPr>
        <w:t xml:space="preserve">. </w:t>
      </w:r>
      <w:r w:rsidR="0046730C">
        <w:rPr>
          <w:u w:val="single"/>
        </w:rPr>
        <w:t xml:space="preserve">The event indicator codes consist of </w:t>
      </w:r>
      <w:r w:rsidR="002F5D5D">
        <w:rPr>
          <w:u w:val="single"/>
        </w:rPr>
        <w:t>three characters</w:t>
      </w:r>
      <w:r>
        <w:rPr>
          <w:u w:val="single"/>
        </w:rPr>
        <w:t>.</w:t>
      </w:r>
      <w:r w:rsidR="00B947FD">
        <w:rPr>
          <w:u w:val="single"/>
        </w:rPr>
        <w:t xml:space="preserve"> </w:t>
      </w:r>
      <w:r>
        <w:rPr>
          <w:u w:val="single"/>
        </w:rPr>
        <w:t xml:space="preserve"> The recommended codes </w:t>
      </w:r>
      <w:r w:rsidR="00B947FD">
        <w:rPr>
          <w:u w:val="single"/>
        </w:rPr>
        <w:t>are available in Appendix to Annex I of this Standard.</w:t>
      </w:r>
      <w:r w:rsidR="0046730C">
        <w:rPr>
          <w:u w:val="single"/>
        </w:rPr>
        <w:t xml:space="preserve"> </w:t>
      </w:r>
      <w:r w:rsidR="00B947FD">
        <w:rPr>
          <w:u w:val="single"/>
        </w:rPr>
        <w:t xml:space="preserve"> </w:t>
      </w:r>
      <w:r>
        <w:rPr>
          <w:u w:val="single"/>
        </w:rPr>
        <w:t>I</w:t>
      </w:r>
      <w:r w:rsidR="0046730C">
        <w:rPr>
          <w:u w:val="single"/>
        </w:rPr>
        <w:t xml:space="preserve">f an </w:t>
      </w:r>
      <w:r>
        <w:rPr>
          <w:u w:val="single"/>
        </w:rPr>
        <w:t>IPO</w:t>
      </w:r>
      <w:r w:rsidR="0046730C">
        <w:rPr>
          <w:u w:val="single"/>
        </w:rPr>
        <w:t xml:space="preserve"> chooses not to provide any event indicators, then the event indicators field should be represented as “xxx”.</w:t>
      </w:r>
      <w:r w:rsidR="0046730C" w:rsidRPr="0039777B">
        <w:t>”</w:t>
      </w:r>
    </w:p>
    <w:p w14:paraId="784E8A69" w14:textId="77777777" w:rsidR="006A4D63" w:rsidRDefault="00C853D0" w:rsidP="00C853D0">
      <w:pPr>
        <w:pStyle w:val="ONUMFS"/>
        <w:numPr>
          <w:ilvl w:val="0"/>
          <w:numId w:val="0"/>
        </w:numPr>
      </w:pPr>
      <w:r>
        <w:fldChar w:fldCharType="begin"/>
      </w:r>
      <w:r>
        <w:instrText xml:space="preserve"> AUTONUM  </w:instrText>
      </w:r>
      <w:r>
        <w:fldChar w:fldCharType="end"/>
      </w:r>
      <w:r>
        <w:tab/>
      </w:r>
      <w:r w:rsidR="004F4DD2">
        <w:t xml:space="preserve">With these changes, the term “reserved characters” is no longer needed in ST.27.  </w:t>
      </w:r>
      <w:r w:rsidR="006A4D63">
        <w:t>Therefore, the following amendments are proposed:</w:t>
      </w:r>
    </w:p>
    <w:p w14:paraId="236AFD4D" w14:textId="5FF2592B" w:rsidR="006A4D63" w:rsidRPr="006A4D63" w:rsidRDefault="003F5649" w:rsidP="00C853D0">
      <w:pPr>
        <w:pStyle w:val="ONUMFS"/>
        <w:numPr>
          <w:ilvl w:val="0"/>
          <w:numId w:val="0"/>
        </w:numPr>
        <w:rPr>
          <w:i/>
        </w:rPr>
      </w:pPr>
      <w:r>
        <w:rPr>
          <w:i/>
        </w:rPr>
        <w:t xml:space="preserve">         </w:t>
      </w:r>
      <w:r w:rsidR="006A4D63" w:rsidRPr="006A4D63">
        <w:rPr>
          <w:i/>
        </w:rPr>
        <w:t xml:space="preserve">Main body of ST.27 </w:t>
      </w:r>
    </w:p>
    <w:p w14:paraId="42DA3B4E" w14:textId="0B817975" w:rsidR="006A4D63" w:rsidRDefault="006A4D63" w:rsidP="006A4D63">
      <w:pPr>
        <w:pStyle w:val="ONUMFS"/>
        <w:numPr>
          <w:ilvl w:val="0"/>
          <w:numId w:val="0"/>
        </w:numPr>
        <w:ind w:left="567"/>
      </w:pPr>
      <w:r>
        <w:t>“31. The key events are formed by a combination of a single alphabetic letter followed by the number “10”</w:t>
      </w:r>
      <w:r w:rsidRPr="004F6111">
        <w:rPr>
          <w:strike/>
        </w:rPr>
        <w:t>, then a period and "xxx"</w:t>
      </w:r>
      <w:r>
        <w:t xml:space="preserve">. The single alphabetic letter is assigned according to the categories. </w:t>
      </w:r>
      <w:r w:rsidRPr="004F6111">
        <w:rPr>
          <w:strike/>
        </w:rPr>
        <w:t>The three additional characters after the period are reserved for possible future use</w:t>
      </w:r>
      <w:r w:rsidRPr="006A4D63">
        <w:rPr>
          <w:strike/>
        </w:rPr>
        <w:t>.</w:t>
      </w:r>
      <w:r w:rsidRPr="006A4D63">
        <w:t>”</w:t>
      </w:r>
    </w:p>
    <w:p w14:paraId="29E762F6" w14:textId="23C78BB7" w:rsidR="006A4D63" w:rsidRPr="00886B33" w:rsidRDefault="006A4D63" w:rsidP="00886B33">
      <w:pPr>
        <w:pStyle w:val="ONUMFS"/>
        <w:numPr>
          <w:ilvl w:val="0"/>
          <w:numId w:val="0"/>
        </w:numPr>
        <w:ind w:left="567"/>
        <w:rPr>
          <w:u w:val="single"/>
        </w:rPr>
      </w:pPr>
      <w:r>
        <w:t>“34. The detailed events are formed by a combination of a single alphabetic letter followed by a two-digit number from 11 to 99</w:t>
      </w:r>
      <w:r w:rsidRPr="004F6111">
        <w:rPr>
          <w:strike/>
        </w:rPr>
        <w:t>, then a period and "xxx"</w:t>
      </w:r>
      <w:r>
        <w:t xml:space="preserve">. The single alphabetic letter is assigned according to the categories. The codes for detailed events are contained in Annex I. </w:t>
      </w:r>
      <w:r w:rsidRPr="004F6111">
        <w:rPr>
          <w:strike/>
        </w:rPr>
        <w:t>The three additional characters after the period are reserved for possible future use.</w:t>
      </w:r>
      <w:r w:rsidRPr="006A4D63">
        <w:t>”</w:t>
      </w:r>
    </w:p>
    <w:p w14:paraId="5E1D86EA" w14:textId="4A00552A" w:rsidR="00C853D0" w:rsidRPr="006A4D63" w:rsidRDefault="003F5649" w:rsidP="00C853D0">
      <w:pPr>
        <w:pStyle w:val="ONUMFS"/>
        <w:numPr>
          <w:ilvl w:val="0"/>
          <w:numId w:val="0"/>
        </w:numPr>
        <w:rPr>
          <w:i/>
        </w:rPr>
      </w:pPr>
      <w:r>
        <w:rPr>
          <w:i/>
        </w:rPr>
        <w:t xml:space="preserve">         </w:t>
      </w:r>
      <w:r w:rsidR="004F4DD2" w:rsidRPr="006A4D63">
        <w:rPr>
          <w:i/>
        </w:rPr>
        <w:t xml:space="preserve">Annex I </w:t>
      </w:r>
      <w:r w:rsidR="006A4D63" w:rsidRPr="006A4D63">
        <w:rPr>
          <w:i/>
        </w:rPr>
        <w:t>of ST.27, removal of paragraph 3</w:t>
      </w:r>
    </w:p>
    <w:p w14:paraId="43734E3F" w14:textId="055165CE" w:rsidR="00BA50E2" w:rsidRPr="0039777B" w:rsidRDefault="0039777B" w:rsidP="0039777B">
      <w:pPr>
        <w:pStyle w:val="ONUMFS"/>
        <w:numPr>
          <w:ilvl w:val="0"/>
          <w:numId w:val="0"/>
        </w:numPr>
        <w:ind w:left="567"/>
        <w:rPr>
          <w:strike/>
        </w:rPr>
      </w:pPr>
      <w:r w:rsidRPr="0039777B">
        <w:t>“</w:t>
      </w:r>
      <w:r w:rsidR="004F4DD2" w:rsidRPr="004F4DD2">
        <w:rPr>
          <w:strike/>
        </w:rPr>
        <w:t>3. Three additional characters after the number are reserved for possible future use. These characters should be stored as 'xxx' in current implementations. The reserved characters are not shown in the list below.</w:t>
      </w:r>
      <w:r w:rsidRPr="0039777B">
        <w:t>”</w:t>
      </w:r>
      <w:r w:rsidR="0046730C" w:rsidRPr="0046730C">
        <w:rPr>
          <w:u w:val="single"/>
        </w:rPr>
        <w:t xml:space="preserve"> </w:t>
      </w:r>
    </w:p>
    <w:p w14:paraId="398D9809" w14:textId="77777777" w:rsidR="004F4DD2" w:rsidRPr="00D0286B" w:rsidRDefault="004F4DD2" w:rsidP="004F4DD2">
      <w:pPr>
        <w:pStyle w:val="Heading2"/>
        <w:spacing w:before="0"/>
      </w:pPr>
      <w:r>
        <w:t>PROcedure Indicators proposal</w:t>
      </w:r>
    </w:p>
    <w:p w14:paraId="080E603F" w14:textId="364600F2" w:rsidR="00306263" w:rsidRDefault="004F4DD2" w:rsidP="00306263">
      <w:pPr>
        <w:pStyle w:val="ONUMFS"/>
        <w:numPr>
          <w:ilvl w:val="0"/>
          <w:numId w:val="0"/>
        </w:numPr>
      </w:pPr>
      <w:r>
        <w:fldChar w:fldCharType="begin"/>
      </w:r>
      <w:r>
        <w:instrText xml:space="preserve"> AUTONUM  </w:instrText>
      </w:r>
      <w:r>
        <w:fldChar w:fldCharType="end"/>
      </w:r>
      <w:r>
        <w:tab/>
        <w:t xml:space="preserve">Within the general framework of </w:t>
      </w:r>
      <w:r w:rsidR="0039777B" w:rsidRPr="007242AF">
        <w:t>‘event indicators’</w:t>
      </w:r>
      <w:r w:rsidR="0039777B">
        <w:t xml:space="preserve"> </w:t>
      </w:r>
      <w:r>
        <w:t xml:space="preserve">described above, </w:t>
      </w:r>
      <w:r w:rsidR="0039777B" w:rsidRPr="007242AF">
        <w:t>‘</w:t>
      </w:r>
      <w:r w:rsidRPr="0039777B">
        <w:t>procedure indicators</w:t>
      </w:r>
      <w:r w:rsidR="0039777B" w:rsidRPr="0039777B">
        <w:t>’</w:t>
      </w:r>
      <w:r w:rsidR="0039777B">
        <w:t xml:space="preserve"> </w:t>
      </w:r>
      <w:r>
        <w:t xml:space="preserve">are a specific type of </w:t>
      </w:r>
      <w:r w:rsidR="0039777B" w:rsidRPr="007242AF">
        <w:t>‘event indicators’</w:t>
      </w:r>
      <w:r>
        <w:t xml:space="preserve">.  The Task Force </w:t>
      </w:r>
      <w:r w:rsidR="00F67BAD">
        <w:t xml:space="preserve">proposes to include </w:t>
      </w:r>
      <w:r w:rsidR="00BA55E8">
        <w:t xml:space="preserve">the </w:t>
      </w:r>
      <w:r w:rsidR="00C1769A" w:rsidRPr="009868F6">
        <w:t>‘</w:t>
      </w:r>
      <w:r w:rsidR="00C1769A" w:rsidRPr="00006E47">
        <w:t>procedure indicators</w:t>
      </w:r>
      <w:r w:rsidR="00C1769A" w:rsidRPr="00795982">
        <w:t>’</w:t>
      </w:r>
      <w:r w:rsidR="00C1769A">
        <w:t xml:space="preserve"> </w:t>
      </w:r>
      <w:r>
        <w:t>in ST.27</w:t>
      </w:r>
      <w:r w:rsidR="00F67BAD">
        <w:t xml:space="preserve"> as the Appendix to Annex I</w:t>
      </w:r>
      <w:r>
        <w:t>.</w:t>
      </w:r>
      <w:r w:rsidR="00BA55E8">
        <w:t xml:space="preserve">  The proposed </w:t>
      </w:r>
      <w:r w:rsidR="00F67BAD">
        <w:t>new Appendix is</w:t>
      </w:r>
      <w:r w:rsidR="00BA55E8">
        <w:t xml:space="preserve"> presented as </w:t>
      </w:r>
      <w:r w:rsidR="006738B9">
        <w:t xml:space="preserve">the </w:t>
      </w:r>
      <w:r w:rsidR="00BA55E8">
        <w:t>Annex to this document.</w:t>
      </w:r>
      <w:r w:rsidR="00F67BAD">
        <w:t xml:space="preserve">  If the</w:t>
      </w:r>
      <w:r w:rsidR="00886B33">
        <w:t xml:space="preserve"> proposed amendments to ST.27 are</w:t>
      </w:r>
      <w:r w:rsidR="00F67BAD">
        <w:t xml:space="preserve"> approved, </w:t>
      </w:r>
      <w:r w:rsidR="003B702F">
        <w:t>relevant patent legal status XML components</w:t>
      </w:r>
      <w:r w:rsidR="00F67BAD">
        <w:t xml:space="preserve"> </w:t>
      </w:r>
      <w:r w:rsidR="003B702F">
        <w:t xml:space="preserve">of WIPO Standard ST.96 should consequently be amended.  </w:t>
      </w:r>
    </w:p>
    <w:p w14:paraId="2A8F1599" w14:textId="77777777" w:rsidR="00306263" w:rsidRPr="00306263" w:rsidRDefault="00306263" w:rsidP="00306263">
      <w:pPr>
        <w:pStyle w:val="ONUMFS"/>
        <w:numPr>
          <w:ilvl w:val="0"/>
          <w:numId w:val="0"/>
        </w:numPr>
      </w:pPr>
      <w:r>
        <w:fldChar w:fldCharType="begin"/>
      </w:r>
      <w:r>
        <w:instrText xml:space="preserve"> AUTONUM  </w:instrText>
      </w:r>
      <w:r>
        <w:fldChar w:fldCharType="end"/>
      </w:r>
      <w:r>
        <w:tab/>
      </w:r>
      <w:r w:rsidR="004F4DD2">
        <w:t xml:space="preserve">One limitation of current ST.27 status event codes is that they make it difficult to indicate which events are related.  </w:t>
      </w:r>
      <w:r w:rsidRPr="00306263">
        <w:t>For instance, consider this sequence</w:t>
      </w:r>
      <w:r>
        <w:t xml:space="preserve"> of events</w:t>
      </w:r>
      <w:r w:rsidRPr="00306263">
        <w:t>:</w:t>
      </w:r>
    </w:p>
    <w:p w14:paraId="4E3C57B6" w14:textId="77777777" w:rsidR="00306263" w:rsidRPr="00306263" w:rsidRDefault="00306263" w:rsidP="0039777B">
      <w:pPr>
        <w:pStyle w:val="ONUME"/>
        <w:numPr>
          <w:ilvl w:val="0"/>
          <w:numId w:val="7"/>
        </w:numPr>
        <w:tabs>
          <w:tab w:val="left" w:pos="1080"/>
        </w:tabs>
        <w:spacing w:after="120"/>
      </w:pPr>
      <w:r w:rsidRPr="00306263">
        <w:t>D10 Search and/or examination requested or commenced</w:t>
      </w:r>
    </w:p>
    <w:p w14:paraId="7BFDC5BE" w14:textId="77777777" w:rsidR="00306263" w:rsidRPr="00306263" w:rsidRDefault="00306263" w:rsidP="0039777B">
      <w:pPr>
        <w:pStyle w:val="ONUME"/>
        <w:numPr>
          <w:ilvl w:val="0"/>
          <w:numId w:val="7"/>
        </w:numPr>
        <w:tabs>
          <w:tab w:val="left" w:pos="1080"/>
        </w:tabs>
        <w:spacing w:after="120"/>
      </w:pPr>
      <w:r w:rsidRPr="00306263">
        <w:t>E11 Pre-grant opposition filed</w:t>
      </w:r>
    </w:p>
    <w:p w14:paraId="5198080D" w14:textId="77777777" w:rsidR="00306263" w:rsidRPr="00306263" w:rsidRDefault="00306263" w:rsidP="0039777B">
      <w:pPr>
        <w:pStyle w:val="ONUME"/>
        <w:numPr>
          <w:ilvl w:val="0"/>
          <w:numId w:val="7"/>
        </w:numPr>
        <w:tabs>
          <w:tab w:val="left" w:pos="1080"/>
        </w:tabs>
        <w:spacing w:after="120"/>
      </w:pPr>
      <w:r w:rsidRPr="00306263">
        <w:t>P13 Application amended</w:t>
      </w:r>
    </w:p>
    <w:p w14:paraId="5079C8A4" w14:textId="77777777" w:rsidR="00306263" w:rsidRPr="00306263" w:rsidRDefault="00306263" w:rsidP="0039777B">
      <w:pPr>
        <w:pStyle w:val="ONUME"/>
        <w:numPr>
          <w:ilvl w:val="0"/>
          <w:numId w:val="7"/>
        </w:numPr>
        <w:tabs>
          <w:tab w:val="left" w:pos="1080"/>
        </w:tabs>
      </w:pPr>
      <w:r w:rsidRPr="00306263">
        <w:t>Q17 Modified document published</w:t>
      </w:r>
    </w:p>
    <w:p w14:paraId="6B132753" w14:textId="2BB69018" w:rsidR="00306263" w:rsidRPr="00306263" w:rsidRDefault="00306263" w:rsidP="00306263">
      <w:pPr>
        <w:pStyle w:val="ONUMFS"/>
        <w:numPr>
          <w:ilvl w:val="0"/>
          <w:numId w:val="0"/>
        </w:numPr>
      </w:pPr>
      <w:r>
        <w:lastRenderedPageBreak/>
        <w:fldChar w:fldCharType="begin"/>
      </w:r>
      <w:r>
        <w:instrText xml:space="preserve"> AUTONUM  </w:instrText>
      </w:r>
      <w:r>
        <w:fldChar w:fldCharType="end"/>
      </w:r>
      <w:r>
        <w:tab/>
      </w:r>
      <w:r w:rsidR="0039777B">
        <w:t>There i</w:t>
      </w:r>
      <w:r w:rsidRPr="00306263">
        <w:t>s no</w:t>
      </w:r>
      <w:r w:rsidR="006917C9">
        <w:t xml:space="preserve"> clear</w:t>
      </w:r>
      <w:r w:rsidRPr="00306263">
        <w:t xml:space="preserve"> indication what the last two events relate to</w:t>
      </w:r>
      <w:r w:rsidR="00FC49F7">
        <w:t>:</w:t>
      </w:r>
      <w:r w:rsidRPr="00306263">
        <w:t xml:space="preserve">  </w:t>
      </w:r>
      <w:r w:rsidR="006917C9">
        <w:t xml:space="preserve">P13 could mean </w:t>
      </w:r>
      <w:r w:rsidRPr="00306263">
        <w:t>the application amended du</w:t>
      </w:r>
      <w:r>
        <w:t xml:space="preserve">e to </w:t>
      </w:r>
      <w:r w:rsidRPr="00306263">
        <w:t>examination or due to the opposition procedure</w:t>
      </w:r>
      <w:r w:rsidR="00FC49F7">
        <w:t>; and Q17</w:t>
      </w:r>
      <w:r w:rsidR="00A80BD7">
        <w:t xml:space="preserve"> may indicate</w:t>
      </w:r>
      <w:r w:rsidRPr="00306263">
        <w:t xml:space="preserve"> the document publication related to examination,</w:t>
      </w:r>
      <w:r>
        <w:t xml:space="preserve"> opposition, or something else</w:t>
      </w:r>
      <w:r w:rsidR="00FC49F7">
        <w:t>.</w:t>
      </w:r>
      <w:r>
        <w:t xml:space="preserve">  </w:t>
      </w:r>
      <w:r w:rsidRPr="00306263">
        <w:t xml:space="preserve">Finding such relations between events may require consulting national event histories outside of ST.27.  Perhaps this </w:t>
      </w:r>
      <w:r w:rsidR="00FC49F7">
        <w:t>may be fine</w:t>
      </w:r>
      <w:r w:rsidRPr="00306263">
        <w:t xml:space="preserve"> for a </w:t>
      </w:r>
      <w:r>
        <w:t xml:space="preserve">small number of </w:t>
      </w:r>
      <w:r w:rsidRPr="00306263">
        <w:t>applications</w:t>
      </w:r>
      <w:r w:rsidR="00FC49F7">
        <w:t>, b</w:t>
      </w:r>
      <w:r w:rsidRPr="00306263">
        <w:t>ut such investigations become unmanageable when dealing with large portfolios or data from many IPOs.</w:t>
      </w:r>
    </w:p>
    <w:p w14:paraId="58D87CA2" w14:textId="5229FF89" w:rsidR="00C853D0" w:rsidRDefault="00306263" w:rsidP="00C853D0">
      <w:pPr>
        <w:pStyle w:val="ONUMFS"/>
        <w:numPr>
          <w:ilvl w:val="0"/>
          <w:numId w:val="0"/>
        </w:numPr>
      </w:pPr>
      <w:r>
        <w:fldChar w:fldCharType="begin"/>
      </w:r>
      <w:r>
        <w:instrText xml:space="preserve"> AUTONUM  </w:instrText>
      </w:r>
      <w:r>
        <w:fldChar w:fldCharType="end"/>
      </w:r>
      <w:r>
        <w:tab/>
      </w:r>
      <w:r w:rsidR="007365BB">
        <w:t>Some O</w:t>
      </w:r>
      <w:r w:rsidRPr="00306263">
        <w:t>ffices, such as</w:t>
      </w:r>
      <w:r w:rsidR="00A17DF6">
        <w:t xml:space="preserve"> the</w:t>
      </w:r>
      <w:r w:rsidRPr="00306263">
        <w:t xml:space="preserve"> </w:t>
      </w:r>
      <w:r w:rsidR="00FC49F7">
        <w:t>German Patent and Trade Mark Office</w:t>
      </w:r>
      <w:r w:rsidRPr="00306263">
        <w:t xml:space="preserve"> and </w:t>
      </w:r>
      <w:r w:rsidR="00A17DF6">
        <w:t xml:space="preserve">the </w:t>
      </w:r>
      <w:r w:rsidRPr="00306263">
        <w:t>E</w:t>
      </w:r>
      <w:r w:rsidR="00A17DF6">
        <w:t xml:space="preserve">uropean </w:t>
      </w:r>
      <w:r w:rsidRPr="00306263">
        <w:t>P</w:t>
      </w:r>
      <w:r w:rsidR="00A17DF6">
        <w:t xml:space="preserve">atent </w:t>
      </w:r>
      <w:r w:rsidRPr="00306263">
        <w:t>O</w:t>
      </w:r>
      <w:r w:rsidR="00A17DF6">
        <w:t>ffice</w:t>
      </w:r>
      <w:r w:rsidRPr="00306263">
        <w:t xml:space="preserve">, use codes </w:t>
      </w:r>
      <w:r>
        <w:t xml:space="preserve">within their own event systems to group related events into a </w:t>
      </w:r>
      <w:r w:rsidRPr="00306263">
        <w:t xml:space="preserve">procedure </w:t>
      </w:r>
      <w:r>
        <w:t>(such as Examination or Opposition)</w:t>
      </w:r>
      <w:r w:rsidRPr="00306263">
        <w:t>.  Th</w:t>
      </w:r>
      <w:r>
        <w:t>e</w:t>
      </w:r>
      <w:r w:rsidRPr="00306263">
        <w:t xml:space="preserve"> </w:t>
      </w:r>
      <w:r w:rsidR="00C1769A" w:rsidRPr="009868F6">
        <w:t>‘</w:t>
      </w:r>
      <w:r w:rsidR="00C1769A" w:rsidRPr="00006E47">
        <w:t>procedure indicators</w:t>
      </w:r>
      <w:r w:rsidR="00C1769A" w:rsidRPr="00795982">
        <w:t>’</w:t>
      </w:r>
      <w:r w:rsidR="00C1769A">
        <w:t xml:space="preserve"> </w:t>
      </w:r>
      <w:r w:rsidRPr="00306263">
        <w:t xml:space="preserve">proposal </w:t>
      </w:r>
      <w:r>
        <w:t xml:space="preserve">takes </w:t>
      </w:r>
      <w:r w:rsidRPr="00306263">
        <w:t>a similar approach</w:t>
      </w:r>
      <w:r w:rsidR="00D8365D">
        <w:t xml:space="preserve"> modeled on existing practices</w:t>
      </w:r>
      <w:r w:rsidRPr="00306263">
        <w:t>, generalized to the language of ST.27.</w:t>
      </w:r>
    </w:p>
    <w:p w14:paraId="740BCF88" w14:textId="3748BA1D" w:rsidR="00A17DF6" w:rsidRDefault="00C853D0" w:rsidP="00C853D0">
      <w:pPr>
        <w:pStyle w:val="ONUMFS"/>
        <w:numPr>
          <w:ilvl w:val="0"/>
          <w:numId w:val="0"/>
        </w:numPr>
      </w:pPr>
      <w:r>
        <w:fldChar w:fldCharType="begin"/>
      </w:r>
      <w:r>
        <w:instrText xml:space="preserve"> AUTONUM  </w:instrText>
      </w:r>
      <w:r>
        <w:fldChar w:fldCharType="end"/>
      </w:r>
      <w:r>
        <w:tab/>
      </w:r>
      <w:r w:rsidR="00306263">
        <w:t xml:space="preserve"> </w:t>
      </w:r>
      <w:r w:rsidR="000C6DF8">
        <w:t xml:space="preserve">The </w:t>
      </w:r>
      <w:r w:rsidR="00C1769A" w:rsidRPr="009868F6">
        <w:t>‘</w:t>
      </w:r>
      <w:r w:rsidR="00C1769A" w:rsidRPr="00006E47">
        <w:t>procedure indicators</w:t>
      </w:r>
      <w:r w:rsidR="00C1769A" w:rsidRPr="00795982">
        <w:t>’</w:t>
      </w:r>
      <w:r w:rsidR="00C1769A">
        <w:t xml:space="preserve"> </w:t>
      </w:r>
      <w:r w:rsidR="000C6DF8">
        <w:t>proposal lists 25 different high-level procedures that are common across many IPOs.  Some indicators relate to major processing actions, such as search, examination, or opposition proceedings.  Some relate to the way different types of applications are handled, such as national applications, regional applications, or provisional</w:t>
      </w:r>
      <w:r w:rsidR="0008012F">
        <w:t xml:space="preserve"> application</w:t>
      </w:r>
      <w:r w:rsidR="000C6DF8">
        <w:t xml:space="preserve">s.  Others relate to </w:t>
      </w:r>
      <w:r w:rsidR="00BA55E8">
        <w:t xml:space="preserve">external </w:t>
      </w:r>
      <w:r w:rsidR="000C6DF8">
        <w:t xml:space="preserve">processes that </w:t>
      </w:r>
      <w:r w:rsidR="00BA55E8">
        <w:t xml:space="preserve">are recorded at the </w:t>
      </w:r>
      <w:r w:rsidR="000C6DF8">
        <w:t>IPO, such as licenses or assignments.</w:t>
      </w:r>
    </w:p>
    <w:p w14:paraId="15BAFF06" w14:textId="77777777" w:rsidR="00C853D0" w:rsidRDefault="00C853D0" w:rsidP="00C853D0">
      <w:pPr>
        <w:pStyle w:val="ONUMFS"/>
        <w:numPr>
          <w:ilvl w:val="0"/>
          <w:numId w:val="0"/>
        </w:numPr>
      </w:pPr>
      <w:r>
        <w:fldChar w:fldCharType="begin"/>
      </w:r>
      <w:r>
        <w:instrText xml:space="preserve"> AUTONUM  </w:instrText>
      </w:r>
      <w:r>
        <w:fldChar w:fldCharType="end"/>
      </w:r>
      <w:r>
        <w:tab/>
      </w:r>
      <w:r w:rsidR="00BA55E8">
        <w:t>An initial look at the list of procedures shows similarities to the list of Categories in Annex I of ST.27.  However, procedures do not duplicate the same information because:</w:t>
      </w:r>
    </w:p>
    <w:p w14:paraId="41D65322" w14:textId="5AA1A687" w:rsidR="00BA55E8" w:rsidRDefault="00BA55E8" w:rsidP="00035204">
      <w:pPr>
        <w:pStyle w:val="ONUME"/>
        <w:numPr>
          <w:ilvl w:val="0"/>
          <w:numId w:val="7"/>
        </w:numPr>
        <w:tabs>
          <w:tab w:val="left" w:pos="1080"/>
        </w:tabs>
        <w:spacing w:after="120"/>
      </w:pPr>
      <w:r>
        <w:t xml:space="preserve">Procedures are more granular than categories.  For instance, category D “Search and Examination” corresponds with two different </w:t>
      </w:r>
      <w:r w:rsidR="00035204">
        <w:t xml:space="preserve">procedures, one for search and </w:t>
      </w:r>
      <w:r>
        <w:t>another for examination.</w:t>
      </w:r>
    </w:p>
    <w:p w14:paraId="564023E7" w14:textId="7480CCC8" w:rsidR="00BA55E8" w:rsidRDefault="00BA55E8" w:rsidP="00035204">
      <w:pPr>
        <w:pStyle w:val="ONUME"/>
        <w:numPr>
          <w:ilvl w:val="0"/>
          <w:numId w:val="7"/>
        </w:numPr>
        <w:tabs>
          <w:tab w:val="left" w:pos="1080"/>
        </w:tabs>
        <w:spacing w:after="120"/>
      </w:pPr>
      <w:r>
        <w:t>Procedures apply in contexts where categories cannot be used.  For instance, consider an event Q10 Document published.  Suppose the document relates to examination.  Because the “document published” eve</w:t>
      </w:r>
      <w:r w:rsidR="00035204">
        <w:t>nt belongs to category Q, there i</w:t>
      </w:r>
      <w:r>
        <w:t xml:space="preserve">s no way to also indicate category D as part of the event.  However, adding the </w:t>
      </w:r>
      <w:r w:rsidR="00035204" w:rsidRPr="007242AF">
        <w:t>‘</w:t>
      </w:r>
      <w:r w:rsidR="00035204">
        <w:t>procedure indicator</w:t>
      </w:r>
      <w:r w:rsidR="00035204" w:rsidRPr="0039777B">
        <w:t>’</w:t>
      </w:r>
      <w:r w:rsidR="00035204">
        <w:t xml:space="preserve"> </w:t>
      </w:r>
      <w:r>
        <w:t>for “examination procedure” shows that this Q10 event relates to examination.</w:t>
      </w:r>
    </w:p>
    <w:p w14:paraId="3AA5A7B6" w14:textId="443A8857" w:rsidR="00BA50E2" w:rsidRDefault="00C853D0" w:rsidP="00035204">
      <w:pPr>
        <w:pStyle w:val="ONUMFS"/>
        <w:numPr>
          <w:ilvl w:val="0"/>
          <w:numId w:val="0"/>
        </w:numPr>
      </w:pPr>
      <w:r>
        <w:fldChar w:fldCharType="begin"/>
      </w:r>
      <w:r>
        <w:instrText xml:space="preserve"> AUTONUM  </w:instrText>
      </w:r>
      <w:r>
        <w:fldChar w:fldCharType="end"/>
      </w:r>
      <w:r>
        <w:tab/>
      </w:r>
      <w:r w:rsidR="00BA50E2">
        <w:t xml:space="preserve">The Task Force discussed several possible encodings for </w:t>
      </w:r>
      <w:r w:rsidR="00C1769A" w:rsidRPr="009868F6">
        <w:t>‘</w:t>
      </w:r>
      <w:r w:rsidR="00C1769A" w:rsidRPr="00006E47">
        <w:t>procedure indicators</w:t>
      </w:r>
      <w:r w:rsidR="00C1769A" w:rsidRPr="00795982">
        <w:t>’</w:t>
      </w:r>
      <w:r w:rsidR="00BA50E2">
        <w:t>, using one, two, or three characters.  After discussion, the Task Force preferred to use an encoding that was easier for end users to interpret.  Th</w:t>
      </w:r>
      <w:r w:rsidR="00FC49F7">
        <w:t>erefore,</w:t>
      </w:r>
      <w:r w:rsidR="00BA50E2">
        <w:t xml:space="preserve"> the proposed 3-letter codes were chosen to bear some resemblance to the procedure term.</w:t>
      </w:r>
    </w:p>
    <w:p w14:paraId="001FCE8F" w14:textId="77777777" w:rsidR="002847FC" w:rsidRPr="00D0286B" w:rsidRDefault="002847FC" w:rsidP="002847FC">
      <w:pPr>
        <w:pStyle w:val="Heading2"/>
        <w:spacing w:before="0"/>
      </w:pPr>
      <w:r>
        <w:t>Work Plan</w:t>
      </w:r>
    </w:p>
    <w:p w14:paraId="5F43E477" w14:textId="309B9445" w:rsidR="002847FC" w:rsidRDefault="002847FC" w:rsidP="002847FC">
      <w:pPr>
        <w:spacing w:after="220"/>
        <w:contextualSpacing/>
      </w:pPr>
      <w:r>
        <w:fldChar w:fldCharType="begin"/>
      </w:r>
      <w:r>
        <w:instrText xml:space="preserve"> AUTONUM  </w:instrText>
      </w:r>
      <w:r>
        <w:fldChar w:fldCharType="end"/>
      </w:r>
      <w:r>
        <w:tab/>
        <w:t xml:space="preserve">If the CWS approves the </w:t>
      </w:r>
      <w:r w:rsidR="00C1769A" w:rsidRPr="009868F6">
        <w:t>‘</w:t>
      </w:r>
      <w:r w:rsidR="00C1769A" w:rsidRPr="00006E47">
        <w:t>procedure indicators</w:t>
      </w:r>
      <w:r w:rsidR="00C1769A" w:rsidRPr="00795982">
        <w:t>’</w:t>
      </w:r>
      <w:r w:rsidR="00C1769A">
        <w:t xml:space="preserve"> </w:t>
      </w:r>
      <w:r w:rsidR="00BA50E2">
        <w:t xml:space="preserve">proposal for ST.27, the </w:t>
      </w:r>
      <w:r>
        <w:t xml:space="preserve">Task Force </w:t>
      </w:r>
      <w:r w:rsidR="003F5649">
        <w:t>proposes</w:t>
      </w:r>
      <w:r w:rsidR="006738B9">
        <w:t xml:space="preserve"> </w:t>
      </w:r>
      <w:r w:rsidR="003F5649">
        <w:t xml:space="preserve">to </w:t>
      </w:r>
      <w:r w:rsidR="006738B9">
        <w:t xml:space="preserve">study how to adapt </w:t>
      </w:r>
      <w:r w:rsidR="00035204" w:rsidRPr="007242AF">
        <w:t>‘</w:t>
      </w:r>
      <w:r w:rsidR="00035204" w:rsidRPr="0039777B">
        <w:t>procedure indicators’</w:t>
      </w:r>
      <w:r w:rsidR="00035204">
        <w:t xml:space="preserve"> </w:t>
      </w:r>
      <w:r w:rsidR="006738B9">
        <w:t>for ST.61 and ST.87,</w:t>
      </w:r>
      <w:r w:rsidR="003F5649">
        <w:t xml:space="preserve"> and to present</w:t>
      </w:r>
      <w:r w:rsidR="006738B9">
        <w:t xml:space="preserve"> a proposal </w:t>
      </w:r>
      <w:r w:rsidR="003F5649">
        <w:t xml:space="preserve">for consideration at </w:t>
      </w:r>
      <w:r w:rsidR="006738B9">
        <w:t>the tenth session of the CWS</w:t>
      </w:r>
      <w:r>
        <w:t>.</w:t>
      </w:r>
      <w:r w:rsidR="002C25C9">
        <w:t xml:space="preserve">  </w:t>
      </w:r>
    </w:p>
    <w:p w14:paraId="0F99B282" w14:textId="332C8D6C" w:rsidR="008C3429" w:rsidRDefault="008C3429" w:rsidP="002847FC">
      <w:pPr>
        <w:spacing w:after="220"/>
        <w:contextualSpacing/>
      </w:pPr>
    </w:p>
    <w:p w14:paraId="4F3A3C61" w14:textId="1FF41FD0" w:rsidR="00A80BD7" w:rsidRDefault="00A80BD7" w:rsidP="002847FC">
      <w:pPr>
        <w:spacing w:after="220"/>
        <w:contextualSpacing/>
      </w:pPr>
    </w:p>
    <w:p w14:paraId="737521BC" w14:textId="6CAE1C3A" w:rsidR="00A80BD7" w:rsidRDefault="00A80BD7" w:rsidP="002847FC">
      <w:pPr>
        <w:spacing w:after="220"/>
        <w:contextualSpacing/>
      </w:pPr>
    </w:p>
    <w:p w14:paraId="6E7DC9B7" w14:textId="79F579F2" w:rsidR="00A80BD7" w:rsidRDefault="00A80BD7" w:rsidP="002847FC">
      <w:pPr>
        <w:spacing w:after="220"/>
        <w:contextualSpacing/>
      </w:pPr>
    </w:p>
    <w:p w14:paraId="5954300D" w14:textId="5ABD92D7" w:rsidR="00A80BD7" w:rsidRDefault="00A80BD7" w:rsidP="002847FC">
      <w:pPr>
        <w:spacing w:after="220"/>
        <w:contextualSpacing/>
      </w:pPr>
    </w:p>
    <w:p w14:paraId="35B732E0" w14:textId="46C02085" w:rsidR="00A80BD7" w:rsidRDefault="00A80BD7" w:rsidP="002847FC">
      <w:pPr>
        <w:spacing w:after="220"/>
        <w:contextualSpacing/>
      </w:pPr>
    </w:p>
    <w:p w14:paraId="53AC6442" w14:textId="26A3A2A6" w:rsidR="00A80BD7" w:rsidRDefault="00A80BD7" w:rsidP="002847FC">
      <w:pPr>
        <w:spacing w:after="220"/>
        <w:contextualSpacing/>
      </w:pPr>
    </w:p>
    <w:p w14:paraId="6EA38501" w14:textId="2D344CFA" w:rsidR="00A80BD7" w:rsidRDefault="00A80BD7" w:rsidP="002847FC">
      <w:pPr>
        <w:spacing w:after="220"/>
        <w:contextualSpacing/>
      </w:pPr>
    </w:p>
    <w:p w14:paraId="4A79D488" w14:textId="323DE2ED" w:rsidR="00A80BD7" w:rsidRDefault="00A80BD7" w:rsidP="002847FC">
      <w:pPr>
        <w:spacing w:after="220"/>
        <w:contextualSpacing/>
      </w:pPr>
    </w:p>
    <w:p w14:paraId="0B376F2C" w14:textId="059F400C" w:rsidR="00A80BD7" w:rsidRDefault="00A80BD7" w:rsidP="002847FC">
      <w:pPr>
        <w:spacing w:after="220"/>
        <w:contextualSpacing/>
      </w:pPr>
    </w:p>
    <w:p w14:paraId="4968CC6C" w14:textId="0E20BD96" w:rsidR="00A80BD7" w:rsidRDefault="00A80BD7" w:rsidP="002847FC">
      <w:pPr>
        <w:spacing w:after="220"/>
        <w:contextualSpacing/>
      </w:pPr>
    </w:p>
    <w:p w14:paraId="1915E116" w14:textId="4BE53C05" w:rsidR="00A80BD7" w:rsidRDefault="00A80BD7" w:rsidP="002847FC">
      <w:pPr>
        <w:spacing w:after="220"/>
        <w:contextualSpacing/>
      </w:pPr>
    </w:p>
    <w:p w14:paraId="343C6F66" w14:textId="77777777" w:rsidR="00A80BD7" w:rsidRDefault="00A80BD7" w:rsidP="002847FC">
      <w:pPr>
        <w:spacing w:after="220"/>
        <w:contextualSpacing/>
      </w:pPr>
      <w:bookmarkStart w:id="5" w:name="_GoBack"/>
      <w:bookmarkEnd w:id="5"/>
    </w:p>
    <w:p w14:paraId="1661DC9A" w14:textId="77777777" w:rsidR="002847FC" w:rsidRPr="0020019D" w:rsidRDefault="002847FC" w:rsidP="002847FC">
      <w:pPr>
        <w:pStyle w:val="ListParagraph"/>
        <w:widowControl w:val="0"/>
        <w:tabs>
          <w:tab w:val="left" w:pos="6244"/>
          <w:tab w:val="left" w:pos="6245"/>
        </w:tabs>
        <w:autoSpaceDE w:val="0"/>
        <w:autoSpaceDN w:val="0"/>
        <w:spacing w:after="220"/>
        <w:ind w:left="5530" w:right="490"/>
        <w:rPr>
          <w:rFonts w:eastAsia="Arial"/>
          <w:i/>
          <w:szCs w:val="22"/>
          <w:lang w:eastAsia="en-US"/>
        </w:rPr>
      </w:pPr>
      <w:r>
        <w:rPr>
          <w:rFonts w:eastAsia="Arial"/>
          <w:i/>
          <w:szCs w:val="22"/>
          <w:lang w:eastAsia="en-US"/>
        </w:rPr>
        <w:lastRenderedPageBreak/>
        <w:fldChar w:fldCharType="begin"/>
      </w:r>
      <w:r>
        <w:rPr>
          <w:rFonts w:eastAsia="Arial"/>
          <w:i/>
          <w:szCs w:val="22"/>
          <w:lang w:eastAsia="en-US"/>
        </w:rPr>
        <w:instrText xml:space="preserve"> AUTONUM  </w:instrText>
      </w:r>
      <w:r>
        <w:rPr>
          <w:rFonts w:eastAsia="Arial"/>
          <w:i/>
          <w:szCs w:val="22"/>
          <w:lang w:eastAsia="en-US"/>
        </w:rPr>
        <w:fldChar w:fldCharType="end"/>
      </w:r>
      <w:r>
        <w:rPr>
          <w:rFonts w:eastAsia="Arial"/>
          <w:i/>
          <w:szCs w:val="22"/>
          <w:lang w:eastAsia="en-US"/>
        </w:rPr>
        <w:t xml:space="preserve">   </w:t>
      </w:r>
      <w:r w:rsidRPr="0020019D">
        <w:rPr>
          <w:rFonts w:eastAsia="Arial"/>
          <w:i/>
          <w:szCs w:val="22"/>
          <w:lang w:eastAsia="en-US"/>
        </w:rPr>
        <w:t xml:space="preserve">The CWS is invited to: </w:t>
      </w:r>
    </w:p>
    <w:p w14:paraId="4358BC56" w14:textId="630D8383" w:rsidR="002847FC" w:rsidRPr="003F0D86" w:rsidRDefault="002847FC" w:rsidP="002847FC">
      <w:pPr>
        <w:pStyle w:val="ListParagraph"/>
        <w:widowControl w:val="0"/>
        <w:tabs>
          <w:tab w:val="left" w:pos="6244"/>
          <w:tab w:val="left" w:pos="6245"/>
        </w:tabs>
        <w:autoSpaceDE w:val="0"/>
        <w:autoSpaceDN w:val="0"/>
        <w:spacing w:after="220"/>
        <w:ind w:left="5530" w:right="490"/>
        <w:rPr>
          <w:rFonts w:eastAsia="Arial"/>
          <w:i/>
          <w:szCs w:val="22"/>
          <w:lang w:eastAsia="en-US"/>
        </w:rPr>
      </w:pPr>
      <w:r w:rsidRPr="003F0D86">
        <w:rPr>
          <w:rFonts w:eastAsia="Arial"/>
          <w:i/>
          <w:szCs w:val="22"/>
          <w:lang w:eastAsia="en-US"/>
        </w:rPr>
        <w:tab/>
        <w:t>(a)</w:t>
      </w:r>
      <w:r w:rsidRPr="003F0D86">
        <w:rPr>
          <w:rFonts w:eastAsia="Arial"/>
          <w:i/>
          <w:szCs w:val="22"/>
          <w:lang w:eastAsia="en-US"/>
        </w:rPr>
        <w:tab/>
        <w:t xml:space="preserve">note the content of </w:t>
      </w:r>
      <w:r>
        <w:rPr>
          <w:rFonts w:eastAsia="Arial"/>
          <w:i/>
          <w:szCs w:val="22"/>
          <w:lang w:eastAsia="en-US"/>
        </w:rPr>
        <w:t xml:space="preserve">this </w:t>
      </w:r>
      <w:r w:rsidRPr="003F0D86">
        <w:rPr>
          <w:rFonts w:eastAsia="Arial"/>
          <w:i/>
          <w:szCs w:val="22"/>
          <w:lang w:eastAsia="en-US"/>
        </w:rPr>
        <w:t>document</w:t>
      </w:r>
      <w:r w:rsidR="003F5649">
        <w:rPr>
          <w:rFonts w:eastAsia="Arial"/>
          <w:i/>
          <w:szCs w:val="22"/>
          <w:lang w:eastAsia="en-US"/>
        </w:rPr>
        <w:t xml:space="preserve"> and the Annex to this document</w:t>
      </w:r>
      <w:r w:rsidRPr="003F0D86">
        <w:rPr>
          <w:rFonts w:eastAsia="Arial"/>
          <w:i/>
          <w:szCs w:val="22"/>
          <w:lang w:eastAsia="en-US"/>
        </w:rPr>
        <w:t xml:space="preserve">; </w:t>
      </w:r>
    </w:p>
    <w:p w14:paraId="3E3E1884" w14:textId="215CBBE6" w:rsidR="002847FC" w:rsidRDefault="002847FC" w:rsidP="002847FC">
      <w:pPr>
        <w:pStyle w:val="ListParagraph"/>
        <w:widowControl w:val="0"/>
        <w:tabs>
          <w:tab w:val="left" w:pos="6244"/>
          <w:tab w:val="left" w:pos="6245"/>
        </w:tabs>
        <w:autoSpaceDE w:val="0"/>
        <w:autoSpaceDN w:val="0"/>
        <w:spacing w:after="220"/>
        <w:ind w:left="5530"/>
        <w:rPr>
          <w:rFonts w:eastAsia="Arial"/>
          <w:i/>
          <w:szCs w:val="22"/>
          <w:lang w:eastAsia="en-US"/>
        </w:rPr>
      </w:pPr>
      <w:r w:rsidRPr="003F0D86">
        <w:rPr>
          <w:rFonts w:eastAsia="Arial"/>
          <w:i/>
          <w:szCs w:val="22"/>
          <w:lang w:eastAsia="en-US"/>
        </w:rPr>
        <w:tab/>
        <w:t>(b)</w:t>
      </w:r>
      <w:r w:rsidRPr="003F0D86">
        <w:rPr>
          <w:rFonts w:eastAsia="Arial"/>
          <w:i/>
          <w:szCs w:val="22"/>
          <w:lang w:eastAsia="en-US"/>
        </w:rPr>
        <w:tab/>
        <w:t xml:space="preserve">consider and </w:t>
      </w:r>
      <w:r>
        <w:rPr>
          <w:rFonts w:eastAsia="Arial"/>
          <w:i/>
          <w:szCs w:val="22"/>
          <w:lang w:eastAsia="en-US"/>
        </w:rPr>
        <w:t xml:space="preserve">approve </w:t>
      </w:r>
      <w:r w:rsidRPr="003F0D86">
        <w:rPr>
          <w:rFonts w:eastAsia="Arial"/>
          <w:i/>
          <w:szCs w:val="22"/>
          <w:lang w:eastAsia="en-US"/>
        </w:rPr>
        <w:t xml:space="preserve">the proposed </w:t>
      </w:r>
      <w:r>
        <w:rPr>
          <w:rFonts w:eastAsia="Arial"/>
          <w:i/>
          <w:szCs w:val="22"/>
          <w:lang w:eastAsia="en-US"/>
        </w:rPr>
        <w:t xml:space="preserve">revision </w:t>
      </w:r>
      <w:r w:rsidR="002C25C9">
        <w:rPr>
          <w:rFonts w:eastAsia="Arial"/>
          <w:i/>
          <w:szCs w:val="22"/>
          <w:lang w:eastAsia="en-US"/>
        </w:rPr>
        <w:t xml:space="preserve">“event indicators” for standards </w:t>
      </w:r>
      <w:r w:rsidRPr="003F0D86">
        <w:rPr>
          <w:rFonts w:eastAsia="Arial"/>
          <w:i/>
          <w:szCs w:val="22"/>
          <w:lang w:eastAsia="en-US"/>
        </w:rPr>
        <w:t>"ST.</w:t>
      </w:r>
      <w:r w:rsidR="002C25C9">
        <w:rPr>
          <w:rFonts w:eastAsia="Arial"/>
          <w:i/>
          <w:szCs w:val="22"/>
          <w:lang w:eastAsia="en-US"/>
        </w:rPr>
        <w:t xml:space="preserve"> </w:t>
      </w:r>
      <w:r>
        <w:rPr>
          <w:rFonts w:eastAsia="Arial"/>
          <w:i/>
          <w:szCs w:val="22"/>
          <w:lang w:eastAsia="en-US"/>
        </w:rPr>
        <w:t>2</w:t>
      </w:r>
      <w:r w:rsidRPr="003F0D86">
        <w:rPr>
          <w:rFonts w:eastAsia="Arial"/>
          <w:i/>
          <w:szCs w:val="22"/>
          <w:lang w:eastAsia="en-US"/>
        </w:rPr>
        <w:t xml:space="preserve">7: </w:t>
      </w:r>
      <w:r w:rsidRPr="00AD2FA3">
        <w:rPr>
          <w:rFonts w:eastAsia="Arial"/>
          <w:i/>
          <w:szCs w:val="22"/>
          <w:lang w:eastAsia="en-US"/>
        </w:rPr>
        <w:t>Exchange of Patent Legal Status Data</w:t>
      </w:r>
      <w:r w:rsidRPr="003F0D86">
        <w:rPr>
          <w:rFonts w:eastAsia="Arial"/>
          <w:i/>
          <w:szCs w:val="22"/>
          <w:lang w:eastAsia="en-US"/>
        </w:rPr>
        <w:t xml:space="preserve">", as </w:t>
      </w:r>
      <w:r w:rsidR="002C25C9">
        <w:rPr>
          <w:rFonts w:eastAsia="Arial"/>
          <w:i/>
          <w:szCs w:val="22"/>
          <w:lang w:eastAsia="en-US"/>
        </w:rPr>
        <w:t>described</w:t>
      </w:r>
      <w:r>
        <w:rPr>
          <w:rFonts w:eastAsia="Arial"/>
          <w:i/>
          <w:szCs w:val="22"/>
          <w:lang w:eastAsia="en-US"/>
        </w:rPr>
        <w:t xml:space="preserve"> in paragraphs </w:t>
      </w:r>
      <w:r w:rsidR="002C25C9">
        <w:rPr>
          <w:rFonts w:eastAsia="Arial"/>
          <w:i/>
          <w:szCs w:val="22"/>
          <w:lang w:eastAsia="en-US"/>
        </w:rPr>
        <w:t>10</w:t>
      </w:r>
      <w:r>
        <w:rPr>
          <w:rFonts w:eastAsia="Arial"/>
          <w:i/>
          <w:szCs w:val="22"/>
          <w:lang w:eastAsia="en-US"/>
        </w:rPr>
        <w:t xml:space="preserve"> to </w:t>
      </w:r>
      <w:r w:rsidR="002C25C9">
        <w:rPr>
          <w:rFonts w:eastAsia="Arial"/>
          <w:i/>
          <w:szCs w:val="22"/>
          <w:lang w:eastAsia="en-US"/>
        </w:rPr>
        <w:t>13</w:t>
      </w:r>
      <w:r>
        <w:rPr>
          <w:rFonts w:eastAsia="Arial"/>
          <w:i/>
          <w:szCs w:val="22"/>
          <w:lang w:eastAsia="en-US"/>
        </w:rPr>
        <w:t xml:space="preserve"> </w:t>
      </w:r>
      <w:r w:rsidR="002C25C9">
        <w:rPr>
          <w:rFonts w:eastAsia="Arial"/>
          <w:i/>
          <w:szCs w:val="22"/>
          <w:lang w:eastAsia="en-US"/>
        </w:rPr>
        <w:t xml:space="preserve">of </w:t>
      </w:r>
      <w:r w:rsidRPr="003F0D86">
        <w:rPr>
          <w:rFonts w:eastAsia="Arial"/>
          <w:i/>
          <w:szCs w:val="22"/>
          <w:lang w:eastAsia="en-US"/>
        </w:rPr>
        <w:t>this document</w:t>
      </w:r>
      <w:r>
        <w:rPr>
          <w:rFonts w:eastAsia="Arial"/>
          <w:i/>
          <w:szCs w:val="22"/>
          <w:lang w:eastAsia="en-US"/>
        </w:rPr>
        <w:t xml:space="preserve">; </w:t>
      </w:r>
    </w:p>
    <w:p w14:paraId="6F3F61A8" w14:textId="75A7F38B" w:rsidR="002C25C9" w:rsidRDefault="002C25C9" w:rsidP="002C25C9">
      <w:pPr>
        <w:pStyle w:val="ListParagraph"/>
        <w:widowControl w:val="0"/>
        <w:tabs>
          <w:tab w:val="left" w:pos="6244"/>
          <w:tab w:val="left" w:pos="6245"/>
        </w:tabs>
        <w:autoSpaceDE w:val="0"/>
        <w:autoSpaceDN w:val="0"/>
        <w:spacing w:after="220"/>
        <w:ind w:left="5530"/>
        <w:rPr>
          <w:rFonts w:eastAsia="Arial"/>
          <w:i/>
          <w:szCs w:val="22"/>
          <w:lang w:eastAsia="en-US"/>
        </w:rPr>
      </w:pPr>
      <w:r w:rsidRPr="003F0D86">
        <w:rPr>
          <w:rFonts w:eastAsia="Arial"/>
          <w:i/>
          <w:szCs w:val="22"/>
          <w:lang w:eastAsia="en-US"/>
        </w:rPr>
        <w:tab/>
        <w:t>(</w:t>
      </w:r>
      <w:r>
        <w:rPr>
          <w:rFonts w:eastAsia="Arial"/>
          <w:i/>
          <w:szCs w:val="22"/>
          <w:lang w:eastAsia="en-US"/>
        </w:rPr>
        <w:t>c</w:t>
      </w:r>
      <w:r w:rsidRPr="003F0D86">
        <w:rPr>
          <w:rFonts w:eastAsia="Arial"/>
          <w:i/>
          <w:szCs w:val="22"/>
          <w:lang w:eastAsia="en-US"/>
        </w:rPr>
        <w:t>)</w:t>
      </w:r>
      <w:r w:rsidRPr="003F0D86">
        <w:rPr>
          <w:rFonts w:eastAsia="Arial"/>
          <w:i/>
          <w:szCs w:val="22"/>
          <w:lang w:eastAsia="en-US"/>
        </w:rPr>
        <w:tab/>
        <w:t xml:space="preserve">consider and </w:t>
      </w:r>
      <w:r>
        <w:rPr>
          <w:rFonts w:eastAsia="Arial"/>
          <w:i/>
          <w:szCs w:val="22"/>
          <w:lang w:eastAsia="en-US"/>
        </w:rPr>
        <w:t xml:space="preserve">approve </w:t>
      </w:r>
      <w:r w:rsidRPr="003F0D86">
        <w:rPr>
          <w:rFonts w:eastAsia="Arial"/>
          <w:i/>
          <w:szCs w:val="22"/>
          <w:lang w:eastAsia="en-US"/>
        </w:rPr>
        <w:t xml:space="preserve">the proposed </w:t>
      </w:r>
      <w:r w:rsidR="00F67BAD">
        <w:rPr>
          <w:rFonts w:eastAsia="Arial"/>
          <w:i/>
          <w:szCs w:val="22"/>
          <w:lang w:eastAsia="en-US"/>
        </w:rPr>
        <w:t>new Appendix “List of event indicators” to Annex I of WIPO Standard ST.27</w:t>
      </w:r>
      <w:r>
        <w:rPr>
          <w:rFonts w:eastAsia="Arial"/>
          <w:i/>
          <w:szCs w:val="22"/>
          <w:lang w:eastAsia="en-US"/>
        </w:rPr>
        <w:t xml:space="preserve">, </w:t>
      </w:r>
      <w:r w:rsidRPr="003F0D86">
        <w:rPr>
          <w:rFonts w:eastAsia="Arial"/>
          <w:i/>
          <w:szCs w:val="22"/>
          <w:lang w:eastAsia="en-US"/>
        </w:rPr>
        <w:t xml:space="preserve">as </w:t>
      </w:r>
      <w:r>
        <w:rPr>
          <w:rFonts w:eastAsia="Arial"/>
          <w:i/>
          <w:szCs w:val="22"/>
          <w:lang w:eastAsia="en-US"/>
        </w:rPr>
        <w:t xml:space="preserve">described in paragraphs 14 to 20 and the Annex of </w:t>
      </w:r>
      <w:r w:rsidRPr="003F0D86">
        <w:rPr>
          <w:rFonts w:eastAsia="Arial"/>
          <w:i/>
          <w:szCs w:val="22"/>
          <w:lang w:eastAsia="en-US"/>
        </w:rPr>
        <w:t>this document</w:t>
      </w:r>
      <w:r>
        <w:rPr>
          <w:rFonts w:eastAsia="Arial"/>
          <w:i/>
          <w:szCs w:val="22"/>
          <w:lang w:eastAsia="en-US"/>
        </w:rPr>
        <w:t>; and</w:t>
      </w:r>
    </w:p>
    <w:p w14:paraId="6D9264D6" w14:textId="242FDD45" w:rsidR="002847FC" w:rsidRPr="005B4C24" w:rsidRDefault="002C25C9" w:rsidP="002847FC">
      <w:pPr>
        <w:pStyle w:val="ListParagraph"/>
        <w:widowControl w:val="0"/>
        <w:tabs>
          <w:tab w:val="left" w:pos="6244"/>
          <w:tab w:val="left" w:pos="6245"/>
        </w:tabs>
        <w:autoSpaceDE w:val="0"/>
        <w:autoSpaceDN w:val="0"/>
        <w:spacing w:after="220"/>
        <w:ind w:left="5530"/>
        <w:rPr>
          <w:rFonts w:eastAsia="Arial"/>
          <w:i/>
          <w:szCs w:val="22"/>
          <w:lang w:eastAsia="en-US"/>
        </w:rPr>
      </w:pPr>
      <w:r>
        <w:rPr>
          <w:rFonts w:eastAsia="Arial"/>
          <w:i/>
          <w:szCs w:val="22"/>
          <w:lang w:eastAsia="en-US"/>
        </w:rPr>
        <w:tab/>
        <w:t>(d</w:t>
      </w:r>
      <w:r w:rsidR="002847FC">
        <w:rPr>
          <w:rFonts w:eastAsia="Arial"/>
          <w:i/>
          <w:szCs w:val="22"/>
          <w:lang w:eastAsia="en-US"/>
        </w:rPr>
        <w:t xml:space="preserve">) </w:t>
      </w:r>
      <w:r w:rsidR="002847FC" w:rsidRPr="005B4C24">
        <w:rPr>
          <w:rFonts w:eastAsia="Arial"/>
          <w:i/>
          <w:szCs w:val="22"/>
          <w:lang w:eastAsia="en-US"/>
        </w:rPr>
        <w:t xml:space="preserve">consider and approve the </w:t>
      </w:r>
      <w:r>
        <w:rPr>
          <w:rFonts w:eastAsia="Arial"/>
          <w:i/>
          <w:szCs w:val="22"/>
          <w:lang w:eastAsia="en-US"/>
        </w:rPr>
        <w:t xml:space="preserve">work plan </w:t>
      </w:r>
      <w:r w:rsidR="004B0AFB">
        <w:rPr>
          <w:rFonts w:eastAsia="Arial"/>
          <w:i/>
          <w:szCs w:val="22"/>
          <w:lang w:eastAsia="en-US"/>
        </w:rPr>
        <w:t>proposed</w:t>
      </w:r>
      <w:r w:rsidR="002847FC" w:rsidRPr="005B4C24">
        <w:rPr>
          <w:rFonts w:eastAsia="Arial"/>
          <w:i/>
          <w:szCs w:val="22"/>
          <w:lang w:eastAsia="en-US"/>
        </w:rPr>
        <w:t xml:space="preserve"> by the Legal Status Task Force in paragraph </w:t>
      </w:r>
      <w:r>
        <w:rPr>
          <w:rFonts w:eastAsia="Arial"/>
          <w:i/>
          <w:szCs w:val="22"/>
          <w:lang w:eastAsia="en-US"/>
        </w:rPr>
        <w:t>21</w:t>
      </w:r>
      <w:r w:rsidR="002847FC" w:rsidRPr="005B4C24">
        <w:rPr>
          <w:rFonts w:eastAsia="Arial"/>
          <w:i/>
          <w:szCs w:val="22"/>
          <w:lang w:eastAsia="en-US"/>
        </w:rPr>
        <w:t xml:space="preserve"> above</w:t>
      </w:r>
      <w:r w:rsidR="002847FC">
        <w:rPr>
          <w:rFonts w:eastAsia="Arial"/>
          <w:i/>
          <w:szCs w:val="22"/>
          <w:lang w:eastAsia="en-US"/>
        </w:rPr>
        <w:t>.</w:t>
      </w:r>
    </w:p>
    <w:p w14:paraId="24335ADB" w14:textId="77777777" w:rsidR="002847FC" w:rsidRDefault="002847FC" w:rsidP="002847FC">
      <w:pPr>
        <w:rPr>
          <w:szCs w:val="22"/>
        </w:rPr>
      </w:pPr>
    </w:p>
    <w:p w14:paraId="613159CD" w14:textId="77777777" w:rsidR="002847FC" w:rsidRPr="00084955" w:rsidRDefault="002847FC" w:rsidP="002847FC">
      <w:pPr>
        <w:rPr>
          <w:szCs w:val="22"/>
        </w:rPr>
      </w:pPr>
    </w:p>
    <w:p w14:paraId="17715536" w14:textId="14426472" w:rsidR="002326AB" w:rsidRDefault="002847FC" w:rsidP="00035204">
      <w:pPr>
        <w:pStyle w:val="Endofdocument"/>
        <w:ind w:left="5530"/>
      </w:pPr>
      <w:r w:rsidRPr="00084955">
        <w:rPr>
          <w:rFonts w:cs="Arial"/>
          <w:sz w:val="22"/>
          <w:szCs w:val="22"/>
        </w:rPr>
        <w:t>[</w:t>
      </w:r>
      <w:r>
        <w:rPr>
          <w:rFonts w:cs="Arial"/>
          <w:sz w:val="22"/>
          <w:szCs w:val="22"/>
        </w:rPr>
        <w:t>Annex follows</w:t>
      </w:r>
      <w:r w:rsidRPr="00084955">
        <w:rPr>
          <w:rFonts w:cs="Arial"/>
          <w:sz w:val="22"/>
          <w:szCs w:val="22"/>
        </w:rPr>
        <w:t>]</w:t>
      </w:r>
    </w:p>
    <w:sectPr w:rsidR="002326AB" w:rsidSect="002847F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B589" w14:textId="77777777" w:rsidR="0029085A" w:rsidRDefault="0029085A">
      <w:r>
        <w:separator/>
      </w:r>
    </w:p>
  </w:endnote>
  <w:endnote w:type="continuationSeparator" w:id="0">
    <w:p w14:paraId="1C1A4D02" w14:textId="77777777" w:rsidR="0029085A" w:rsidRDefault="0029085A" w:rsidP="003B38C1">
      <w:r>
        <w:separator/>
      </w:r>
    </w:p>
    <w:p w14:paraId="38091407" w14:textId="77777777" w:rsidR="0029085A" w:rsidRPr="003B38C1" w:rsidRDefault="0029085A" w:rsidP="003B38C1">
      <w:pPr>
        <w:spacing w:after="60"/>
        <w:rPr>
          <w:sz w:val="17"/>
        </w:rPr>
      </w:pPr>
      <w:r>
        <w:rPr>
          <w:sz w:val="17"/>
        </w:rPr>
        <w:t>[Endnote continued from previous page]</w:t>
      </w:r>
    </w:p>
  </w:endnote>
  <w:endnote w:type="continuationNotice" w:id="1">
    <w:p w14:paraId="1D1FAF90" w14:textId="77777777" w:rsidR="0029085A" w:rsidRPr="003B38C1" w:rsidRDefault="002908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824D6" w14:textId="77777777" w:rsidR="0029085A" w:rsidRDefault="0029085A">
      <w:r>
        <w:separator/>
      </w:r>
    </w:p>
  </w:footnote>
  <w:footnote w:type="continuationSeparator" w:id="0">
    <w:p w14:paraId="6CADAAAF" w14:textId="77777777" w:rsidR="0029085A" w:rsidRDefault="0029085A" w:rsidP="008B60B2">
      <w:r>
        <w:separator/>
      </w:r>
    </w:p>
    <w:p w14:paraId="5D79DA82" w14:textId="77777777" w:rsidR="0029085A" w:rsidRPr="00ED77FB" w:rsidRDefault="0029085A" w:rsidP="008B60B2">
      <w:pPr>
        <w:spacing w:after="60"/>
        <w:rPr>
          <w:sz w:val="17"/>
          <w:szCs w:val="17"/>
        </w:rPr>
      </w:pPr>
      <w:r w:rsidRPr="00ED77FB">
        <w:rPr>
          <w:sz w:val="17"/>
          <w:szCs w:val="17"/>
        </w:rPr>
        <w:t>[Footnote continued from previous page]</w:t>
      </w:r>
    </w:p>
  </w:footnote>
  <w:footnote w:type="continuationNotice" w:id="1">
    <w:p w14:paraId="43D95F89" w14:textId="77777777" w:rsidR="0029085A" w:rsidRPr="00ED77FB" w:rsidRDefault="002908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3D6A" w14:textId="77777777" w:rsidR="00D07C78" w:rsidRPr="002326AB" w:rsidRDefault="002847FC" w:rsidP="00477D6B">
    <w:pPr>
      <w:jc w:val="right"/>
      <w:rPr>
        <w:caps/>
      </w:rPr>
    </w:pPr>
    <w:bookmarkStart w:id="6" w:name="Code2"/>
    <w:bookmarkEnd w:id="6"/>
    <w:r>
      <w:rPr>
        <w:caps/>
      </w:rPr>
      <w:t>CWS/9/</w:t>
    </w:r>
    <w:r w:rsidR="00AF6830">
      <w:rPr>
        <w:caps/>
      </w:rPr>
      <w:t>9</w:t>
    </w:r>
  </w:p>
  <w:p w14:paraId="2591C98D" w14:textId="6E00BE87" w:rsidR="00D07C78" w:rsidRDefault="00D07C78" w:rsidP="00477D6B">
    <w:pPr>
      <w:jc w:val="right"/>
    </w:pPr>
    <w:r>
      <w:t xml:space="preserve">page </w:t>
    </w:r>
    <w:r>
      <w:fldChar w:fldCharType="begin"/>
    </w:r>
    <w:r>
      <w:instrText xml:space="preserve"> PAGE  \* MERGEFORMAT </w:instrText>
    </w:r>
    <w:r>
      <w:fldChar w:fldCharType="separate"/>
    </w:r>
    <w:r w:rsidR="00A80BD7">
      <w:rPr>
        <w:noProof/>
      </w:rPr>
      <w:t>5</w:t>
    </w:r>
    <w:r>
      <w:fldChar w:fldCharType="end"/>
    </w:r>
  </w:p>
  <w:p w14:paraId="64EDE8FB" w14:textId="77777777" w:rsidR="00D07C78" w:rsidRDefault="00D07C78" w:rsidP="00477D6B">
    <w:pPr>
      <w:jc w:val="right"/>
    </w:pPr>
  </w:p>
  <w:p w14:paraId="160FDF52"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1E47B5"/>
    <w:multiLevelType w:val="multilevel"/>
    <w:tmpl w:val="01708110"/>
    <w:lvl w:ilvl="0">
      <w:start w:val="2"/>
      <w:numFmt w:val="bullet"/>
      <w:lvlText w:val="–"/>
      <w:lvlJc w:val="left"/>
      <w:pPr>
        <w:tabs>
          <w:tab w:val="num" w:pos="1080"/>
        </w:tabs>
        <w:ind w:left="108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673F47"/>
    <w:multiLevelType w:val="multilevel"/>
    <w:tmpl w:val="86A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D16D40"/>
    <w:multiLevelType w:val="hybridMultilevel"/>
    <w:tmpl w:val="E698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FC"/>
    <w:rsid w:val="00006E47"/>
    <w:rsid w:val="0001135E"/>
    <w:rsid w:val="00035204"/>
    <w:rsid w:val="00043CAA"/>
    <w:rsid w:val="00056816"/>
    <w:rsid w:val="00075432"/>
    <w:rsid w:val="0008012F"/>
    <w:rsid w:val="000801CF"/>
    <w:rsid w:val="000968ED"/>
    <w:rsid w:val="000A3D97"/>
    <w:rsid w:val="000A7083"/>
    <w:rsid w:val="000C6DF8"/>
    <w:rsid w:val="000D2865"/>
    <w:rsid w:val="000F45DB"/>
    <w:rsid w:val="000F5E56"/>
    <w:rsid w:val="001362EE"/>
    <w:rsid w:val="001647D5"/>
    <w:rsid w:val="001832A6"/>
    <w:rsid w:val="001856D4"/>
    <w:rsid w:val="001D4107"/>
    <w:rsid w:val="00203D24"/>
    <w:rsid w:val="0021217E"/>
    <w:rsid w:val="002208FE"/>
    <w:rsid w:val="002326AB"/>
    <w:rsid w:val="002377A8"/>
    <w:rsid w:val="00243430"/>
    <w:rsid w:val="002634C4"/>
    <w:rsid w:val="002847FC"/>
    <w:rsid w:val="0029085A"/>
    <w:rsid w:val="002928D3"/>
    <w:rsid w:val="002934DD"/>
    <w:rsid w:val="002B029A"/>
    <w:rsid w:val="002C25C9"/>
    <w:rsid w:val="002F1FE6"/>
    <w:rsid w:val="002F4E68"/>
    <w:rsid w:val="002F5D5D"/>
    <w:rsid w:val="003031A5"/>
    <w:rsid w:val="00306263"/>
    <w:rsid w:val="00312F7F"/>
    <w:rsid w:val="003478E8"/>
    <w:rsid w:val="00361450"/>
    <w:rsid w:val="003673CF"/>
    <w:rsid w:val="003845C1"/>
    <w:rsid w:val="0039777B"/>
    <w:rsid w:val="003A6F89"/>
    <w:rsid w:val="003B38C1"/>
    <w:rsid w:val="003B702F"/>
    <w:rsid w:val="003C34E9"/>
    <w:rsid w:val="003F5649"/>
    <w:rsid w:val="00423E3E"/>
    <w:rsid w:val="00427AF4"/>
    <w:rsid w:val="004647DA"/>
    <w:rsid w:val="0046730C"/>
    <w:rsid w:val="00474062"/>
    <w:rsid w:val="00477D6B"/>
    <w:rsid w:val="004B0AFB"/>
    <w:rsid w:val="004F4DD2"/>
    <w:rsid w:val="005019FF"/>
    <w:rsid w:val="005270CE"/>
    <w:rsid w:val="0053057A"/>
    <w:rsid w:val="00544B1B"/>
    <w:rsid w:val="00556076"/>
    <w:rsid w:val="00560A29"/>
    <w:rsid w:val="00581FAB"/>
    <w:rsid w:val="00595382"/>
    <w:rsid w:val="005C6649"/>
    <w:rsid w:val="00605827"/>
    <w:rsid w:val="00646050"/>
    <w:rsid w:val="00660B2F"/>
    <w:rsid w:val="0066494E"/>
    <w:rsid w:val="006713CA"/>
    <w:rsid w:val="006738B9"/>
    <w:rsid w:val="00676C5C"/>
    <w:rsid w:val="00690E72"/>
    <w:rsid w:val="006917C9"/>
    <w:rsid w:val="006A4D63"/>
    <w:rsid w:val="006B44C1"/>
    <w:rsid w:val="006D6081"/>
    <w:rsid w:val="00700C6F"/>
    <w:rsid w:val="00720EFD"/>
    <w:rsid w:val="007242AF"/>
    <w:rsid w:val="007365BB"/>
    <w:rsid w:val="00773EE4"/>
    <w:rsid w:val="007854AF"/>
    <w:rsid w:val="00793A7C"/>
    <w:rsid w:val="00795982"/>
    <w:rsid w:val="007A398A"/>
    <w:rsid w:val="007D1276"/>
    <w:rsid w:val="007D1613"/>
    <w:rsid w:val="007E4C0E"/>
    <w:rsid w:val="00846CF6"/>
    <w:rsid w:val="008771CF"/>
    <w:rsid w:val="00886B33"/>
    <w:rsid w:val="008A134B"/>
    <w:rsid w:val="008B2CC1"/>
    <w:rsid w:val="008B60B2"/>
    <w:rsid w:val="008C3429"/>
    <w:rsid w:val="008E1DE5"/>
    <w:rsid w:val="0090731E"/>
    <w:rsid w:val="009105F6"/>
    <w:rsid w:val="00916EE2"/>
    <w:rsid w:val="00966A22"/>
    <w:rsid w:val="0096722F"/>
    <w:rsid w:val="00980843"/>
    <w:rsid w:val="009868F6"/>
    <w:rsid w:val="009C425B"/>
    <w:rsid w:val="009D43C2"/>
    <w:rsid w:val="009D576D"/>
    <w:rsid w:val="009D7342"/>
    <w:rsid w:val="009D7FDE"/>
    <w:rsid w:val="009E2791"/>
    <w:rsid w:val="009E3F6F"/>
    <w:rsid w:val="009F499F"/>
    <w:rsid w:val="00A17DF6"/>
    <w:rsid w:val="00A201D9"/>
    <w:rsid w:val="00A37342"/>
    <w:rsid w:val="00A42DAF"/>
    <w:rsid w:val="00A45BD8"/>
    <w:rsid w:val="00A80BD7"/>
    <w:rsid w:val="00A869B7"/>
    <w:rsid w:val="00A90F0A"/>
    <w:rsid w:val="00AC205C"/>
    <w:rsid w:val="00AD3B18"/>
    <w:rsid w:val="00AF0A6B"/>
    <w:rsid w:val="00AF6830"/>
    <w:rsid w:val="00B05A69"/>
    <w:rsid w:val="00B23511"/>
    <w:rsid w:val="00B355B6"/>
    <w:rsid w:val="00B62B30"/>
    <w:rsid w:val="00B75281"/>
    <w:rsid w:val="00B76441"/>
    <w:rsid w:val="00B92F1F"/>
    <w:rsid w:val="00B947FD"/>
    <w:rsid w:val="00B9734B"/>
    <w:rsid w:val="00BA30E2"/>
    <w:rsid w:val="00BA50E2"/>
    <w:rsid w:val="00BA55E8"/>
    <w:rsid w:val="00C10BE3"/>
    <w:rsid w:val="00C11BFE"/>
    <w:rsid w:val="00C1769A"/>
    <w:rsid w:val="00C5068F"/>
    <w:rsid w:val="00C55B28"/>
    <w:rsid w:val="00C75E4E"/>
    <w:rsid w:val="00C853D0"/>
    <w:rsid w:val="00C86D74"/>
    <w:rsid w:val="00CD04F1"/>
    <w:rsid w:val="00CE1AA4"/>
    <w:rsid w:val="00CF681A"/>
    <w:rsid w:val="00D07C78"/>
    <w:rsid w:val="00D31CE8"/>
    <w:rsid w:val="00D45252"/>
    <w:rsid w:val="00D71B4D"/>
    <w:rsid w:val="00D8365D"/>
    <w:rsid w:val="00D93D55"/>
    <w:rsid w:val="00DD163C"/>
    <w:rsid w:val="00DD7B7F"/>
    <w:rsid w:val="00E01B72"/>
    <w:rsid w:val="00E15015"/>
    <w:rsid w:val="00E335FE"/>
    <w:rsid w:val="00E45755"/>
    <w:rsid w:val="00E55A68"/>
    <w:rsid w:val="00E63583"/>
    <w:rsid w:val="00EA7D6E"/>
    <w:rsid w:val="00EB2F76"/>
    <w:rsid w:val="00EC4E49"/>
    <w:rsid w:val="00ED77FB"/>
    <w:rsid w:val="00EE45FA"/>
    <w:rsid w:val="00EF311C"/>
    <w:rsid w:val="00F043DE"/>
    <w:rsid w:val="00F66152"/>
    <w:rsid w:val="00F67BAD"/>
    <w:rsid w:val="00F9165B"/>
    <w:rsid w:val="00FC482F"/>
    <w:rsid w:val="00FC49F7"/>
    <w:rsid w:val="00FE424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118AD"/>
  <w15:docId w15:val="{BC0F6568-1839-4708-BD7F-65D85E3C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2847FC"/>
    <w:rPr>
      <w:rFonts w:ascii="Arial" w:eastAsia="SimSun" w:hAnsi="Arial" w:cs="Arial"/>
      <w:bCs/>
      <w:iCs/>
      <w:caps/>
      <w:sz w:val="22"/>
      <w:szCs w:val="28"/>
      <w:lang w:val="en-US" w:eastAsia="zh-CN"/>
    </w:rPr>
  </w:style>
  <w:style w:type="paragraph" w:customStyle="1" w:styleId="Endofdocument">
    <w:name w:val="End of document"/>
    <w:basedOn w:val="Normal"/>
    <w:rsid w:val="002847FC"/>
    <w:pPr>
      <w:spacing w:line="260" w:lineRule="atLeast"/>
      <w:ind w:left="5534"/>
    </w:pPr>
    <w:rPr>
      <w:rFonts w:eastAsia="Times New Roman" w:cs="Times New Roman"/>
      <w:sz w:val="20"/>
      <w:lang w:eastAsia="en-US"/>
    </w:rPr>
  </w:style>
  <w:style w:type="paragraph" w:styleId="ListParagraph">
    <w:name w:val="List Paragraph"/>
    <w:basedOn w:val="Normal"/>
    <w:uiPriority w:val="34"/>
    <w:qFormat/>
    <w:rsid w:val="002847FC"/>
    <w:pPr>
      <w:ind w:left="567"/>
    </w:pPr>
  </w:style>
  <w:style w:type="paragraph" w:styleId="NormalWeb">
    <w:name w:val="Normal (Web)"/>
    <w:basedOn w:val="Normal"/>
    <w:uiPriority w:val="99"/>
    <w:semiHidden/>
    <w:unhideWhenUsed/>
    <w:rsid w:val="006D6081"/>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inline-comment-marker">
    <w:name w:val="inline-comment-marker"/>
    <w:basedOn w:val="DefaultParagraphFont"/>
    <w:rsid w:val="006D6081"/>
  </w:style>
  <w:style w:type="character" w:styleId="FootnoteReference">
    <w:name w:val="footnote reference"/>
    <w:basedOn w:val="DefaultParagraphFont"/>
    <w:semiHidden/>
    <w:unhideWhenUsed/>
    <w:rsid w:val="002C25C9"/>
    <w:rPr>
      <w:vertAlign w:val="superscript"/>
    </w:rPr>
  </w:style>
  <w:style w:type="character" w:styleId="CommentReference">
    <w:name w:val="annotation reference"/>
    <w:basedOn w:val="DefaultParagraphFont"/>
    <w:semiHidden/>
    <w:unhideWhenUsed/>
    <w:rsid w:val="002C25C9"/>
    <w:rPr>
      <w:sz w:val="16"/>
      <w:szCs w:val="16"/>
    </w:rPr>
  </w:style>
  <w:style w:type="paragraph" w:styleId="CommentSubject">
    <w:name w:val="annotation subject"/>
    <w:basedOn w:val="CommentText"/>
    <w:next w:val="CommentText"/>
    <w:link w:val="CommentSubjectChar"/>
    <w:semiHidden/>
    <w:unhideWhenUsed/>
    <w:rsid w:val="002C25C9"/>
    <w:rPr>
      <w:b/>
      <w:bCs/>
      <w:sz w:val="20"/>
    </w:rPr>
  </w:style>
  <w:style w:type="character" w:customStyle="1" w:styleId="CommentTextChar">
    <w:name w:val="Comment Text Char"/>
    <w:basedOn w:val="DefaultParagraphFont"/>
    <w:link w:val="CommentText"/>
    <w:semiHidden/>
    <w:rsid w:val="002C25C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C25C9"/>
    <w:rPr>
      <w:rFonts w:ascii="Arial" w:eastAsia="SimSun" w:hAnsi="Arial" w:cs="Arial"/>
      <w:b/>
      <w:bCs/>
      <w:sz w:val="18"/>
      <w:lang w:val="en-US" w:eastAsia="zh-CN"/>
    </w:rPr>
  </w:style>
  <w:style w:type="paragraph" w:styleId="BalloonText">
    <w:name w:val="Balloon Text"/>
    <w:basedOn w:val="Normal"/>
    <w:link w:val="BalloonTextChar"/>
    <w:semiHidden/>
    <w:unhideWhenUsed/>
    <w:rsid w:val="002C25C9"/>
    <w:rPr>
      <w:rFonts w:ascii="Segoe UI" w:hAnsi="Segoe UI" w:cs="Segoe UI"/>
      <w:sz w:val="18"/>
      <w:szCs w:val="18"/>
    </w:rPr>
  </w:style>
  <w:style w:type="character" w:customStyle="1" w:styleId="BalloonTextChar">
    <w:name w:val="Balloon Text Char"/>
    <w:basedOn w:val="DefaultParagraphFont"/>
    <w:link w:val="BalloonText"/>
    <w:semiHidden/>
    <w:rsid w:val="002C25C9"/>
    <w:rPr>
      <w:rFonts w:ascii="Segoe UI" w:eastAsia="SimSun" w:hAnsi="Segoe UI" w:cs="Segoe UI"/>
      <w:sz w:val="18"/>
      <w:szCs w:val="18"/>
      <w:lang w:val="en-US" w:eastAsia="zh-CN"/>
    </w:rPr>
  </w:style>
  <w:style w:type="character" w:styleId="Hyperlink">
    <w:name w:val="Hyperlink"/>
    <w:basedOn w:val="DefaultParagraphFont"/>
    <w:unhideWhenUsed/>
    <w:rsid w:val="00660B2F"/>
    <w:rPr>
      <w:color w:val="0000FF" w:themeColor="hyperlink"/>
      <w:u w:val="single"/>
    </w:rPr>
  </w:style>
  <w:style w:type="character" w:styleId="FollowedHyperlink">
    <w:name w:val="FollowedHyperlink"/>
    <w:basedOn w:val="DefaultParagraphFont"/>
    <w:semiHidden/>
    <w:unhideWhenUsed/>
    <w:rsid w:val="009D7342"/>
    <w:rPr>
      <w:color w:val="800080" w:themeColor="followedHyperlink"/>
      <w:u w:val="single"/>
    </w:rPr>
  </w:style>
  <w:style w:type="character" w:customStyle="1" w:styleId="ONUMEChar">
    <w:name w:val="ONUM E Char"/>
    <w:basedOn w:val="DefaultParagraphFont"/>
    <w:link w:val="ONUME"/>
    <w:rsid w:val="0039777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5744">
      <w:bodyDiv w:val="1"/>
      <w:marLeft w:val="0"/>
      <w:marRight w:val="0"/>
      <w:marTop w:val="0"/>
      <w:marBottom w:val="0"/>
      <w:divBdr>
        <w:top w:val="none" w:sz="0" w:space="0" w:color="auto"/>
        <w:left w:val="none" w:sz="0" w:space="0" w:color="auto"/>
        <w:bottom w:val="none" w:sz="0" w:space="0" w:color="auto"/>
        <w:right w:val="none" w:sz="0" w:space="0" w:color="auto"/>
      </w:divBdr>
    </w:div>
    <w:div w:id="330331178">
      <w:bodyDiv w:val="1"/>
      <w:marLeft w:val="0"/>
      <w:marRight w:val="0"/>
      <w:marTop w:val="0"/>
      <w:marBottom w:val="0"/>
      <w:divBdr>
        <w:top w:val="none" w:sz="0" w:space="0" w:color="auto"/>
        <w:left w:val="none" w:sz="0" w:space="0" w:color="auto"/>
        <w:bottom w:val="none" w:sz="0" w:space="0" w:color="auto"/>
        <w:right w:val="none" w:sz="0" w:space="0" w:color="auto"/>
      </w:divBdr>
    </w:div>
    <w:div w:id="666442116">
      <w:bodyDiv w:val="1"/>
      <w:marLeft w:val="0"/>
      <w:marRight w:val="0"/>
      <w:marTop w:val="0"/>
      <w:marBottom w:val="0"/>
      <w:divBdr>
        <w:top w:val="none" w:sz="0" w:space="0" w:color="auto"/>
        <w:left w:val="none" w:sz="0" w:space="0" w:color="auto"/>
        <w:bottom w:val="none" w:sz="0" w:space="0" w:color="auto"/>
        <w:right w:val="none" w:sz="0" w:space="0" w:color="auto"/>
      </w:divBdr>
    </w:div>
    <w:div w:id="784931583">
      <w:bodyDiv w:val="1"/>
      <w:marLeft w:val="0"/>
      <w:marRight w:val="0"/>
      <w:marTop w:val="0"/>
      <w:marBottom w:val="0"/>
      <w:divBdr>
        <w:top w:val="none" w:sz="0" w:space="0" w:color="auto"/>
        <w:left w:val="none" w:sz="0" w:space="0" w:color="auto"/>
        <w:bottom w:val="none" w:sz="0" w:space="0" w:color="auto"/>
        <w:right w:val="none" w:sz="0" w:space="0" w:color="auto"/>
      </w:divBdr>
    </w:div>
    <w:div w:id="1067147350">
      <w:bodyDiv w:val="1"/>
      <w:marLeft w:val="0"/>
      <w:marRight w:val="0"/>
      <w:marTop w:val="0"/>
      <w:marBottom w:val="0"/>
      <w:divBdr>
        <w:top w:val="none" w:sz="0" w:space="0" w:color="auto"/>
        <w:left w:val="none" w:sz="0" w:space="0" w:color="auto"/>
        <w:bottom w:val="none" w:sz="0" w:space="0" w:color="auto"/>
        <w:right w:val="none" w:sz="0" w:space="0" w:color="auto"/>
      </w:divBdr>
    </w:div>
    <w:div w:id="1138763314">
      <w:bodyDiv w:val="1"/>
      <w:marLeft w:val="0"/>
      <w:marRight w:val="0"/>
      <w:marTop w:val="0"/>
      <w:marBottom w:val="0"/>
      <w:divBdr>
        <w:top w:val="none" w:sz="0" w:space="0" w:color="auto"/>
        <w:left w:val="none" w:sz="0" w:space="0" w:color="auto"/>
        <w:bottom w:val="none" w:sz="0" w:space="0" w:color="auto"/>
        <w:right w:val="none" w:sz="0" w:space="0" w:color="auto"/>
      </w:divBdr>
    </w:div>
    <w:div w:id="1719891323">
      <w:bodyDiv w:val="1"/>
      <w:marLeft w:val="0"/>
      <w:marRight w:val="0"/>
      <w:marTop w:val="0"/>
      <w:marBottom w:val="0"/>
      <w:divBdr>
        <w:top w:val="none" w:sz="0" w:space="0" w:color="auto"/>
        <w:left w:val="none" w:sz="0" w:space="0" w:color="auto"/>
        <w:bottom w:val="none" w:sz="0" w:space="0" w:color="auto"/>
        <w:right w:val="none" w:sz="0" w:space="0" w:color="auto"/>
      </w:divBdr>
    </w:div>
    <w:div w:id="1723825379">
      <w:bodyDiv w:val="1"/>
      <w:marLeft w:val="0"/>
      <w:marRight w:val="0"/>
      <w:marTop w:val="0"/>
      <w:marBottom w:val="0"/>
      <w:divBdr>
        <w:top w:val="none" w:sz="0" w:space="0" w:color="auto"/>
        <w:left w:val="none" w:sz="0" w:space="0" w:color="auto"/>
        <w:bottom w:val="none" w:sz="0" w:space="0" w:color="auto"/>
        <w:right w:val="none" w:sz="0" w:space="0" w:color="auto"/>
      </w:divBdr>
    </w:div>
    <w:div w:id="19376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2D37B-CA48-41CD-A423-0875B19F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5</Pages>
  <Words>1654</Words>
  <Characters>9033</Characters>
  <Application>Microsoft Office Word</Application>
  <DocSecurity>0</DocSecurity>
  <Lines>180</Lines>
  <Paragraphs>66</Paragraphs>
  <ScaleCrop>false</ScaleCrop>
  <HeadingPairs>
    <vt:vector size="2" baseType="variant">
      <vt:variant>
        <vt:lpstr>Title</vt:lpstr>
      </vt:variant>
      <vt:variant>
        <vt:i4>1</vt:i4>
      </vt:variant>
    </vt:vector>
  </HeadingPairs>
  <TitlesOfParts>
    <vt:vector size="1" baseType="lpstr">
      <vt:lpstr>CWS/9/9</vt:lpstr>
    </vt:vector>
  </TitlesOfParts>
  <Company>WIPO</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CWS/9/9</dc:title>
  <dc:subject>Proposal for the revision of WIPO Standard ST.27</dc:subject>
  <dc:creator>WIPO</dc:creator>
  <cp:keywords>FOR OFFICIAL USE ONLY</cp:keywords>
  <cp:lastModifiedBy>CHAVAS Louison</cp:lastModifiedBy>
  <cp:revision>2</cp:revision>
  <cp:lastPrinted>2011-02-15T11:56:00Z</cp:lastPrinted>
  <dcterms:created xsi:type="dcterms:W3CDTF">2021-09-16T10:22:00Z</dcterms:created>
  <dcterms:modified xsi:type="dcterms:W3CDTF">2021-09-16T10:22:00Z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6348117f-e14e-4753-9277-29cc308126a0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