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B773" w14:textId="77777777" w:rsidR="008B2CC1" w:rsidRPr="00F043DE" w:rsidRDefault="00B92F1F" w:rsidP="00846CF6">
      <w:pPr>
        <w:pBdr>
          <w:bottom w:val="single" w:sz="4" w:space="11" w:color="auto"/>
        </w:pBdr>
        <w:spacing w:after="120"/>
        <w:jc w:val="right"/>
        <w:rPr>
          <w:b/>
          <w:sz w:val="32"/>
          <w:szCs w:val="40"/>
        </w:rPr>
      </w:pPr>
      <w:r>
        <w:rPr>
          <w:noProof/>
          <w:sz w:val="28"/>
          <w:szCs w:val="28"/>
          <w:lang w:eastAsia="en-US"/>
        </w:rPr>
        <w:drawing>
          <wp:inline distT="0" distB="0" distL="0" distR="0" wp14:anchorId="356F76C3" wp14:editId="102BD88E">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F278A7A" w14:textId="77777777" w:rsidR="008B2CC1" w:rsidRPr="002326AB" w:rsidRDefault="00846CF6" w:rsidP="00EB2F76">
      <w:pPr>
        <w:jc w:val="right"/>
        <w:rPr>
          <w:rFonts w:ascii="Arial Black" w:hAnsi="Arial Black"/>
          <w:caps/>
          <w:sz w:val="15"/>
          <w:szCs w:val="15"/>
        </w:rPr>
      </w:pPr>
      <w:r>
        <w:rPr>
          <w:rFonts w:ascii="Arial Black" w:hAnsi="Arial Black"/>
          <w:caps/>
          <w:sz w:val="15"/>
          <w:szCs w:val="15"/>
        </w:rPr>
        <w:t>CWs/9/</w:t>
      </w:r>
      <w:bookmarkStart w:id="0" w:name="Code"/>
      <w:bookmarkEnd w:id="0"/>
      <w:r w:rsidR="0098135E">
        <w:rPr>
          <w:rFonts w:ascii="Arial Black" w:hAnsi="Arial Black"/>
          <w:caps/>
          <w:sz w:val="15"/>
          <w:szCs w:val="15"/>
        </w:rPr>
        <w:t>18</w:t>
      </w:r>
    </w:p>
    <w:p w14:paraId="7AF819AC"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D80CC9">
        <w:rPr>
          <w:rFonts w:ascii="Arial Black" w:hAnsi="Arial Black"/>
          <w:caps/>
          <w:sz w:val="15"/>
          <w:szCs w:val="15"/>
        </w:rPr>
        <w:t>english</w:t>
      </w:r>
    </w:p>
    <w:bookmarkEnd w:id="1"/>
    <w:p w14:paraId="1AFDD3E6" w14:textId="1585E55C"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A06014" w:rsidRPr="00A36324">
        <w:rPr>
          <w:rFonts w:ascii="Arial Black" w:hAnsi="Arial Black"/>
          <w:caps/>
          <w:sz w:val="15"/>
          <w:szCs w:val="15"/>
        </w:rPr>
        <w:t>september</w:t>
      </w:r>
      <w:r w:rsidR="0098135E" w:rsidRPr="00A36324">
        <w:rPr>
          <w:rFonts w:ascii="Arial Black" w:hAnsi="Arial Black"/>
          <w:caps/>
          <w:sz w:val="15"/>
          <w:szCs w:val="15"/>
        </w:rPr>
        <w:t xml:space="preserve"> </w:t>
      </w:r>
      <w:r w:rsidR="00A36324">
        <w:rPr>
          <w:rFonts w:ascii="Arial Black" w:hAnsi="Arial Black"/>
          <w:caps/>
          <w:sz w:val="15"/>
          <w:szCs w:val="15"/>
        </w:rPr>
        <w:t>23</w:t>
      </w:r>
      <w:r w:rsidR="00D80CC9">
        <w:rPr>
          <w:rFonts w:ascii="Arial Black" w:hAnsi="Arial Black"/>
          <w:caps/>
          <w:sz w:val="15"/>
          <w:szCs w:val="15"/>
        </w:rPr>
        <w:t>, 2021</w:t>
      </w:r>
    </w:p>
    <w:bookmarkEnd w:id="2"/>
    <w:p w14:paraId="16B6CE23" w14:textId="77777777" w:rsidR="008B2CC1" w:rsidRPr="00D80CC9" w:rsidRDefault="00E45755" w:rsidP="00720EFD">
      <w:pPr>
        <w:pStyle w:val="Heading1"/>
        <w:spacing w:before="0" w:after="480"/>
        <w:rPr>
          <w:sz w:val="36"/>
          <w:szCs w:val="28"/>
        </w:rPr>
      </w:pPr>
      <w:r w:rsidRPr="00D80CC9">
        <w:rPr>
          <w:caps w:val="0"/>
          <w:sz w:val="28"/>
        </w:rPr>
        <w:t xml:space="preserve">Committee on WIPO Standards </w:t>
      </w:r>
      <w:r w:rsidRPr="00D80CC9">
        <w:rPr>
          <w:sz w:val="28"/>
        </w:rPr>
        <w:t>(CWS)</w:t>
      </w:r>
    </w:p>
    <w:p w14:paraId="7E0ED54D" w14:textId="77777777" w:rsidR="00E45755" w:rsidRPr="00846CF6" w:rsidRDefault="00E45755" w:rsidP="00E45755">
      <w:pPr>
        <w:outlineLvl w:val="1"/>
        <w:rPr>
          <w:b/>
          <w:sz w:val="24"/>
          <w:szCs w:val="24"/>
        </w:rPr>
      </w:pPr>
      <w:r w:rsidRPr="00846CF6">
        <w:rPr>
          <w:b/>
          <w:sz w:val="24"/>
          <w:szCs w:val="24"/>
        </w:rPr>
        <w:t>Ninth Session</w:t>
      </w:r>
    </w:p>
    <w:p w14:paraId="1A19DAD8" w14:textId="77777777" w:rsidR="008B2CC1" w:rsidRPr="003845C1" w:rsidRDefault="00846CF6" w:rsidP="00F9165B">
      <w:pPr>
        <w:spacing w:after="720"/>
        <w:outlineLvl w:val="1"/>
        <w:rPr>
          <w:b/>
          <w:sz w:val="24"/>
          <w:szCs w:val="24"/>
        </w:rPr>
      </w:pPr>
      <w:r w:rsidRPr="00846CF6">
        <w:rPr>
          <w:b/>
          <w:sz w:val="24"/>
          <w:szCs w:val="24"/>
        </w:rPr>
        <w:t>Geneva, November 1 to 5, 2021</w:t>
      </w:r>
    </w:p>
    <w:p w14:paraId="6CED4B49" w14:textId="77777777" w:rsidR="008B2CC1" w:rsidRPr="003845C1" w:rsidRDefault="00D80CC9" w:rsidP="00DD7B7F">
      <w:pPr>
        <w:spacing w:after="360"/>
        <w:outlineLvl w:val="0"/>
        <w:rPr>
          <w:caps/>
          <w:sz w:val="24"/>
        </w:rPr>
      </w:pPr>
      <w:bookmarkStart w:id="3" w:name="TitleOfDoc"/>
      <w:r>
        <w:rPr>
          <w:caps/>
          <w:sz w:val="24"/>
        </w:rPr>
        <w:t xml:space="preserve">Proposal for improvement of </w:t>
      </w:r>
      <w:r w:rsidR="00EC221D">
        <w:rPr>
          <w:caps/>
          <w:sz w:val="24"/>
        </w:rPr>
        <w:t xml:space="preserve">annual </w:t>
      </w:r>
      <w:r>
        <w:rPr>
          <w:caps/>
          <w:sz w:val="24"/>
        </w:rPr>
        <w:t>T</w:t>
      </w:r>
      <w:r w:rsidR="00EC221D">
        <w:rPr>
          <w:caps/>
          <w:sz w:val="24"/>
        </w:rPr>
        <w:t xml:space="preserve">echnical </w:t>
      </w:r>
      <w:r>
        <w:rPr>
          <w:caps/>
          <w:sz w:val="24"/>
        </w:rPr>
        <w:t>R</w:t>
      </w:r>
      <w:r w:rsidR="00EC221D">
        <w:rPr>
          <w:caps/>
          <w:sz w:val="24"/>
        </w:rPr>
        <w:t>eports (A</w:t>
      </w:r>
      <w:bookmarkStart w:id="4" w:name="_GoBack"/>
      <w:bookmarkEnd w:id="4"/>
      <w:r w:rsidR="00EC221D">
        <w:rPr>
          <w:caps/>
          <w:sz w:val="24"/>
        </w:rPr>
        <w:t>TRs)</w:t>
      </w:r>
    </w:p>
    <w:p w14:paraId="666E1FE9" w14:textId="3C9153EE" w:rsidR="002928D3" w:rsidRPr="00F9165B" w:rsidRDefault="00D80CC9" w:rsidP="001D4107">
      <w:pPr>
        <w:spacing w:after="1040"/>
        <w:rPr>
          <w:i/>
        </w:rPr>
      </w:pPr>
      <w:bookmarkStart w:id="5" w:name="Prepared"/>
      <w:bookmarkEnd w:id="3"/>
      <w:bookmarkEnd w:id="5"/>
      <w:r>
        <w:rPr>
          <w:i/>
        </w:rPr>
        <w:t>Document prepared by the International Bureau</w:t>
      </w:r>
    </w:p>
    <w:p w14:paraId="29CB192B" w14:textId="77777777" w:rsidR="00D80CC9" w:rsidRDefault="00D80CC9" w:rsidP="00D80CC9">
      <w:pPr>
        <w:pStyle w:val="Heading2"/>
        <w:spacing w:before="0"/>
        <w:rPr>
          <w:rFonts w:eastAsia="Malgun Gothic"/>
          <w:caps w:val="0"/>
          <w:szCs w:val="22"/>
        </w:rPr>
      </w:pPr>
      <w:r>
        <w:rPr>
          <w:rFonts w:eastAsia="Malgun Gothic"/>
          <w:caps w:val="0"/>
          <w:szCs w:val="22"/>
        </w:rPr>
        <w:t>BACKGROUND</w:t>
      </w:r>
    </w:p>
    <w:p w14:paraId="6F915332" w14:textId="6EFE59F3" w:rsidR="00D80CC9" w:rsidRDefault="00D80CC9" w:rsidP="00B8222D">
      <w:pPr>
        <w:pStyle w:val="ONUMFS"/>
        <w:numPr>
          <w:ilvl w:val="0"/>
          <w:numId w:val="0"/>
        </w:numPr>
      </w:pPr>
      <w:r>
        <w:fldChar w:fldCharType="begin"/>
      </w:r>
      <w:r>
        <w:instrText xml:space="preserve"> AUTONUM  </w:instrText>
      </w:r>
      <w:r>
        <w:fldChar w:fldCharType="end"/>
      </w:r>
      <w:r>
        <w:tab/>
        <w:t xml:space="preserve">At its </w:t>
      </w:r>
      <w:r w:rsidR="00E72584">
        <w:t xml:space="preserve">seventh </w:t>
      </w:r>
      <w:r>
        <w:t>session in 201</w:t>
      </w:r>
      <w:r w:rsidR="00E72584">
        <w:t>9</w:t>
      </w:r>
      <w:r>
        <w:t>, the CWS</w:t>
      </w:r>
      <w:r w:rsidR="00E72584">
        <w:t xml:space="preserve"> noted declining participation rates by </w:t>
      </w:r>
      <w:r w:rsidR="00A80953">
        <w:t xml:space="preserve">Intellectual Property </w:t>
      </w:r>
      <w:r w:rsidR="00E72584">
        <w:t xml:space="preserve">Offices </w:t>
      </w:r>
      <w:r w:rsidR="00A80953">
        <w:t xml:space="preserve">(IPOs) </w:t>
      </w:r>
      <w:r w:rsidR="00E72584">
        <w:t>in the A</w:t>
      </w:r>
      <w:r w:rsidR="00A06014">
        <w:t xml:space="preserve">nnual </w:t>
      </w:r>
      <w:r w:rsidR="00E72584">
        <w:t>T</w:t>
      </w:r>
      <w:r w:rsidR="00A06014">
        <w:t xml:space="preserve">echnical </w:t>
      </w:r>
      <w:r w:rsidR="00E72584">
        <w:t>R</w:t>
      </w:r>
      <w:r w:rsidR="00A06014">
        <w:t>eport</w:t>
      </w:r>
      <w:r w:rsidR="00E72584">
        <w:t xml:space="preserve">s </w:t>
      </w:r>
      <w:r w:rsidR="00A06014">
        <w:t xml:space="preserve">(ATRs) </w:t>
      </w:r>
      <w:r w:rsidR="00E72584">
        <w:t>and requested input on ways to improve ATRs</w:t>
      </w:r>
      <w:r w:rsidRPr="00371410">
        <w:t>.</w:t>
      </w:r>
      <w:r>
        <w:t xml:space="preserve">  </w:t>
      </w:r>
      <w:r w:rsidR="00E72584" w:rsidRPr="00E72584">
        <w:t xml:space="preserve">Several delegations remarked that the information requested in ATRs </w:t>
      </w:r>
      <w:r w:rsidR="00E72584">
        <w:t>wa</w:t>
      </w:r>
      <w:r w:rsidR="00E72584" w:rsidRPr="00E72584">
        <w:t>s already available in their Office’s Annual Report</w:t>
      </w:r>
      <w:r w:rsidR="00E72584">
        <w:t>s</w:t>
      </w:r>
      <w:r w:rsidR="00E72584" w:rsidRPr="00E72584">
        <w:t>.</w:t>
      </w:r>
      <w:r w:rsidR="00E72584">
        <w:t xml:space="preserve">  The CWS requested that the International Bureau prepare a proposal to improve ATRs</w:t>
      </w:r>
      <w:r>
        <w:t xml:space="preserve">.  </w:t>
      </w:r>
      <w:r w:rsidRPr="00371410">
        <w:t xml:space="preserve">(See paragraphs </w:t>
      </w:r>
      <w:r w:rsidR="00E72584">
        <w:t xml:space="preserve">206 </w:t>
      </w:r>
      <w:r w:rsidRPr="00371410">
        <w:t xml:space="preserve">to </w:t>
      </w:r>
      <w:r w:rsidR="00E72584">
        <w:t xml:space="preserve">208 </w:t>
      </w:r>
      <w:r w:rsidRPr="00371410">
        <w:t xml:space="preserve">of </w:t>
      </w:r>
      <w:r>
        <w:t xml:space="preserve">document </w:t>
      </w:r>
      <w:r w:rsidRPr="001139CE">
        <w:t>CWS/</w:t>
      </w:r>
      <w:r w:rsidR="00E72584">
        <w:t>7</w:t>
      </w:r>
      <w:r w:rsidRPr="001139CE">
        <w:t>/2</w:t>
      </w:r>
      <w:r w:rsidR="00E72584">
        <w:t>9</w:t>
      </w:r>
      <w:r>
        <w:t>.</w:t>
      </w:r>
      <w:r w:rsidRPr="00371410">
        <w:t>)</w:t>
      </w:r>
    </w:p>
    <w:p w14:paraId="3531976E" w14:textId="77777777" w:rsidR="00E72584" w:rsidRDefault="00E72584" w:rsidP="00E72584">
      <w:pPr>
        <w:pStyle w:val="Heading2"/>
        <w:spacing w:before="0"/>
        <w:rPr>
          <w:rFonts w:eastAsia="Malgun Gothic"/>
          <w:caps w:val="0"/>
          <w:szCs w:val="22"/>
        </w:rPr>
      </w:pPr>
      <w:r>
        <w:rPr>
          <w:rFonts w:eastAsia="Malgun Gothic"/>
          <w:caps w:val="0"/>
          <w:szCs w:val="22"/>
        </w:rPr>
        <w:t>HISTORY</w:t>
      </w:r>
    </w:p>
    <w:p w14:paraId="4A8B30F3" w14:textId="54B079C2" w:rsidR="00EC221D" w:rsidRDefault="00E72584" w:rsidP="00F541AA">
      <w:pPr>
        <w:pStyle w:val="ONUMFS"/>
        <w:numPr>
          <w:ilvl w:val="0"/>
          <w:numId w:val="0"/>
        </w:numPr>
      </w:pPr>
      <w:r>
        <w:fldChar w:fldCharType="begin"/>
      </w:r>
      <w:r>
        <w:instrText xml:space="preserve"> AUTONUM  </w:instrText>
      </w:r>
      <w:r>
        <w:fldChar w:fldCharType="end"/>
      </w:r>
      <w:r>
        <w:tab/>
        <w:t xml:space="preserve">ATRs have been collected </w:t>
      </w:r>
      <w:r w:rsidR="00731DD4">
        <w:t>by the International Bureau</w:t>
      </w:r>
      <w:r w:rsidR="00DE5590">
        <w:t xml:space="preserve"> </w:t>
      </w:r>
      <w:r>
        <w:t xml:space="preserve">since 1978.  The ATR structure was approved by </w:t>
      </w:r>
      <w:r w:rsidR="00B335AE">
        <w:t>the M</w:t>
      </w:r>
      <w:r>
        <w:t xml:space="preserve">ember </w:t>
      </w:r>
      <w:r w:rsidR="00B335AE">
        <w:t>S</w:t>
      </w:r>
      <w:r>
        <w:t>tates and revised periodically, with major revisions in 1996</w:t>
      </w:r>
      <w:r w:rsidR="00970DF7">
        <w:t>,</w:t>
      </w:r>
      <w:r w:rsidR="00ED7B8F">
        <w:t xml:space="preserve"> 2007-2008</w:t>
      </w:r>
      <w:r w:rsidR="00970DF7">
        <w:t>, and 2010</w:t>
      </w:r>
      <w:r>
        <w:t>.</w:t>
      </w:r>
      <w:r w:rsidR="00EC221D">
        <w:t xml:space="preserve">  Since 1998, ATRs have been </w:t>
      </w:r>
      <w:r w:rsidR="00731DD4">
        <w:t>published on the WIPO website.</w:t>
      </w:r>
    </w:p>
    <w:p w14:paraId="58E1B9E2" w14:textId="606B09CC" w:rsidR="00991CAF" w:rsidRDefault="00991CAF" w:rsidP="00991CAF">
      <w:pPr>
        <w:pStyle w:val="ONUMFS"/>
        <w:numPr>
          <w:ilvl w:val="0"/>
          <w:numId w:val="0"/>
        </w:numPr>
      </w:pPr>
      <w:r>
        <w:fldChar w:fldCharType="begin"/>
      </w:r>
      <w:r>
        <w:instrText xml:space="preserve"> AUTONUM  </w:instrText>
      </w:r>
      <w:r>
        <w:fldChar w:fldCharType="end"/>
      </w:r>
      <w:r>
        <w:tab/>
      </w:r>
      <w:r w:rsidR="00A06014">
        <w:t>ATRs</w:t>
      </w:r>
      <w:r w:rsidRPr="00991CAF">
        <w:t xml:space="preserve"> were intended to disseminate information about IPO activities, plans, and statistics to a broader audience.  When ATRs were started</w:t>
      </w:r>
      <w:r>
        <w:t xml:space="preserve">, online publications did not exist </w:t>
      </w:r>
      <w:r w:rsidRPr="00991CAF">
        <w:t xml:space="preserve">and information from </w:t>
      </w:r>
      <w:r w:rsidR="00AC54AA">
        <w:t>IPOs</w:t>
      </w:r>
      <w:r w:rsidRPr="00991CAF">
        <w:t xml:space="preserve"> was difficult to access.  </w:t>
      </w:r>
      <w:r w:rsidR="00B335AE">
        <w:t>In addition</w:t>
      </w:r>
      <w:r w:rsidRPr="00991CAF">
        <w:t>, the vast number of languages used by IPOs in annual reports made information harder to locate and understand.</w:t>
      </w:r>
    </w:p>
    <w:p w14:paraId="79529397" w14:textId="75731E27" w:rsidR="007751D8" w:rsidRDefault="007751D8" w:rsidP="007751D8">
      <w:pPr>
        <w:pStyle w:val="ONUMFS"/>
        <w:numPr>
          <w:ilvl w:val="0"/>
          <w:numId w:val="0"/>
        </w:numPr>
      </w:pPr>
      <w:r>
        <w:fldChar w:fldCharType="begin"/>
      </w:r>
      <w:r>
        <w:instrText xml:space="preserve"> AUTONUM  </w:instrText>
      </w:r>
      <w:r>
        <w:fldChar w:fldCharType="end"/>
      </w:r>
      <w:r>
        <w:tab/>
        <w:t xml:space="preserve">The usefulness of ATRs </w:t>
      </w:r>
      <w:r w:rsidR="002E160B">
        <w:t>was</w:t>
      </w:r>
      <w:r>
        <w:t xml:space="preserve"> considered before by the CWS predecessors, </w:t>
      </w:r>
      <w:r w:rsidR="00A80953">
        <w:t xml:space="preserve">the </w:t>
      </w:r>
      <w:r w:rsidR="00367A26" w:rsidRPr="00367A26">
        <w:t>Standing Committee on Information Technologies</w:t>
      </w:r>
      <w:r w:rsidR="00367A26">
        <w:t xml:space="preserve"> (</w:t>
      </w:r>
      <w:r>
        <w:t>SCIT</w:t>
      </w:r>
      <w:r w:rsidR="00367A26">
        <w:t>)</w:t>
      </w:r>
      <w:r>
        <w:t xml:space="preserve"> and </w:t>
      </w:r>
      <w:r w:rsidR="00A80953">
        <w:t xml:space="preserve">its </w:t>
      </w:r>
      <w:r w:rsidR="00367A26" w:rsidRPr="00367A26">
        <w:t xml:space="preserve">Standards and Documentation Working Group </w:t>
      </w:r>
      <w:r w:rsidR="00367A26">
        <w:t>(</w:t>
      </w:r>
      <w:r>
        <w:t>SDWG</w:t>
      </w:r>
      <w:r w:rsidR="00367A26">
        <w:t>)</w:t>
      </w:r>
      <w:r>
        <w:t xml:space="preserve">.  Expanding use of IPO websites to disseminate information means that much information collected in ATRs may already be available on IPO websites.  A letter from the Swiss Federal Institute of Intellectual Property in 2003 noted: </w:t>
      </w:r>
    </w:p>
    <w:p w14:paraId="3100EEE3" w14:textId="77777777" w:rsidR="008D2E97" w:rsidRDefault="008D2E97" w:rsidP="007751D8">
      <w:pPr>
        <w:pStyle w:val="ONUMFS"/>
        <w:numPr>
          <w:ilvl w:val="0"/>
          <w:numId w:val="0"/>
        </w:numPr>
      </w:pPr>
    </w:p>
    <w:p w14:paraId="5A4226C6" w14:textId="6D86F842" w:rsidR="007751D8" w:rsidRPr="00991CAF" w:rsidRDefault="007751D8" w:rsidP="007751D8">
      <w:pPr>
        <w:pStyle w:val="ONUMFS"/>
        <w:numPr>
          <w:ilvl w:val="0"/>
          <w:numId w:val="0"/>
        </w:numPr>
        <w:ind w:left="567"/>
      </w:pPr>
      <w:r>
        <w:lastRenderedPageBreak/>
        <w:t>“After consulting the existing [annual technical] reports, we have noted that the number of States that submitted a report had decreased regularly during the past few years and that it had now reached a critical threshold. Furthermore, the practical usefulness of these reports appears to be very limited: apart from an occasional mention in the publication World Patent Information, they scarcely seem to be used nowadays.”  (See Annex I of document SCIT/SDWG/6/7.)</w:t>
      </w:r>
    </w:p>
    <w:p w14:paraId="66A50A9C" w14:textId="646A65F0" w:rsidR="00731DD4" w:rsidRDefault="00731DD4" w:rsidP="00F541AA">
      <w:pPr>
        <w:pStyle w:val="ONUMFS"/>
        <w:numPr>
          <w:ilvl w:val="0"/>
          <w:numId w:val="0"/>
        </w:numPr>
      </w:pPr>
      <w:r>
        <w:fldChar w:fldCharType="begin"/>
      </w:r>
      <w:r>
        <w:instrText xml:space="preserve"> AUTONUM  </w:instrText>
      </w:r>
      <w:r>
        <w:fldChar w:fldCharType="end"/>
      </w:r>
      <w:r>
        <w:tab/>
        <w:t>In 2005, the I</w:t>
      </w:r>
      <w:r w:rsidR="008D2E97">
        <w:t xml:space="preserve">nternational </w:t>
      </w:r>
      <w:r>
        <w:t>B</w:t>
      </w:r>
      <w:r w:rsidR="008D2E97">
        <w:t>ureau</w:t>
      </w:r>
      <w:r>
        <w:t xml:space="preserve"> proposed discontinuing ATRs based on declining participation and usefulness </w:t>
      </w:r>
      <w:r w:rsidR="00B335AE">
        <w:t>for consideration by the former</w:t>
      </w:r>
      <w:r w:rsidR="008D2E97">
        <w:t xml:space="preserve"> </w:t>
      </w:r>
      <w:r w:rsidR="00B335AE">
        <w:t xml:space="preserve">SDWG </w:t>
      </w:r>
      <w:r>
        <w:t>(see paragraphs 5 to 8 of document SCIT/SDWG/6/7).  The SDWG decided instead to create the ATR Task Force to study the issue</w:t>
      </w:r>
      <w:r w:rsidR="00B335AE">
        <w:t>s</w:t>
      </w:r>
      <w:r>
        <w:t xml:space="preserve"> and recommend improvements (see paragraphs 59 to 61 of document SCIT/SDWG/6/11).  This resulted in the structural revisions of </w:t>
      </w:r>
      <w:r w:rsidR="00B335AE">
        <w:t xml:space="preserve">ATR questionnaires in </w:t>
      </w:r>
      <w:r>
        <w:t>2007-2008</w:t>
      </w:r>
      <w:r w:rsidR="00970DF7">
        <w:t xml:space="preserve"> and 2010</w:t>
      </w:r>
      <w:r>
        <w:t xml:space="preserve">, the last </w:t>
      </w:r>
      <w:r w:rsidR="00970DF7">
        <w:t xml:space="preserve">significant </w:t>
      </w:r>
      <w:r>
        <w:t>update</w:t>
      </w:r>
      <w:r w:rsidR="00991CAF">
        <w:t>s</w:t>
      </w:r>
      <w:r>
        <w:t xml:space="preserve"> </w:t>
      </w:r>
      <w:r w:rsidR="00970DF7">
        <w:t xml:space="preserve">to ATRs (see paragraphs 47 to 48 of document CWS/1/10).  </w:t>
      </w:r>
    </w:p>
    <w:p w14:paraId="6131349A" w14:textId="3DC92F46" w:rsidR="00731DD4" w:rsidRDefault="004B7B84" w:rsidP="004B7B84">
      <w:pPr>
        <w:pStyle w:val="ONUMFS"/>
        <w:numPr>
          <w:ilvl w:val="0"/>
          <w:numId w:val="0"/>
        </w:numPr>
      </w:pPr>
      <w:r>
        <w:fldChar w:fldCharType="begin"/>
      </w:r>
      <w:r>
        <w:instrText xml:space="preserve"> AUTONUM  </w:instrText>
      </w:r>
      <w:r>
        <w:fldChar w:fldCharType="end"/>
      </w:r>
      <w:r>
        <w:tab/>
        <w:t xml:space="preserve">According to these documents, the same issues currently </w:t>
      </w:r>
      <w:r w:rsidR="00961C82">
        <w:t>being considered by the</w:t>
      </w:r>
      <w:r>
        <w:t xml:space="preserve"> CWS were </w:t>
      </w:r>
      <w:r w:rsidR="00252CC4">
        <w:t xml:space="preserve">also </w:t>
      </w:r>
      <w:r>
        <w:t xml:space="preserve">considered </w:t>
      </w:r>
      <w:r w:rsidR="00991CAF">
        <w:t>in the past</w:t>
      </w:r>
      <w:r>
        <w:t xml:space="preserve">.  Changes were made several times to try to improve access, visibility, and usefulness of ATRs, including: moving to online publication, collecting via the wiki, improving search engine visibility, and modifying the contents of ATRs.  </w:t>
      </w:r>
      <w:r w:rsidR="00061A58">
        <w:t>Now t</w:t>
      </w:r>
      <w:r>
        <w:t>he key question is: have these changes had a positive effect on ATRs?</w:t>
      </w:r>
    </w:p>
    <w:p w14:paraId="37BBDC93" w14:textId="77777777" w:rsidR="00061A58" w:rsidRDefault="0025392F" w:rsidP="0085337D">
      <w:pPr>
        <w:pStyle w:val="Heading2"/>
        <w:spacing w:before="0"/>
      </w:pPr>
      <w:r w:rsidRPr="0085337D">
        <w:rPr>
          <w:rFonts w:eastAsia="Malgun Gothic"/>
          <w:caps w:val="0"/>
          <w:szCs w:val="22"/>
        </w:rPr>
        <w:t>CURRENT</w:t>
      </w:r>
      <w:r>
        <w:t xml:space="preserve"> SITUATION</w:t>
      </w:r>
    </w:p>
    <w:p w14:paraId="3D09CB12" w14:textId="77777777" w:rsidR="00061A58" w:rsidRDefault="00061A58" w:rsidP="00061A58">
      <w:pPr>
        <w:pStyle w:val="ONUMFS"/>
        <w:numPr>
          <w:ilvl w:val="0"/>
          <w:numId w:val="0"/>
        </w:numPr>
      </w:pPr>
      <w:r>
        <w:fldChar w:fldCharType="begin"/>
      </w:r>
      <w:r>
        <w:instrText xml:space="preserve"> AUTONUM  </w:instrText>
      </w:r>
      <w:r>
        <w:fldChar w:fldCharType="end"/>
      </w:r>
      <w:r>
        <w:tab/>
        <w:t>In 2021, the environment for ATRs has changed significantly since their inception.  Online publications are normal, and many IPOs publish annual reports that contain much of the information in ATRs.  Automatic translation tools are widely available and becoming increasingly sophisticated, making publications easier to access by speakers of other languages.  These factors address many needs that ATRs were originally meant to fulfill.</w:t>
      </w:r>
    </w:p>
    <w:p w14:paraId="3BC038F2" w14:textId="3D7C3701" w:rsidR="00ED7B8F" w:rsidRDefault="00061A58" w:rsidP="00061A58">
      <w:pPr>
        <w:pStyle w:val="ONUMFS"/>
        <w:numPr>
          <w:ilvl w:val="0"/>
          <w:numId w:val="0"/>
        </w:numPr>
      </w:pPr>
      <w:r>
        <w:fldChar w:fldCharType="begin"/>
      </w:r>
      <w:r>
        <w:instrText xml:space="preserve"> AUTONUM  </w:instrText>
      </w:r>
      <w:r>
        <w:fldChar w:fldCharType="end"/>
      </w:r>
      <w:r>
        <w:tab/>
        <w:t xml:space="preserve">The question then arises: how much have ATRs been used in recent years?  If we see high demand for ATRs, </w:t>
      </w:r>
      <w:r w:rsidR="001A21C1">
        <w:t>it</w:t>
      </w:r>
      <w:r>
        <w:t xml:space="preserve"> indicates they may still be filling important needs, even if different from the original purpose.  If we see low demand, </w:t>
      </w:r>
      <w:r w:rsidR="001A21C1">
        <w:t>it</w:t>
      </w:r>
      <w:r>
        <w:t xml:space="preserve"> may indicate that ATRs are not as useful as they were in the past.  We can address this question with empirical data from two sides: ATR producers (IPOs) and ATR consumers (end users).</w:t>
      </w:r>
    </w:p>
    <w:p w14:paraId="585579B9" w14:textId="77777777" w:rsidR="000740C3" w:rsidRPr="0025392F" w:rsidRDefault="0025392F" w:rsidP="0085337D">
      <w:pPr>
        <w:pStyle w:val="Heading2"/>
        <w:spacing w:before="0"/>
      </w:pPr>
      <w:r w:rsidRPr="0025392F">
        <w:t xml:space="preserve">ATR </w:t>
      </w:r>
      <w:r w:rsidRPr="0085337D">
        <w:rPr>
          <w:rFonts w:eastAsia="Malgun Gothic"/>
          <w:caps w:val="0"/>
          <w:szCs w:val="22"/>
        </w:rPr>
        <w:t>PRODUCERS</w:t>
      </w:r>
    </w:p>
    <w:p w14:paraId="622B97EE" w14:textId="5BC21783" w:rsidR="000740C3" w:rsidRDefault="0085337D" w:rsidP="0085337D">
      <w:pPr>
        <w:pStyle w:val="ONUMFS"/>
        <w:numPr>
          <w:ilvl w:val="0"/>
          <w:numId w:val="0"/>
        </w:numPr>
      </w:pPr>
      <w:r>
        <w:fldChar w:fldCharType="begin"/>
      </w:r>
      <w:r>
        <w:instrText xml:space="preserve"> AUTONUM  </w:instrText>
      </w:r>
      <w:r>
        <w:fldChar w:fldCharType="end"/>
      </w:r>
      <w:r>
        <w:tab/>
      </w:r>
      <w:r w:rsidR="000740C3" w:rsidRPr="000740C3">
        <w:t xml:space="preserve">On the producer side, ATR submissions have steadily </w:t>
      </w:r>
      <w:r w:rsidR="008F2865">
        <w:t>declin</w:t>
      </w:r>
      <w:r w:rsidR="000740C3" w:rsidRPr="000740C3">
        <w:t xml:space="preserve">ed over the years.  For ATR years 1998 to 2001, over 50 </w:t>
      </w:r>
      <w:r w:rsidR="00D94CF6">
        <w:t>O</w:t>
      </w:r>
      <w:r w:rsidR="000740C3" w:rsidRPr="000740C3">
        <w:t xml:space="preserve">ffices provided ATRs each year.  From 2002 to 2007, an average of 42 </w:t>
      </w:r>
      <w:r w:rsidR="001A21C1">
        <w:t>O</w:t>
      </w:r>
      <w:r w:rsidR="000740C3" w:rsidRPr="000740C3">
        <w:t xml:space="preserve">ffices provided ATRs. </w:t>
      </w:r>
      <w:r>
        <w:t xml:space="preserve"> This fell to an average of 31 O</w:t>
      </w:r>
      <w:r w:rsidR="000740C3" w:rsidRPr="000740C3">
        <w:t>ffices between 2008 and 2013.  Fr</w:t>
      </w:r>
      <w:r>
        <w:t>om 2014 to 2018, the number of O</w:t>
      </w:r>
      <w:r w:rsidR="000740C3" w:rsidRPr="000740C3">
        <w:t>ffices steadily declined, from 23 in 2014 to just 11 in 2018.  ATRs for 2020 are back dow</w:t>
      </w:r>
      <w:r>
        <w:t>n to 2018 levels, with just 11 O</w:t>
      </w:r>
      <w:r w:rsidR="000740C3" w:rsidRPr="000740C3">
        <w:t xml:space="preserve">ffices providing them.  The following </w:t>
      </w:r>
      <w:r w:rsidR="00AF53AF">
        <w:t>chart</w:t>
      </w:r>
      <w:r w:rsidR="000740C3">
        <w:t xml:space="preserve"> </w:t>
      </w:r>
      <w:r w:rsidR="000740C3" w:rsidRPr="000740C3">
        <w:t xml:space="preserve">shows the decline since </w:t>
      </w:r>
      <w:r w:rsidR="00AF53AF">
        <w:t>1998</w:t>
      </w:r>
      <w:r w:rsidR="000740C3" w:rsidRPr="000740C3">
        <w:t>.</w:t>
      </w:r>
    </w:p>
    <w:p w14:paraId="425E9D7B" w14:textId="239156EA" w:rsidR="004E109D" w:rsidRDefault="00F93E92" w:rsidP="0085337D">
      <w:pPr>
        <w:pStyle w:val="ONUMFS"/>
        <w:numPr>
          <w:ilvl w:val="0"/>
          <w:numId w:val="0"/>
        </w:numPr>
      </w:pPr>
      <w:r>
        <w:rPr>
          <w:noProof/>
          <w:lang w:eastAsia="en-US"/>
        </w:rPr>
        <w:drawing>
          <wp:inline distT="0" distB="0" distL="0" distR="0" wp14:anchorId="293B95C4" wp14:editId="081EF890">
            <wp:extent cx="5942330" cy="3413125"/>
            <wp:effectExtent l="0" t="0" r="1270" b="158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0D8DFD" w14:textId="58D73595" w:rsidR="00AF53AF" w:rsidRDefault="0085337D" w:rsidP="00A624FE">
      <w:pPr>
        <w:pStyle w:val="ONUMFS"/>
        <w:numPr>
          <w:ilvl w:val="0"/>
          <w:numId w:val="0"/>
        </w:numPr>
      </w:pPr>
      <w:r>
        <w:fldChar w:fldCharType="begin"/>
      </w:r>
      <w:r>
        <w:instrText xml:space="preserve"> AUTONUM  </w:instrText>
      </w:r>
      <w:r>
        <w:fldChar w:fldCharType="end"/>
      </w:r>
      <w:r>
        <w:tab/>
      </w:r>
      <w:r w:rsidR="000740C3" w:rsidRPr="000740C3">
        <w:t>In one exception to the pattern, submissions ticked up a bit for 2019 ATRs with</w:t>
      </w:r>
      <w:r w:rsidR="00F8715A">
        <w:t xml:space="preserve"> </w:t>
      </w:r>
      <w:r w:rsidR="000740C3" w:rsidRPr="000740C3">
        <w:t xml:space="preserve">18 </w:t>
      </w:r>
      <w:r w:rsidR="006B3232">
        <w:t>O</w:t>
      </w:r>
      <w:r w:rsidR="000740C3" w:rsidRPr="000740C3">
        <w:t xml:space="preserve">ffices.  These ATRs were collected in 2020 during the </w:t>
      </w:r>
      <w:r w:rsidR="00D94CF6">
        <w:t xml:space="preserve">COVID-19 </w:t>
      </w:r>
      <w:r w:rsidR="000740C3" w:rsidRPr="000740C3">
        <w:t xml:space="preserve">pandemic.  The uptick for 2019 </w:t>
      </w:r>
      <w:r w:rsidR="00B92426">
        <w:t>appears to be</w:t>
      </w:r>
      <w:r w:rsidR="00B92426" w:rsidRPr="000740C3">
        <w:t xml:space="preserve"> </w:t>
      </w:r>
      <w:r w:rsidR="000740C3" w:rsidRPr="000740C3">
        <w:t>a temporary result</w:t>
      </w:r>
      <w:r w:rsidR="006B3232">
        <w:t xml:space="preserve"> as t</w:t>
      </w:r>
      <w:r w:rsidR="000740C3" w:rsidRPr="000740C3">
        <w:t>he increase has not lasted.  Submissions for 2020 (collected in 2021) have fallen back down</w:t>
      </w:r>
      <w:r w:rsidR="00B46EFF">
        <w:t xml:space="preserve"> </w:t>
      </w:r>
      <w:r w:rsidR="008F2865">
        <w:t xml:space="preserve">to </w:t>
      </w:r>
      <w:r w:rsidR="00B46EFF">
        <w:t>near historic lows</w:t>
      </w:r>
      <w:r w:rsidR="000740C3" w:rsidRPr="000740C3">
        <w:t>.</w:t>
      </w:r>
    </w:p>
    <w:p w14:paraId="1CBC667E" w14:textId="7974660B" w:rsidR="000740C3" w:rsidRPr="000740C3" w:rsidRDefault="00A624FE" w:rsidP="00A624FE">
      <w:pPr>
        <w:pStyle w:val="ONUMFS"/>
        <w:numPr>
          <w:ilvl w:val="0"/>
          <w:numId w:val="0"/>
        </w:numPr>
      </w:pPr>
      <w:r>
        <w:fldChar w:fldCharType="begin"/>
      </w:r>
      <w:r>
        <w:instrText xml:space="preserve"> AUTONUM  </w:instrText>
      </w:r>
      <w:r>
        <w:fldChar w:fldCharType="end"/>
      </w:r>
      <w:r>
        <w:tab/>
      </w:r>
      <w:r w:rsidR="000740C3" w:rsidRPr="000740C3">
        <w:t>Based on the data, declining participation from IPOs seems to indicate that ATRs are not perceived with the same importance as they were 20 years ago</w:t>
      </w:r>
      <w:r w:rsidR="006B3232">
        <w:t xml:space="preserve"> from the perspective of ATR producers (IPOs)</w:t>
      </w:r>
      <w:r w:rsidR="000740C3" w:rsidRPr="000740C3">
        <w:t>.</w:t>
      </w:r>
    </w:p>
    <w:p w14:paraId="02B4A307" w14:textId="77777777" w:rsidR="000740C3" w:rsidRPr="0025392F" w:rsidRDefault="0025392F" w:rsidP="00A624FE">
      <w:pPr>
        <w:pStyle w:val="Heading2"/>
        <w:spacing w:before="0"/>
      </w:pPr>
      <w:r w:rsidRPr="0025392F">
        <w:t xml:space="preserve">ATR </w:t>
      </w:r>
      <w:r w:rsidRPr="00A624FE">
        <w:rPr>
          <w:rFonts w:eastAsia="Malgun Gothic"/>
          <w:caps w:val="0"/>
          <w:szCs w:val="22"/>
        </w:rPr>
        <w:t>USERS</w:t>
      </w:r>
    </w:p>
    <w:p w14:paraId="66DF004F" w14:textId="2C4210F7" w:rsidR="000740C3" w:rsidRPr="000740C3" w:rsidRDefault="00A624FE" w:rsidP="00A624FE">
      <w:pPr>
        <w:pStyle w:val="ONUMFS"/>
        <w:numPr>
          <w:ilvl w:val="0"/>
          <w:numId w:val="0"/>
        </w:numPr>
      </w:pPr>
      <w:r>
        <w:fldChar w:fldCharType="begin"/>
      </w:r>
      <w:r>
        <w:instrText xml:space="preserve"> AUTONUM  </w:instrText>
      </w:r>
      <w:r>
        <w:fldChar w:fldCharType="end"/>
      </w:r>
      <w:r>
        <w:tab/>
      </w:r>
      <w:r w:rsidR="000740C3" w:rsidRPr="000740C3">
        <w:t>On the user side, web statistics for ATR page views show a similar pattern.  Web stat</w:t>
      </w:r>
      <w:r w:rsidR="008C4A83">
        <w:t>istic</w:t>
      </w:r>
      <w:r w:rsidR="000740C3" w:rsidRPr="000740C3">
        <w:t xml:space="preserve">s are available </w:t>
      </w:r>
      <w:r w:rsidR="000D2575">
        <w:t xml:space="preserve">to the Secretariat </w:t>
      </w:r>
      <w:r w:rsidR="000740C3" w:rsidRPr="000740C3">
        <w:t>from calendar year 2017 to present.</w:t>
      </w:r>
      <w:r w:rsidR="00747AE9">
        <w:t xml:space="preserve">  Statistics for 2021 are excluded from calculations because only </w:t>
      </w:r>
      <w:r w:rsidR="006B3232">
        <w:t>seven</w:t>
      </w:r>
      <w:r w:rsidR="00747AE9">
        <w:t xml:space="preserve"> months of data are available, but the numbers so far are in line with previous years.</w:t>
      </w:r>
    </w:p>
    <w:p w14:paraId="141BBC75" w14:textId="2A524E9D" w:rsidR="000740C3" w:rsidRPr="000740C3" w:rsidRDefault="00A624FE" w:rsidP="00A624FE">
      <w:pPr>
        <w:pStyle w:val="ONUMFS"/>
        <w:numPr>
          <w:ilvl w:val="0"/>
          <w:numId w:val="0"/>
        </w:numPr>
      </w:pPr>
      <w:r>
        <w:fldChar w:fldCharType="begin"/>
      </w:r>
      <w:r>
        <w:instrText xml:space="preserve"> AUTONUM  </w:instrText>
      </w:r>
      <w:r>
        <w:fldChar w:fldCharType="end"/>
      </w:r>
      <w:r>
        <w:tab/>
      </w:r>
      <w:r w:rsidR="000740C3" w:rsidRPr="000740C3">
        <w:t xml:space="preserve">Each year, ATR page views </w:t>
      </w:r>
      <w:r w:rsidR="00F55361">
        <w:t>show the same behavior</w:t>
      </w:r>
      <w:r w:rsidR="000740C3" w:rsidRPr="000740C3">
        <w:t>.  The following chart shows page views in 2019 for all ATRs collected in the indicated year:</w:t>
      </w:r>
    </w:p>
    <w:p w14:paraId="07199240" w14:textId="77777777" w:rsidR="000740C3" w:rsidRPr="000740C3" w:rsidRDefault="000740C3" w:rsidP="00F8715A">
      <w:pPr>
        <w:pStyle w:val="ONUMFS"/>
        <w:numPr>
          <w:ilvl w:val="0"/>
          <w:numId w:val="0"/>
        </w:numPr>
        <w:jc w:val="center"/>
      </w:pPr>
      <w:r w:rsidRPr="000740C3">
        <w:rPr>
          <w:noProof/>
          <w:lang w:eastAsia="en-US"/>
        </w:rPr>
        <w:drawing>
          <wp:inline distT="0" distB="0" distL="0" distR="0" wp14:anchorId="7D1F7E86" wp14:editId="42CF3DBF">
            <wp:extent cx="4953000" cy="24765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0C4822" w14:textId="38D17BBB" w:rsidR="000740C3" w:rsidRPr="000740C3" w:rsidRDefault="00A624FE" w:rsidP="00A624FE">
      <w:pPr>
        <w:pStyle w:val="ONUMFS"/>
        <w:numPr>
          <w:ilvl w:val="0"/>
          <w:numId w:val="0"/>
        </w:numPr>
      </w:pPr>
      <w:r>
        <w:fldChar w:fldCharType="begin"/>
      </w:r>
      <w:r>
        <w:instrText xml:space="preserve"> AUTONUM  </w:instrText>
      </w:r>
      <w:r>
        <w:fldChar w:fldCharType="end"/>
      </w:r>
      <w:r>
        <w:tab/>
      </w:r>
      <w:r w:rsidR="000740C3" w:rsidRPr="000740C3">
        <w:t xml:space="preserve">During 2019, ATRs for the previous calendar year (2018) </w:t>
      </w:r>
      <w:r w:rsidR="00811B81">
        <w:t>ar</w:t>
      </w:r>
      <w:r w:rsidR="000740C3" w:rsidRPr="000740C3">
        <w:t>e collected.  These ATRs have the second highest number of views</w:t>
      </w:r>
      <w:r w:rsidR="00811B81">
        <w:t xml:space="preserve"> in 2019 web stat</w:t>
      </w:r>
      <w:r w:rsidR="00A36324">
        <w:t>istic</w:t>
      </w:r>
      <w:r w:rsidR="00811B81">
        <w:t>s</w:t>
      </w:r>
      <w:r w:rsidR="000740C3" w:rsidRPr="000740C3">
        <w:t xml:space="preserve">, because the pages are published midway through the year.  ATRs from the year before (2017) have the highest views, because they are available </w:t>
      </w:r>
      <w:r w:rsidR="00811B81">
        <w:t xml:space="preserve">for all of 2019 </w:t>
      </w:r>
      <w:r w:rsidR="000740C3" w:rsidRPr="000740C3">
        <w:t>and are the most recent ATRs for part of the year (</w:t>
      </w:r>
      <w:r w:rsidR="00811B81">
        <w:t xml:space="preserve">until </w:t>
      </w:r>
      <w:r w:rsidR="000740C3" w:rsidRPr="000740C3">
        <w:t xml:space="preserve">new </w:t>
      </w:r>
      <w:r w:rsidR="00811B81">
        <w:t xml:space="preserve">2018 </w:t>
      </w:r>
      <w:r w:rsidR="000740C3" w:rsidRPr="000740C3">
        <w:t xml:space="preserve">ATRs </w:t>
      </w:r>
      <w:r w:rsidR="00811B81">
        <w:t>a</w:t>
      </w:r>
      <w:r w:rsidR="000740C3" w:rsidRPr="000740C3">
        <w:t>re published).  ATRs fr</w:t>
      </w:r>
      <w:r w:rsidR="00811B81">
        <w:t>om</w:t>
      </w:r>
      <w:r w:rsidR="000740C3" w:rsidRPr="000740C3">
        <w:t xml:space="preserve"> years before this (2016 to 2014) drop dramatically </w:t>
      </w:r>
      <w:r w:rsidR="00811B81">
        <w:t xml:space="preserve">in page views </w:t>
      </w:r>
      <w:r w:rsidR="000740C3" w:rsidRPr="000740C3">
        <w:t xml:space="preserve">as the information </w:t>
      </w:r>
      <w:r w:rsidR="00055DDC">
        <w:t xml:space="preserve">becomes </w:t>
      </w:r>
      <w:r w:rsidR="00F55361">
        <w:t xml:space="preserve">increasingly </w:t>
      </w:r>
      <w:r w:rsidR="000740C3" w:rsidRPr="000740C3">
        <w:t>outdated.</w:t>
      </w:r>
    </w:p>
    <w:p w14:paraId="21384AF9" w14:textId="7BF1FF63" w:rsidR="000740C3" w:rsidRPr="000740C3" w:rsidRDefault="00A624FE" w:rsidP="00A624FE">
      <w:pPr>
        <w:pStyle w:val="ONUMFS"/>
        <w:numPr>
          <w:ilvl w:val="0"/>
          <w:numId w:val="0"/>
        </w:numPr>
      </w:pPr>
      <w:r>
        <w:fldChar w:fldCharType="begin"/>
      </w:r>
      <w:r>
        <w:instrText xml:space="preserve"> AUTONUM  </w:instrText>
      </w:r>
      <w:r>
        <w:fldChar w:fldCharType="end"/>
      </w:r>
      <w:r>
        <w:tab/>
      </w:r>
      <w:r w:rsidR="000740C3" w:rsidRPr="000740C3">
        <w:t>For every year of web stat</w:t>
      </w:r>
      <w:r w:rsidR="00A36324">
        <w:t>istic</w:t>
      </w:r>
      <w:r w:rsidR="000740C3" w:rsidRPr="000740C3">
        <w:t>s in our data (2017 to 2020), the pattern is the same.  ATRs get most of their views in the first two years of publication.  After that, the number of views quickly drops to almost nothing.</w:t>
      </w:r>
      <w:r w:rsidR="00055DDC">
        <w:t xml:space="preserve">  This</w:t>
      </w:r>
      <w:r w:rsidR="000740C3" w:rsidRPr="000740C3">
        <w:t xml:space="preserve"> </w:t>
      </w:r>
      <w:r w:rsidR="00055DDC">
        <w:t xml:space="preserve">document </w:t>
      </w:r>
      <w:r w:rsidR="000740C3" w:rsidRPr="000740C3">
        <w:t xml:space="preserve">will focus on the first two years, when ATRs get most of their views.  The following chart shows two-year page view totals for ATRs </w:t>
      </w:r>
      <w:r w:rsidR="00FE0673">
        <w:t xml:space="preserve">in their first two years of publication (2019 ATRs are excluded because they were published </w:t>
      </w:r>
      <w:r w:rsidR="007751D8">
        <w:t xml:space="preserve">in </w:t>
      </w:r>
      <w:r w:rsidR="00FE0673">
        <w:t>February 2021, so only six months of data are available)</w:t>
      </w:r>
      <w:r w:rsidR="000740C3" w:rsidRPr="000740C3">
        <w:t>.</w:t>
      </w:r>
    </w:p>
    <w:p w14:paraId="07A0E76F" w14:textId="77777777" w:rsidR="000740C3" w:rsidRPr="000740C3" w:rsidRDefault="000740C3" w:rsidP="00F8715A">
      <w:pPr>
        <w:pStyle w:val="ONUMFS"/>
        <w:numPr>
          <w:ilvl w:val="0"/>
          <w:numId w:val="0"/>
        </w:numPr>
        <w:jc w:val="center"/>
      </w:pPr>
      <w:r w:rsidRPr="000740C3">
        <w:rPr>
          <w:noProof/>
          <w:lang w:eastAsia="en-US"/>
        </w:rPr>
        <w:drawing>
          <wp:inline distT="0" distB="0" distL="0" distR="0" wp14:anchorId="5C7DFDC8" wp14:editId="5F8147B7">
            <wp:extent cx="4683760" cy="2674620"/>
            <wp:effectExtent l="0" t="0" r="254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DB50E9" w14:textId="3BED6189" w:rsidR="000740C3" w:rsidRPr="000740C3" w:rsidRDefault="00A624FE" w:rsidP="00A624FE">
      <w:pPr>
        <w:pStyle w:val="ONUMFS"/>
        <w:numPr>
          <w:ilvl w:val="0"/>
          <w:numId w:val="0"/>
        </w:numPr>
      </w:pPr>
      <w:r>
        <w:fldChar w:fldCharType="begin"/>
      </w:r>
      <w:r>
        <w:instrText xml:space="preserve"> AUTONUM  </w:instrText>
      </w:r>
      <w:r>
        <w:fldChar w:fldCharType="end"/>
      </w:r>
      <w:r>
        <w:tab/>
      </w:r>
      <w:r w:rsidR="000740C3" w:rsidRPr="000740C3">
        <w:t>2018 ATRs are the most recent year for which we have two full years of web statistics available (</w:t>
      </w:r>
      <w:r w:rsidR="00D355DF">
        <w:t xml:space="preserve">from calendar years </w:t>
      </w:r>
      <w:r w:rsidR="000740C3" w:rsidRPr="000740C3">
        <w:t>2019 and 2020).  In 2019, their first year of publication, all 2018 ATRs received a total of 105 page views.  In 2020, their second year of publication, all 2018 ATRs</w:t>
      </w:r>
      <w:r w:rsidR="00A50682">
        <w:t xml:space="preserve"> received 265 page views.  That i</w:t>
      </w:r>
      <w:r w:rsidR="000740C3" w:rsidRPr="000740C3">
        <w:t>s a total of 370 page views across the first two years of publication.  Other ATRs show similar totals</w:t>
      </w:r>
      <w:r w:rsidR="000E4BA5">
        <w:t xml:space="preserve"> for their first two years of publication</w:t>
      </w:r>
      <w:r w:rsidR="000740C3" w:rsidRPr="000740C3">
        <w:t>.  The split between first and second year views varies depending when during that year ATRs are published, but the two-year total remains in the 360 to 440 range.</w:t>
      </w:r>
    </w:p>
    <w:p w14:paraId="72BBCE56" w14:textId="29A150A0" w:rsidR="000740C3" w:rsidRPr="000740C3" w:rsidRDefault="00E23D6E" w:rsidP="00A36324">
      <w:pPr>
        <w:pStyle w:val="ONUMFS"/>
        <w:numPr>
          <w:ilvl w:val="0"/>
          <w:numId w:val="0"/>
        </w:numPr>
        <w:spacing w:after="120"/>
      </w:pPr>
      <w:r>
        <w:fldChar w:fldCharType="begin"/>
      </w:r>
      <w:r>
        <w:instrText xml:space="preserve"> AUTONUM  </w:instrText>
      </w:r>
      <w:r>
        <w:fldChar w:fldCharType="end"/>
      </w:r>
      <w:r>
        <w:tab/>
      </w:r>
      <w:r w:rsidR="000740C3" w:rsidRPr="000740C3">
        <w:t>Based on this data, ATRs average about 180 views per year in their first two years.  This is a very low figure.  For comparison, here are 2020 page views for other CWS-related content:</w:t>
      </w:r>
    </w:p>
    <w:p w14:paraId="29E7B553" w14:textId="77777777" w:rsidR="000740C3" w:rsidRPr="000740C3" w:rsidRDefault="000740C3" w:rsidP="00F8715A">
      <w:pPr>
        <w:pStyle w:val="ONUMFS"/>
        <w:numPr>
          <w:ilvl w:val="0"/>
          <w:numId w:val="0"/>
        </w:numPr>
        <w:jc w:val="center"/>
      </w:pPr>
      <w:r w:rsidRPr="000740C3">
        <w:rPr>
          <w:noProof/>
          <w:lang w:eastAsia="en-US"/>
        </w:rPr>
        <w:drawing>
          <wp:inline distT="0" distB="0" distL="0" distR="0" wp14:anchorId="3CB3D01C" wp14:editId="2A5E6298">
            <wp:extent cx="4869180" cy="2194560"/>
            <wp:effectExtent l="0" t="0" r="7620"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240333" w14:textId="06C2DA8A" w:rsidR="000740C3" w:rsidRPr="000740C3" w:rsidRDefault="005C7F35" w:rsidP="005C7F35">
      <w:pPr>
        <w:pStyle w:val="ONUMFS"/>
        <w:numPr>
          <w:ilvl w:val="0"/>
          <w:numId w:val="0"/>
        </w:numPr>
      </w:pPr>
      <w:r>
        <w:fldChar w:fldCharType="begin"/>
      </w:r>
      <w:r>
        <w:instrText xml:space="preserve"> AUTONUM  </w:instrText>
      </w:r>
      <w:r>
        <w:fldChar w:fldCharType="end"/>
      </w:r>
      <w:r>
        <w:tab/>
      </w:r>
      <w:r w:rsidR="007369AB">
        <w:t xml:space="preserve">WIPO Standard </w:t>
      </w:r>
      <w:r w:rsidR="000740C3" w:rsidRPr="000740C3">
        <w:t xml:space="preserve">ST.3 on two-letter codes for </w:t>
      </w:r>
      <w:r w:rsidR="007369AB">
        <w:t>S</w:t>
      </w:r>
      <w:r w:rsidR="000740C3" w:rsidRPr="000740C3">
        <w:t xml:space="preserve">tates and organizations gets the most views, with around 30,000 views each year.  The Standards landing page, our most popular web page, gets about 10,000 views per year.  </w:t>
      </w:r>
      <w:r w:rsidR="002D4D8C">
        <w:t xml:space="preserve">WIPO </w:t>
      </w:r>
      <w:r w:rsidR="007369AB">
        <w:t xml:space="preserve">Standard </w:t>
      </w:r>
      <w:r w:rsidR="000740C3" w:rsidRPr="000740C3">
        <w:t>ST.96 for storing IP data with XML also gets 10,000 views per year.  ST.26 for nucleotide sequences gets over 5,000 views per year</w:t>
      </w:r>
      <w:r w:rsidR="00CE14E1">
        <w:t>.</w:t>
      </w:r>
      <w:r>
        <w:t xml:space="preserve"> </w:t>
      </w:r>
      <w:r w:rsidR="000740C3" w:rsidRPr="000740C3">
        <w:t xml:space="preserve"> These items are among our most popular CWS-related content.</w:t>
      </w:r>
    </w:p>
    <w:p w14:paraId="359B9165" w14:textId="451EBE1F" w:rsidR="000740C3" w:rsidRPr="000740C3" w:rsidRDefault="00CE14E1" w:rsidP="00CE14E1">
      <w:pPr>
        <w:pStyle w:val="ONUMFS"/>
        <w:numPr>
          <w:ilvl w:val="0"/>
          <w:numId w:val="0"/>
        </w:numPr>
      </w:pPr>
      <w:r>
        <w:fldChar w:fldCharType="begin"/>
      </w:r>
      <w:r>
        <w:instrText xml:space="preserve"> AUTONUM  </w:instrText>
      </w:r>
      <w:r>
        <w:fldChar w:fldCharType="end"/>
      </w:r>
      <w:r>
        <w:tab/>
      </w:r>
      <w:r w:rsidR="000740C3" w:rsidRPr="000740C3">
        <w:t xml:space="preserve">In comparison, even outdated content still gets a fair number of views.  </w:t>
      </w:r>
      <w:hyperlink r:id="rId13" w:history="1">
        <w:r w:rsidR="000740C3" w:rsidRPr="000740C3">
          <w:rPr>
            <w:rStyle w:val="Hyperlink"/>
          </w:rPr>
          <w:t>Appendix 3 of ST.9</w:t>
        </w:r>
      </w:hyperlink>
      <w:r w:rsidR="000740C3" w:rsidRPr="000740C3">
        <w:t xml:space="preserve">, which was archived in 2008 and last updated in 1996, still received 700 </w:t>
      </w:r>
      <w:r w:rsidR="000E4BA5">
        <w:t xml:space="preserve">page </w:t>
      </w:r>
      <w:r w:rsidR="000740C3" w:rsidRPr="000740C3">
        <w:t>view</w:t>
      </w:r>
      <w:r w:rsidR="000E4BA5">
        <w:t>s</w:t>
      </w:r>
      <w:r w:rsidR="000740C3" w:rsidRPr="000740C3">
        <w:t xml:space="preserve"> </w:t>
      </w:r>
      <w:r w:rsidR="000E4BA5">
        <w:t>in 2020</w:t>
      </w:r>
      <w:r w:rsidR="000740C3" w:rsidRPr="000740C3">
        <w:t xml:space="preserve">.  A </w:t>
      </w:r>
      <w:hyperlink r:id="rId14" w:history="1">
        <w:r w:rsidR="000740C3" w:rsidRPr="000740C3">
          <w:rPr>
            <w:rStyle w:val="Hyperlink"/>
          </w:rPr>
          <w:t>circular in Spanish</w:t>
        </w:r>
      </w:hyperlink>
      <w:r w:rsidR="000740C3" w:rsidRPr="000740C3">
        <w:t xml:space="preserve"> published by SCIT in 2001 received 8</w:t>
      </w:r>
      <w:r w:rsidR="000E4BA5">
        <w:t>00</w:t>
      </w:r>
      <w:r w:rsidR="000740C3" w:rsidRPr="000740C3">
        <w:t xml:space="preserve"> page views in the year 2020.  In this light, the </w:t>
      </w:r>
      <w:r w:rsidR="009A2410">
        <w:t xml:space="preserve">180 </w:t>
      </w:r>
      <w:r w:rsidR="000740C3" w:rsidRPr="000740C3">
        <w:t xml:space="preserve">views </w:t>
      </w:r>
      <w:r w:rsidR="009A2410">
        <w:t xml:space="preserve">per year </w:t>
      </w:r>
      <w:r w:rsidR="000740C3" w:rsidRPr="000740C3">
        <w:t>averaged b</w:t>
      </w:r>
      <w:r>
        <w:t>y ATRs are exceedingly low.  It i</w:t>
      </w:r>
      <w:r w:rsidR="000740C3" w:rsidRPr="000740C3">
        <w:t xml:space="preserve">s an order of magnitude lower than even outdated content.  </w:t>
      </w:r>
    </w:p>
    <w:p w14:paraId="2C25AFAD" w14:textId="1367E2C7" w:rsidR="000740C3" w:rsidRDefault="00CE14E1" w:rsidP="00CE14E1">
      <w:pPr>
        <w:pStyle w:val="ONUMFS"/>
        <w:numPr>
          <w:ilvl w:val="0"/>
          <w:numId w:val="0"/>
        </w:numPr>
      </w:pPr>
      <w:r>
        <w:fldChar w:fldCharType="begin"/>
      </w:r>
      <w:r>
        <w:instrText xml:space="preserve"> AUTONUM  </w:instrText>
      </w:r>
      <w:r>
        <w:fldChar w:fldCharType="end"/>
      </w:r>
      <w:r>
        <w:tab/>
      </w:r>
      <w:r w:rsidR="000740C3" w:rsidRPr="000740C3">
        <w:t xml:space="preserve">And </w:t>
      </w:r>
      <w:r w:rsidR="000740C3" w:rsidRPr="000740C3">
        <w:t>180 is an average for all ATR pages</w:t>
      </w:r>
      <w:r w:rsidR="009A2410">
        <w:t xml:space="preserve"> from a given ATR year</w:t>
      </w:r>
      <w:r w:rsidR="000740C3" w:rsidRPr="000740C3">
        <w:t xml:space="preserve">.  The number of views for each individual ATR page are often in the single digits.  Out of 164 ATR pages accessed in 2020, only 15 ATR pages had </w:t>
      </w:r>
      <w:r w:rsidR="000740C3" w:rsidRPr="000740C3">
        <w:t>10</w:t>
      </w:r>
      <w:r w:rsidR="000740C3" w:rsidRPr="000740C3">
        <w:t xml:space="preserve"> views or more.  95 of those ATR pages had one single page view the entire year of 2020.  Of 31 ATR submissions for 2018, 22 of those ATRs had less than 10 p</w:t>
      </w:r>
      <w:r>
        <w:t>age views in all of 2020.  That i</w:t>
      </w:r>
      <w:r w:rsidR="000740C3" w:rsidRPr="000740C3">
        <w:t xml:space="preserve">s less than one visitor per month </w:t>
      </w:r>
      <w:r w:rsidR="009A2410">
        <w:t xml:space="preserve">for </w:t>
      </w:r>
      <w:r w:rsidR="000740C3" w:rsidRPr="000740C3">
        <w:t>those pages.</w:t>
      </w:r>
    </w:p>
    <w:p w14:paraId="1EA51701" w14:textId="1AC09A06" w:rsidR="00FE0673" w:rsidRPr="000740C3" w:rsidRDefault="008319D4" w:rsidP="00FE0673">
      <w:pPr>
        <w:pStyle w:val="ONUMFS"/>
        <w:numPr>
          <w:ilvl w:val="0"/>
          <w:numId w:val="0"/>
        </w:numPr>
      </w:pPr>
      <w:r>
        <w:rPr>
          <w:noProof/>
          <w:lang w:eastAsia="en-US"/>
        </w:rPr>
        <w:drawing>
          <wp:inline distT="0" distB="0" distL="0" distR="0" wp14:anchorId="69E19B2A" wp14:editId="5B96F69D">
            <wp:extent cx="5940425" cy="2862632"/>
            <wp:effectExtent l="0" t="0" r="3175"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D14D79" w14:textId="7B097130" w:rsidR="000740C3" w:rsidRPr="000740C3" w:rsidRDefault="00CE14E1" w:rsidP="00CE14E1">
      <w:pPr>
        <w:pStyle w:val="ONUMFS"/>
        <w:numPr>
          <w:ilvl w:val="0"/>
          <w:numId w:val="0"/>
        </w:numPr>
      </w:pPr>
      <w:r>
        <w:fldChar w:fldCharType="begin"/>
      </w:r>
      <w:r>
        <w:instrText xml:space="preserve"> AUTONUM  </w:instrText>
      </w:r>
      <w:r>
        <w:fldChar w:fldCharType="end"/>
      </w:r>
      <w:r>
        <w:tab/>
      </w:r>
      <w:r w:rsidR="000740C3" w:rsidRPr="000740C3">
        <w:t xml:space="preserve">This indicates that most ATR pages receive very few visitors.  Given the effort required </w:t>
      </w:r>
      <w:r w:rsidR="009A2410">
        <w:t xml:space="preserve">by IPOs </w:t>
      </w:r>
      <w:r w:rsidR="000740C3" w:rsidRPr="000740C3">
        <w:t xml:space="preserve">to draft and publish ATRs, </w:t>
      </w:r>
      <w:r w:rsidR="007369AB">
        <w:t xml:space="preserve">it seems that </w:t>
      </w:r>
      <w:r w:rsidR="000740C3" w:rsidRPr="000740C3">
        <w:t xml:space="preserve">the number of visitors </w:t>
      </w:r>
      <w:r w:rsidR="00AA0911">
        <w:t>may</w:t>
      </w:r>
      <w:r w:rsidR="007369AB">
        <w:t xml:space="preserve"> not </w:t>
      </w:r>
      <w:r w:rsidR="000740C3" w:rsidRPr="000740C3">
        <w:t>justify the level of effort currently invested</w:t>
      </w:r>
      <w:r w:rsidR="007369AB">
        <w:t xml:space="preserve"> by ATR providers.</w:t>
      </w:r>
    </w:p>
    <w:p w14:paraId="4495FBB1" w14:textId="77777777" w:rsidR="000740C3" w:rsidRPr="0025392F" w:rsidRDefault="0025392F" w:rsidP="0038760F">
      <w:pPr>
        <w:pStyle w:val="Heading2"/>
        <w:spacing w:before="0"/>
      </w:pPr>
      <w:r w:rsidRPr="0025392F">
        <w:t xml:space="preserve">SOURCE OF </w:t>
      </w:r>
      <w:r w:rsidRPr="0038760F">
        <w:rPr>
          <w:rFonts w:eastAsia="Malgun Gothic"/>
          <w:caps w:val="0"/>
          <w:szCs w:val="22"/>
        </w:rPr>
        <w:t>VISITORS</w:t>
      </w:r>
    </w:p>
    <w:p w14:paraId="48E57BE2" w14:textId="76702218" w:rsidR="000740C3" w:rsidRPr="000740C3" w:rsidRDefault="0038760F" w:rsidP="0038760F">
      <w:pPr>
        <w:pStyle w:val="ONUMFS"/>
        <w:numPr>
          <w:ilvl w:val="0"/>
          <w:numId w:val="0"/>
        </w:numPr>
      </w:pPr>
      <w:r>
        <w:fldChar w:fldCharType="begin"/>
      </w:r>
      <w:r>
        <w:instrText xml:space="preserve"> AUTONUM  </w:instrText>
      </w:r>
      <w:r>
        <w:fldChar w:fldCharType="end"/>
      </w:r>
      <w:r>
        <w:tab/>
      </w:r>
      <w:r w:rsidR="000740C3" w:rsidRPr="000740C3">
        <w:t>The web stat</w:t>
      </w:r>
      <w:r w:rsidR="00A36324">
        <w:t>istic</w:t>
      </w:r>
      <w:r w:rsidR="000740C3" w:rsidRPr="000740C3">
        <w:t>s do</w:t>
      </w:r>
      <w:r w:rsidR="007369AB">
        <w:t xml:space="preserve"> </w:t>
      </w:r>
      <w:r w:rsidR="000740C3" w:rsidRPr="000740C3">
        <w:t>n</w:t>
      </w:r>
      <w:r w:rsidR="007369AB">
        <w:t>o</w:t>
      </w:r>
      <w:r w:rsidR="000740C3" w:rsidRPr="000740C3">
        <w:t xml:space="preserve">t reveal where page visits came from.  Every time an IPO accesses an ATR page while preparing it for publication, the page view is recorded in WIPO </w:t>
      </w:r>
      <w:r w:rsidR="002D4D8C">
        <w:t xml:space="preserve">internal </w:t>
      </w:r>
      <w:r w:rsidR="000740C3" w:rsidRPr="000740C3">
        <w:t>web stat</w:t>
      </w:r>
      <w:r w:rsidR="00A36324">
        <w:t>istic</w:t>
      </w:r>
      <w:r w:rsidR="000740C3" w:rsidRPr="000740C3">
        <w:t xml:space="preserve">s.  </w:t>
      </w:r>
      <w:r w:rsidR="009A2410">
        <w:t xml:space="preserve">These page views are not by ATR users, but by the IPO preparing the ATR.  </w:t>
      </w:r>
      <w:r w:rsidR="000740C3" w:rsidRPr="000740C3">
        <w:t>This inflate</w:t>
      </w:r>
      <w:r w:rsidR="009A2410">
        <w:t>s</w:t>
      </w:r>
      <w:r w:rsidR="000740C3" w:rsidRPr="000740C3">
        <w:t xml:space="preserve"> the page view count during t</w:t>
      </w:r>
      <w:r w:rsidR="004D4E9B">
        <w:t>he year an ATR is prepared.  It i</w:t>
      </w:r>
      <w:r w:rsidR="000740C3" w:rsidRPr="000740C3">
        <w:t xml:space="preserve">s also common for IPOs to access their previous </w:t>
      </w:r>
      <w:r w:rsidR="009A2410">
        <w:t xml:space="preserve">ATR </w:t>
      </w:r>
      <w:r w:rsidR="000740C3" w:rsidRPr="000740C3">
        <w:t xml:space="preserve">submission when preparing a new ATR, which inflates ATR page views </w:t>
      </w:r>
      <w:r w:rsidR="009A2410">
        <w:t>for the preceding year ATR as well</w:t>
      </w:r>
      <w:r w:rsidR="000740C3" w:rsidRPr="000740C3">
        <w:t xml:space="preserve">.  How much these page views by the providing IPO inflate ATR numbers is unknown, but </w:t>
      </w:r>
      <w:r w:rsidR="008F2865">
        <w:t xml:space="preserve">it </w:t>
      </w:r>
      <w:r w:rsidR="000740C3" w:rsidRPr="000740C3">
        <w:t xml:space="preserve">could be a significant factor.   </w:t>
      </w:r>
    </w:p>
    <w:p w14:paraId="26CE6AFD" w14:textId="3812B01B" w:rsidR="000740C3" w:rsidRPr="000740C3" w:rsidRDefault="004D4E9B" w:rsidP="004D4E9B">
      <w:pPr>
        <w:pStyle w:val="ONUMFS"/>
        <w:numPr>
          <w:ilvl w:val="0"/>
          <w:numId w:val="0"/>
        </w:numPr>
      </w:pPr>
      <w:r>
        <w:fldChar w:fldCharType="begin"/>
      </w:r>
      <w:r>
        <w:instrText xml:space="preserve"> AUTONUM  </w:instrText>
      </w:r>
      <w:r>
        <w:fldChar w:fldCharType="end"/>
      </w:r>
      <w:r>
        <w:tab/>
      </w:r>
      <w:r w:rsidR="000740C3" w:rsidRPr="000740C3">
        <w:t>For instance, 2019 ATRs were submitted in late 2020 and published in 2021.  Despite the pages not being published, WIPO's 2020 web stat</w:t>
      </w:r>
      <w:r w:rsidR="00A36324">
        <w:t>istic</w:t>
      </w:r>
      <w:r w:rsidR="000740C3" w:rsidRPr="000740C3">
        <w:t xml:space="preserve">s show that 2019 ATR pages were viewed 112 times in 2020.  These views could only have come from the IPO submitting the page.  Since most ATR years have between 100 and 200 views in the year of publication, it appears that most of these page views </w:t>
      </w:r>
      <w:r w:rsidR="009A2410">
        <w:t>could be from the providing IP</w:t>
      </w:r>
      <w:r w:rsidR="007369AB">
        <w:t>O</w:t>
      </w:r>
      <w:r w:rsidR="009A2410">
        <w:t xml:space="preserve"> rather than end users</w:t>
      </w:r>
      <w:r>
        <w:t>.  It i</w:t>
      </w:r>
      <w:r w:rsidR="000740C3" w:rsidRPr="000740C3">
        <w:t>s unknown where the page views in the second year after an AT</w:t>
      </w:r>
      <w:r>
        <w:t>R publication come from, but it i</w:t>
      </w:r>
      <w:r w:rsidR="000740C3" w:rsidRPr="000740C3">
        <w:t xml:space="preserve">s possible that many come from the originating IPO as they review their previous submission to prepare their ATR for the current year.  As a result, the number of times ATRs are viewed by actual users is </w:t>
      </w:r>
      <w:r w:rsidR="009A2410">
        <w:t xml:space="preserve">likely </w:t>
      </w:r>
      <w:r w:rsidR="000740C3" w:rsidRPr="000740C3">
        <w:t xml:space="preserve">quite a bit lower than the numbers </w:t>
      </w:r>
      <w:r w:rsidR="009A2410">
        <w:t xml:space="preserve">indicated </w:t>
      </w:r>
      <w:r w:rsidR="000740C3" w:rsidRPr="000740C3">
        <w:t>by WIPO web stat</w:t>
      </w:r>
      <w:r w:rsidR="00A36324">
        <w:t>istic</w:t>
      </w:r>
      <w:r w:rsidR="000740C3" w:rsidRPr="000740C3">
        <w:t>s above.</w:t>
      </w:r>
    </w:p>
    <w:p w14:paraId="57EB363D" w14:textId="77777777" w:rsidR="000740C3" w:rsidRPr="0025392F" w:rsidRDefault="0025392F" w:rsidP="004D4E9B">
      <w:pPr>
        <w:pStyle w:val="Heading2"/>
        <w:spacing w:before="0"/>
      </w:pPr>
      <w:r w:rsidRPr="0025392F">
        <w:t>PROPOSALS</w:t>
      </w:r>
    </w:p>
    <w:p w14:paraId="758CA330" w14:textId="6820D58C" w:rsidR="000740C3" w:rsidRPr="000740C3" w:rsidRDefault="004D4E9B" w:rsidP="004D4E9B">
      <w:pPr>
        <w:pStyle w:val="ONUMFS"/>
        <w:numPr>
          <w:ilvl w:val="0"/>
          <w:numId w:val="0"/>
        </w:numPr>
      </w:pPr>
      <w:r>
        <w:fldChar w:fldCharType="begin"/>
      </w:r>
      <w:r>
        <w:instrText xml:space="preserve"> AUTONUM  </w:instrText>
      </w:r>
      <w:r>
        <w:fldChar w:fldCharType="end"/>
      </w:r>
      <w:r>
        <w:tab/>
      </w:r>
      <w:r w:rsidR="000740C3" w:rsidRPr="000740C3">
        <w:t xml:space="preserve">Based on the above findings – availability of information in IPO annual reports and websites, declining numbers of ATRs provided, small number of </w:t>
      </w:r>
      <w:r w:rsidR="0029516F">
        <w:t xml:space="preserve">visits to </w:t>
      </w:r>
      <w:r w:rsidR="000740C3" w:rsidRPr="000740C3">
        <w:t>ATR</w:t>
      </w:r>
      <w:r w:rsidR="0029516F">
        <w:t>s</w:t>
      </w:r>
      <w:r w:rsidR="000740C3" w:rsidRPr="000740C3">
        <w:t xml:space="preserve"> – the International Bureau proposes the following </w:t>
      </w:r>
      <w:r w:rsidR="0029516F">
        <w:t xml:space="preserve">two options for </w:t>
      </w:r>
      <w:r w:rsidR="000740C3" w:rsidRPr="000740C3">
        <w:t>changes to Annual Technical Reports:</w:t>
      </w:r>
    </w:p>
    <w:p w14:paraId="2F5D7142" w14:textId="7C7A04B1" w:rsidR="000740C3" w:rsidRPr="000740C3" w:rsidRDefault="000740C3" w:rsidP="000740C3">
      <w:pPr>
        <w:pStyle w:val="ONUMFS"/>
        <w:numPr>
          <w:ilvl w:val="0"/>
          <w:numId w:val="7"/>
        </w:numPr>
      </w:pPr>
      <w:r w:rsidRPr="000740C3">
        <w:rPr>
          <w:b/>
        </w:rPr>
        <w:t>Discontinue ATRs</w:t>
      </w:r>
      <w:r w:rsidRPr="000740C3">
        <w:t xml:space="preserve"> – given the </w:t>
      </w:r>
      <w:r w:rsidR="008528AC">
        <w:t xml:space="preserve">apparent </w:t>
      </w:r>
      <w:r w:rsidRPr="000740C3">
        <w:t>lack of interest and lack of use, perhaps ATRs should be discontinued.  They can be phased out over a period of 2 years, allowing time for respondents and users to raise any potential issues.  During the phase out period, published ATRs will remain available.  Given the exceedingly low volum</w:t>
      </w:r>
      <w:r w:rsidR="004D4E9B">
        <w:t>e of collections in 2021 (only six</w:t>
      </w:r>
      <w:r w:rsidRPr="000740C3">
        <w:t xml:space="preserve"> IPOs responded), the International Bureau recommends not collecting any new ATRs from 2022.  After the phase out period, published ATRs will be archived online like other historical information.</w:t>
      </w:r>
    </w:p>
    <w:p w14:paraId="116D3F9C" w14:textId="38CC57C2" w:rsidR="004D4E9B" w:rsidRPr="000740C3" w:rsidRDefault="000740C3" w:rsidP="004D4E9B">
      <w:pPr>
        <w:pStyle w:val="ONUMFS"/>
        <w:numPr>
          <w:ilvl w:val="0"/>
          <w:numId w:val="7"/>
        </w:numPr>
      </w:pPr>
      <w:r w:rsidRPr="000740C3">
        <w:rPr>
          <w:b/>
        </w:rPr>
        <w:t>Simplify ATR collection</w:t>
      </w:r>
      <w:r w:rsidRPr="000740C3">
        <w:t xml:space="preserve"> – if the CWS decides to continue ATR collection, the International Bureau proposes greatly simplifying the process.  Instead of asking IPOs to provide detailed </w:t>
      </w:r>
      <w:r w:rsidR="00AD2D64">
        <w:t xml:space="preserve">text </w:t>
      </w:r>
      <w:r w:rsidRPr="000740C3">
        <w:t>on their activities and systems, they will instead be asked to provide links to their website or annual report where the information</w:t>
      </w:r>
      <w:r w:rsidR="000C0CB5">
        <w:t xml:space="preserve"> on the current ATR questionnaires</w:t>
      </w:r>
      <w:r w:rsidRPr="000740C3">
        <w:t xml:space="preserve"> can be found.  Linked information should preferably be provided in English, Spanish, or French when possible.  Collection will continue to use the ATR wiki</w:t>
      </w:r>
      <w:r w:rsidR="00AD2D64">
        <w:t xml:space="preserve"> and the current ATR form, but with links provided ins</w:t>
      </w:r>
      <w:r w:rsidR="004D4E9B">
        <w:t>t</w:t>
      </w:r>
      <w:r w:rsidR="00AD2D64">
        <w:t>ead of text</w:t>
      </w:r>
      <w:r w:rsidRPr="000740C3">
        <w:t>.  If an Office wishes to have their information hosted by WIPO instead of on their own website, they may provide text in English, Spanish, or French instead of links.</w:t>
      </w:r>
    </w:p>
    <w:p w14:paraId="4C701ACE" w14:textId="77777777" w:rsidR="00D80CC9" w:rsidRPr="003A5F87" w:rsidRDefault="00D80CC9" w:rsidP="00D80CC9">
      <w:pPr>
        <w:pStyle w:val="ONUMFS"/>
        <w:numPr>
          <w:ilvl w:val="0"/>
          <w:numId w:val="0"/>
        </w:numPr>
        <w:spacing w:after="120"/>
        <w:ind w:left="5530"/>
        <w:rPr>
          <w:i/>
        </w:rPr>
      </w:pPr>
      <w:r>
        <w:rPr>
          <w:i/>
          <w:szCs w:val="22"/>
        </w:rPr>
        <w:fldChar w:fldCharType="begin"/>
      </w:r>
      <w:r>
        <w:rPr>
          <w:i/>
          <w:szCs w:val="22"/>
        </w:rPr>
        <w:instrText xml:space="preserve"> AUTONUM  </w:instrText>
      </w:r>
      <w:r>
        <w:rPr>
          <w:i/>
          <w:szCs w:val="22"/>
        </w:rPr>
        <w:fldChar w:fldCharType="end"/>
      </w:r>
      <w:r>
        <w:rPr>
          <w:i/>
          <w:szCs w:val="22"/>
        </w:rPr>
        <w:tab/>
      </w:r>
      <w:r w:rsidRPr="003A5F87">
        <w:rPr>
          <w:i/>
          <w:szCs w:val="22"/>
        </w:rPr>
        <w:t>Th</w:t>
      </w:r>
      <w:r w:rsidRPr="003A5F87">
        <w:rPr>
          <w:i/>
        </w:rPr>
        <w:t xml:space="preserve">e CWS is invited to: </w:t>
      </w:r>
    </w:p>
    <w:p w14:paraId="03C141E8" w14:textId="77777777" w:rsidR="00D80CC9" w:rsidRDefault="00D80CC9" w:rsidP="00D80CC9">
      <w:pPr>
        <w:pStyle w:val="BodyText"/>
        <w:tabs>
          <w:tab w:val="left" w:pos="6160"/>
          <w:tab w:val="left" w:pos="6710"/>
        </w:tabs>
        <w:ind w:left="5530"/>
        <w:rPr>
          <w:i/>
        </w:rPr>
      </w:pPr>
      <w:r>
        <w:rPr>
          <w:i/>
        </w:rPr>
        <w:tab/>
        <w:t>(a)</w:t>
      </w:r>
      <w:r>
        <w:rPr>
          <w:i/>
        </w:rPr>
        <w:tab/>
      </w:r>
      <w:r w:rsidRPr="006A730D">
        <w:rPr>
          <w:i/>
        </w:rPr>
        <w:t xml:space="preserve">note the content of </w:t>
      </w:r>
      <w:r>
        <w:rPr>
          <w:i/>
        </w:rPr>
        <w:t xml:space="preserve">this </w:t>
      </w:r>
      <w:r w:rsidRPr="006A730D">
        <w:rPr>
          <w:i/>
        </w:rPr>
        <w:t>document;</w:t>
      </w:r>
      <w:r>
        <w:rPr>
          <w:i/>
        </w:rPr>
        <w:t xml:space="preserve"> </w:t>
      </w:r>
    </w:p>
    <w:p w14:paraId="280A186E" w14:textId="68AFEE0B" w:rsidR="00D80CC9" w:rsidRDefault="00D80CC9" w:rsidP="00D80CC9">
      <w:pPr>
        <w:pStyle w:val="BodyText"/>
        <w:tabs>
          <w:tab w:val="left" w:pos="6160"/>
          <w:tab w:val="left" w:pos="6710"/>
        </w:tabs>
        <w:ind w:left="5530"/>
        <w:rPr>
          <w:i/>
        </w:rPr>
      </w:pPr>
      <w:r>
        <w:rPr>
          <w:i/>
        </w:rPr>
        <w:tab/>
        <w:t>(b)</w:t>
      </w:r>
      <w:r>
        <w:rPr>
          <w:i/>
        </w:rPr>
        <w:tab/>
      </w:r>
      <w:r w:rsidR="008528AC">
        <w:rPr>
          <w:i/>
        </w:rPr>
        <w:t xml:space="preserve">consider and decide whether to adopt proposal 1 or proposal 2 in paragraph </w:t>
      </w:r>
      <w:r w:rsidR="00E03DB8">
        <w:rPr>
          <w:i/>
        </w:rPr>
        <w:t>24 above</w:t>
      </w:r>
      <w:r>
        <w:rPr>
          <w:i/>
        </w:rPr>
        <w:t>; and</w:t>
      </w:r>
    </w:p>
    <w:p w14:paraId="265801D0" w14:textId="796EF595" w:rsidR="00D80CC9" w:rsidRDefault="00D80CC9" w:rsidP="00D80CC9">
      <w:pPr>
        <w:pStyle w:val="BodyText"/>
        <w:tabs>
          <w:tab w:val="left" w:pos="6160"/>
          <w:tab w:val="left" w:pos="6710"/>
        </w:tabs>
        <w:ind w:left="5530"/>
        <w:rPr>
          <w:i/>
        </w:rPr>
      </w:pPr>
      <w:r>
        <w:rPr>
          <w:i/>
        </w:rPr>
        <w:tab/>
        <w:t>(c)</w:t>
      </w:r>
      <w:r>
        <w:rPr>
          <w:i/>
        </w:rPr>
        <w:tab/>
        <w:t xml:space="preserve"> </w:t>
      </w:r>
      <w:r w:rsidR="008528AC">
        <w:rPr>
          <w:i/>
        </w:rPr>
        <w:t xml:space="preserve">if it is decided to discontinue ATRs, </w:t>
      </w:r>
      <w:r w:rsidR="00E03DB8">
        <w:rPr>
          <w:i/>
        </w:rPr>
        <w:t xml:space="preserve">decide </w:t>
      </w:r>
      <w:r w:rsidR="008528AC">
        <w:rPr>
          <w:i/>
        </w:rPr>
        <w:t xml:space="preserve">whether to </w:t>
      </w:r>
      <w:r w:rsidR="00F00476">
        <w:rPr>
          <w:i/>
        </w:rPr>
        <w:t xml:space="preserve">consider </w:t>
      </w:r>
      <w:r w:rsidR="008528AC">
        <w:rPr>
          <w:i/>
        </w:rPr>
        <w:t>Task No. 24 as completed</w:t>
      </w:r>
      <w:r w:rsidR="00F00476">
        <w:rPr>
          <w:i/>
        </w:rPr>
        <w:t xml:space="preserve"> and remove it from the CWS work program</w:t>
      </w:r>
      <w:r>
        <w:rPr>
          <w:i/>
        </w:rPr>
        <w:t>.</w:t>
      </w:r>
    </w:p>
    <w:p w14:paraId="194A57D7" w14:textId="77777777" w:rsidR="00D80CC9" w:rsidRPr="006A730D" w:rsidRDefault="00D80CC9" w:rsidP="00D80CC9">
      <w:pPr>
        <w:pStyle w:val="BodyText"/>
        <w:tabs>
          <w:tab w:val="left" w:pos="6160"/>
          <w:tab w:val="left" w:pos="6710"/>
        </w:tabs>
        <w:ind w:left="5530"/>
        <w:rPr>
          <w:i/>
        </w:rPr>
      </w:pPr>
    </w:p>
    <w:p w14:paraId="54188D53" w14:textId="77777777" w:rsidR="00D80CC9" w:rsidRPr="00084955" w:rsidRDefault="00D80CC9" w:rsidP="00D80CC9">
      <w:pPr>
        <w:rPr>
          <w:szCs w:val="22"/>
        </w:rPr>
      </w:pPr>
    </w:p>
    <w:p w14:paraId="4CF28829" w14:textId="77777777" w:rsidR="00D80CC9" w:rsidRPr="00084955" w:rsidRDefault="00D80CC9" w:rsidP="00D80CC9">
      <w:pPr>
        <w:pStyle w:val="Endofdocument"/>
        <w:ind w:left="5530"/>
      </w:pPr>
      <w:r w:rsidRPr="00084955">
        <w:rPr>
          <w:rFonts w:cs="Arial"/>
          <w:sz w:val="22"/>
          <w:szCs w:val="22"/>
        </w:rPr>
        <w:t>[</w:t>
      </w:r>
      <w:r w:rsidR="00F0219F">
        <w:rPr>
          <w:rFonts w:cs="Arial"/>
          <w:sz w:val="22"/>
          <w:szCs w:val="22"/>
        </w:rPr>
        <w:t>End of Document</w:t>
      </w:r>
      <w:r w:rsidRPr="00084955">
        <w:rPr>
          <w:rFonts w:cs="Arial"/>
          <w:sz w:val="22"/>
          <w:szCs w:val="22"/>
        </w:rPr>
        <w:t>]</w:t>
      </w:r>
    </w:p>
    <w:p w14:paraId="0F5E7306" w14:textId="77777777" w:rsidR="002326AB" w:rsidRDefault="002326AB" w:rsidP="002326AB">
      <w:pPr>
        <w:spacing w:after="220"/>
      </w:pPr>
    </w:p>
    <w:sectPr w:rsidR="002326AB" w:rsidSect="00A624FE">
      <w:headerReference w:type="default" r:id="rId16"/>
      <w:footerReference w:type="first" r:id="rId17"/>
      <w:endnotePr>
        <w:numFmt w:val="decimal"/>
      </w:endnotePr>
      <w:pgSz w:w="11907" w:h="16840" w:code="9"/>
      <w:pgMar w:top="562" w:right="1138" w:bottom="129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8A8DD" w14:textId="77777777" w:rsidR="00797E19" w:rsidRDefault="00797E19">
      <w:r>
        <w:separator/>
      </w:r>
    </w:p>
  </w:endnote>
  <w:endnote w:type="continuationSeparator" w:id="0">
    <w:p w14:paraId="3493BD42" w14:textId="77777777" w:rsidR="00797E19" w:rsidRDefault="00797E19" w:rsidP="003B38C1">
      <w:r>
        <w:separator/>
      </w:r>
    </w:p>
    <w:p w14:paraId="22D05B21" w14:textId="77777777" w:rsidR="00797E19" w:rsidRPr="003B38C1" w:rsidRDefault="00797E19" w:rsidP="003B38C1">
      <w:pPr>
        <w:spacing w:after="60"/>
        <w:rPr>
          <w:sz w:val="17"/>
        </w:rPr>
      </w:pPr>
      <w:r>
        <w:rPr>
          <w:sz w:val="17"/>
        </w:rPr>
        <w:t>[Endnote continued from previous page]</w:t>
      </w:r>
    </w:p>
  </w:endnote>
  <w:endnote w:type="continuationNotice" w:id="1">
    <w:p w14:paraId="1F640D08" w14:textId="77777777" w:rsidR="00797E19" w:rsidRPr="003B38C1" w:rsidRDefault="00797E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111CE" w14:textId="77777777" w:rsidR="0098135E" w:rsidRDefault="0098135E" w:rsidP="0098135E">
    <w:pPr>
      <w:pStyle w:val="Footer"/>
      <w:tabs>
        <w:tab w:val="clear" w:pos="4320"/>
        <w:tab w:val="clear" w:pos="8640"/>
        <w:tab w:val="left" w:pos="519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D43D6" w14:textId="77777777" w:rsidR="00797E19" w:rsidRDefault="00797E19">
      <w:r>
        <w:separator/>
      </w:r>
    </w:p>
  </w:footnote>
  <w:footnote w:type="continuationSeparator" w:id="0">
    <w:p w14:paraId="65E7F773" w14:textId="77777777" w:rsidR="00797E19" w:rsidRDefault="00797E19" w:rsidP="008B60B2">
      <w:r>
        <w:separator/>
      </w:r>
    </w:p>
    <w:p w14:paraId="0F0CE2C1" w14:textId="77777777" w:rsidR="00797E19" w:rsidRPr="00ED77FB" w:rsidRDefault="00797E19" w:rsidP="008B60B2">
      <w:pPr>
        <w:spacing w:after="60"/>
        <w:rPr>
          <w:sz w:val="17"/>
          <w:szCs w:val="17"/>
        </w:rPr>
      </w:pPr>
      <w:r w:rsidRPr="00ED77FB">
        <w:rPr>
          <w:sz w:val="17"/>
          <w:szCs w:val="17"/>
        </w:rPr>
        <w:t>[Footnote continued from previous page]</w:t>
      </w:r>
    </w:p>
  </w:footnote>
  <w:footnote w:type="continuationNotice" w:id="1">
    <w:p w14:paraId="175B1879" w14:textId="77777777" w:rsidR="00797E19" w:rsidRPr="00ED77FB" w:rsidRDefault="00797E1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41650" w14:textId="77777777" w:rsidR="00D07C78" w:rsidRPr="002326AB" w:rsidRDefault="00D80CC9" w:rsidP="00477D6B">
    <w:pPr>
      <w:jc w:val="right"/>
      <w:rPr>
        <w:caps/>
      </w:rPr>
    </w:pPr>
    <w:bookmarkStart w:id="6" w:name="Code2"/>
    <w:bookmarkEnd w:id="6"/>
    <w:r>
      <w:rPr>
        <w:caps/>
      </w:rPr>
      <w:t>C</w:t>
    </w:r>
    <w:r w:rsidR="0098135E">
      <w:rPr>
        <w:caps/>
      </w:rPr>
      <w:t>WS/9/18</w:t>
    </w:r>
  </w:p>
  <w:p w14:paraId="3A08A446" w14:textId="69FB9FA2" w:rsidR="00D07C78" w:rsidRDefault="00D07C78" w:rsidP="00477D6B">
    <w:pPr>
      <w:jc w:val="right"/>
    </w:pPr>
    <w:r>
      <w:t xml:space="preserve">page </w:t>
    </w:r>
    <w:r>
      <w:fldChar w:fldCharType="begin"/>
    </w:r>
    <w:r>
      <w:instrText xml:space="preserve"> PAGE  \* MERGEFORMAT </w:instrText>
    </w:r>
    <w:r>
      <w:fldChar w:fldCharType="separate"/>
    </w:r>
    <w:r w:rsidR="00A36324">
      <w:rPr>
        <w:noProof/>
      </w:rPr>
      <w:t>6</w:t>
    </w:r>
    <w:r>
      <w:fldChar w:fldCharType="end"/>
    </w:r>
  </w:p>
  <w:p w14:paraId="7892E785" w14:textId="77777777" w:rsidR="00D07C78" w:rsidRDefault="00D07C78" w:rsidP="00477D6B">
    <w:pPr>
      <w:jc w:val="right"/>
    </w:pPr>
  </w:p>
  <w:p w14:paraId="36C8CE3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D868A7"/>
    <w:multiLevelType w:val="hybridMultilevel"/>
    <w:tmpl w:val="D0C6D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E45D5"/>
    <w:multiLevelType w:val="hybridMultilevel"/>
    <w:tmpl w:val="8ECE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num>
  <w:num w:numId="9">
    <w:abstractNumId w:val="3"/>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C9"/>
    <w:rsid w:val="00043CAA"/>
    <w:rsid w:val="00055DDC"/>
    <w:rsid w:val="00056816"/>
    <w:rsid w:val="00061A58"/>
    <w:rsid w:val="000740C3"/>
    <w:rsid w:val="00075432"/>
    <w:rsid w:val="000968ED"/>
    <w:rsid w:val="000A3D97"/>
    <w:rsid w:val="000C0CB5"/>
    <w:rsid w:val="000D2575"/>
    <w:rsid w:val="000E4BA5"/>
    <w:rsid w:val="000F5E56"/>
    <w:rsid w:val="001362EE"/>
    <w:rsid w:val="00146234"/>
    <w:rsid w:val="001647D5"/>
    <w:rsid w:val="001832A6"/>
    <w:rsid w:val="001A21C1"/>
    <w:rsid w:val="001D4107"/>
    <w:rsid w:val="001E0F72"/>
    <w:rsid w:val="00203D24"/>
    <w:rsid w:val="0021217E"/>
    <w:rsid w:val="002326AB"/>
    <w:rsid w:val="00243430"/>
    <w:rsid w:val="00252CC4"/>
    <w:rsid w:val="0025392F"/>
    <w:rsid w:val="002634C4"/>
    <w:rsid w:val="002928D3"/>
    <w:rsid w:val="0029516F"/>
    <w:rsid w:val="002D4D8C"/>
    <w:rsid w:val="002E160B"/>
    <w:rsid w:val="002E7586"/>
    <w:rsid w:val="002F1FE6"/>
    <w:rsid w:val="002F4E68"/>
    <w:rsid w:val="00312F7F"/>
    <w:rsid w:val="00361450"/>
    <w:rsid w:val="00363262"/>
    <w:rsid w:val="003673CF"/>
    <w:rsid w:val="00367A26"/>
    <w:rsid w:val="003845C1"/>
    <w:rsid w:val="0038760F"/>
    <w:rsid w:val="003A6F89"/>
    <w:rsid w:val="003B38C1"/>
    <w:rsid w:val="003C04F9"/>
    <w:rsid w:val="003C34E9"/>
    <w:rsid w:val="003F787D"/>
    <w:rsid w:val="00423E3E"/>
    <w:rsid w:val="00427AF4"/>
    <w:rsid w:val="00433C70"/>
    <w:rsid w:val="004647DA"/>
    <w:rsid w:val="00474062"/>
    <w:rsid w:val="00477D6B"/>
    <w:rsid w:val="004B7B84"/>
    <w:rsid w:val="004D4E9B"/>
    <w:rsid w:val="004E109D"/>
    <w:rsid w:val="005019FF"/>
    <w:rsid w:val="0051292C"/>
    <w:rsid w:val="0053057A"/>
    <w:rsid w:val="00556076"/>
    <w:rsid w:val="00560A29"/>
    <w:rsid w:val="005C6649"/>
    <w:rsid w:val="005C7F35"/>
    <w:rsid w:val="005D2782"/>
    <w:rsid w:val="00605827"/>
    <w:rsid w:val="00646050"/>
    <w:rsid w:val="006713CA"/>
    <w:rsid w:val="006766FA"/>
    <w:rsid w:val="00676C5C"/>
    <w:rsid w:val="006B3232"/>
    <w:rsid w:val="006D6678"/>
    <w:rsid w:val="00720EFD"/>
    <w:rsid w:val="00731DD4"/>
    <w:rsid w:val="007369AB"/>
    <w:rsid w:val="00747AE9"/>
    <w:rsid w:val="007751D8"/>
    <w:rsid w:val="007854AF"/>
    <w:rsid w:val="00793A7C"/>
    <w:rsid w:val="00797E19"/>
    <w:rsid w:val="007A398A"/>
    <w:rsid w:val="007A702A"/>
    <w:rsid w:val="007D1613"/>
    <w:rsid w:val="007E4C0E"/>
    <w:rsid w:val="00811B81"/>
    <w:rsid w:val="008319D4"/>
    <w:rsid w:val="00846CF6"/>
    <w:rsid w:val="008528AC"/>
    <w:rsid w:val="0085337D"/>
    <w:rsid w:val="008A134B"/>
    <w:rsid w:val="008B2CC1"/>
    <w:rsid w:val="008B4438"/>
    <w:rsid w:val="008B60B2"/>
    <w:rsid w:val="008C4A83"/>
    <w:rsid w:val="008D2E97"/>
    <w:rsid w:val="008F2865"/>
    <w:rsid w:val="0090731E"/>
    <w:rsid w:val="00916EE2"/>
    <w:rsid w:val="00950B32"/>
    <w:rsid w:val="00961C82"/>
    <w:rsid w:val="00966A22"/>
    <w:rsid w:val="0096722F"/>
    <w:rsid w:val="00970DF7"/>
    <w:rsid w:val="00980843"/>
    <w:rsid w:val="0098135E"/>
    <w:rsid w:val="00991CAF"/>
    <w:rsid w:val="009A2410"/>
    <w:rsid w:val="009E2791"/>
    <w:rsid w:val="009E3F6F"/>
    <w:rsid w:val="009F499F"/>
    <w:rsid w:val="00A06014"/>
    <w:rsid w:val="00A302E0"/>
    <w:rsid w:val="00A36324"/>
    <w:rsid w:val="00A37342"/>
    <w:rsid w:val="00A42DAF"/>
    <w:rsid w:val="00A45BD8"/>
    <w:rsid w:val="00A50682"/>
    <w:rsid w:val="00A624FE"/>
    <w:rsid w:val="00A80953"/>
    <w:rsid w:val="00A869B7"/>
    <w:rsid w:val="00A90F0A"/>
    <w:rsid w:val="00AA0911"/>
    <w:rsid w:val="00AC205C"/>
    <w:rsid w:val="00AC54AA"/>
    <w:rsid w:val="00AD2D64"/>
    <w:rsid w:val="00AF0A6B"/>
    <w:rsid w:val="00AF0B39"/>
    <w:rsid w:val="00AF53AF"/>
    <w:rsid w:val="00B05A69"/>
    <w:rsid w:val="00B335AE"/>
    <w:rsid w:val="00B355B6"/>
    <w:rsid w:val="00B46EFF"/>
    <w:rsid w:val="00B75281"/>
    <w:rsid w:val="00B92426"/>
    <w:rsid w:val="00B92F1F"/>
    <w:rsid w:val="00B9734B"/>
    <w:rsid w:val="00BA30E2"/>
    <w:rsid w:val="00BB1012"/>
    <w:rsid w:val="00C11BFE"/>
    <w:rsid w:val="00C25E6F"/>
    <w:rsid w:val="00C5068F"/>
    <w:rsid w:val="00C86D74"/>
    <w:rsid w:val="00CD04F1"/>
    <w:rsid w:val="00CE14E1"/>
    <w:rsid w:val="00CF681A"/>
    <w:rsid w:val="00D07C78"/>
    <w:rsid w:val="00D355DF"/>
    <w:rsid w:val="00D45252"/>
    <w:rsid w:val="00D62FEF"/>
    <w:rsid w:val="00D71B4D"/>
    <w:rsid w:val="00D80CC9"/>
    <w:rsid w:val="00D93D55"/>
    <w:rsid w:val="00D94CF6"/>
    <w:rsid w:val="00DA31C6"/>
    <w:rsid w:val="00DC627A"/>
    <w:rsid w:val="00DD7B7F"/>
    <w:rsid w:val="00DE5590"/>
    <w:rsid w:val="00DF7991"/>
    <w:rsid w:val="00E03DB8"/>
    <w:rsid w:val="00E15015"/>
    <w:rsid w:val="00E23D6E"/>
    <w:rsid w:val="00E335FE"/>
    <w:rsid w:val="00E45755"/>
    <w:rsid w:val="00E55A68"/>
    <w:rsid w:val="00E72584"/>
    <w:rsid w:val="00EA7D6E"/>
    <w:rsid w:val="00EB2F76"/>
    <w:rsid w:val="00EC221D"/>
    <w:rsid w:val="00EC4E49"/>
    <w:rsid w:val="00ED2774"/>
    <w:rsid w:val="00ED77FB"/>
    <w:rsid w:val="00ED7B8F"/>
    <w:rsid w:val="00EE45FA"/>
    <w:rsid w:val="00F00476"/>
    <w:rsid w:val="00F0219F"/>
    <w:rsid w:val="00F043DE"/>
    <w:rsid w:val="00F064E2"/>
    <w:rsid w:val="00F55361"/>
    <w:rsid w:val="00F66152"/>
    <w:rsid w:val="00F8715A"/>
    <w:rsid w:val="00F9049A"/>
    <w:rsid w:val="00F9165B"/>
    <w:rsid w:val="00F93E92"/>
    <w:rsid w:val="00FC482F"/>
    <w:rsid w:val="00FE0673"/>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D1A9B"/>
  <w15:docId w15:val="{0232E282-DD7E-48B6-A12B-E3FC6392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D80CC9"/>
    <w:rPr>
      <w:rFonts w:ascii="Arial" w:eastAsia="SimSun" w:hAnsi="Arial" w:cs="Arial"/>
      <w:bCs/>
      <w:iCs/>
      <w:caps/>
      <w:sz w:val="22"/>
      <w:szCs w:val="28"/>
      <w:lang w:val="en-US" w:eastAsia="zh-CN"/>
    </w:rPr>
  </w:style>
  <w:style w:type="paragraph" w:customStyle="1" w:styleId="Endofdocument">
    <w:name w:val="End of document"/>
    <w:basedOn w:val="Normal"/>
    <w:rsid w:val="00D80CC9"/>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D80CC9"/>
    <w:rPr>
      <w:rFonts w:ascii="Arial" w:eastAsia="SimSun" w:hAnsi="Arial" w:cs="Arial"/>
      <w:sz w:val="22"/>
      <w:lang w:val="en-US" w:eastAsia="zh-CN"/>
    </w:rPr>
  </w:style>
  <w:style w:type="character" w:styleId="Hyperlink">
    <w:name w:val="Hyperlink"/>
    <w:basedOn w:val="DefaultParagraphFont"/>
    <w:unhideWhenUsed/>
    <w:rsid w:val="000740C3"/>
    <w:rPr>
      <w:color w:val="0000FF" w:themeColor="hyperlink"/>
      <w:u w:val="single"/>
    </w:rPr>
  </w:style>
  <w:style w:type="character" w:styleId="CommentReference">
    <w:name w:val="annotation reference"/>
    <w:basedOn w:val="DefaultParagraphFont"/>
    <w:semiHidden/>
    <w:unhideWhenUsed/>
    <w:rsid w:val="00B335AE"/>
    <w:rPr>
      <w:sz w:val="16"/>
      <w:szCs w:val="16"/>
    </w:rPr>
  </w:style>
  <w:style w:type="paragraph" w:styleId="CommentSubject">
    <w:name w:val="annotation subject"/>
    <w:basedOn w:val="CommentText"/>
    <w:next w:val="CommentText"/>
    <w:link w:val="CommentSubjectChar"/>
    <w:semiHidden/>
    <w:unhideWhenUsed/>
    <w:rsid w:val="00B335AE"/>
    <w:rPr>
      <w:b/>
      <w:bCs/>
      <w:sz w:val="20"/>
    </w:rPr>
  </w:style>
  <w:style w:type="character" w:customStyle="1" w:styleId="CommentTextChar">
    <w:name w:val="Comment Text Char"/>
    <w:basedOn w:val="DefaultParagraphFont"/>
    <w:link w:val="CommentText"/>
    <w:semiHidden/>
    <w:rsid w:val="00B335A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335AE"/>
    <w:rPr>
      <w:rFonts w:ascii="Arial" w:eastAsia="SimSun" w:hAnsi="Arial" w:cs="Arial"/>
      <w:b/>
      <w:bCs/>
      <w:sz w:val="18"/>
      <w:lang w:val="en-US" w:eastAsia="zh-CN"/>
    </w:rPr>
  </w:style>
  <w:style w:type="paragraph" w:styleId="BalloonText">
    <w:name w:val="Balloon Text"/>
    <w:basedOn w:val="Normal"/>
    <w:link w:val="BalloonTextChar"/>
    <w:semiHidden/>
    <w:unhideWhenUsed/>
    <w:rsid w:val="00B335AE"/>
    <w:rPr>
      <w:rFonts w:ascii="Segoe UI" w:hAnsi="Segoe UI" w:cs="Segoe UI"/>
      <w:sz w:val="18"/>
      <w:szCs w:val="18"/>
    </w:rPr>
  </w:style>
  <w:style w:type="character" w:customStyle="1" w:styleId="BalloonTextChar">
    <w:name w:val="Balloon Text Char"/>
    <w:basedOn w:val="DefaultParagraphFont"/>
    <w:link w:val="BalloonText"/>
    <w:semiHidden/>
    <w:rsid w:val="00B335AE"/>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2D4D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28757">
      <w:bodyDiv w:val="1"/>
      <w:marLeft w:val="0"/>
      <w:marRight w:val="0"/>
      <w:marTop w:val="0"/>
      <w:marBottom w:val="0"/>
      <w:divBdr>
        <w:top w:val="none" w:sz="0" w:space="0" w:color="auto"/>
        <w:left w:val="none" w:sz="0" w:space="0" w:color="auto"/>
        <w:bottom w:val="none" w:sz="0" w:space="0" w:color="auto"/>
        <w:right w:val="none" w:sz="0" w:space="0" w:color="auto"/>
      </w:divBdr>
    </w:div>
    <w:div w:id="1267539194">
      <w:bodyDiv w:val="1"/>
      <w:marLeft w:val="0"/>
      <w:marRight w:val="0"/>
      <w:marTop w:val="0"/>
      <w:marBottom w:val="0"/>
      <w:divBdr>
        <w:top w:val="none" w:sz="0" w:space="0" w:color="auto"/>
        <w:left w:val="none" w:sz="0" w:space="0" w:color="auto"/>
        <w:bottom w:val="none" w:sz="0" w:space="0" w:color="auto"/>
        <w:right w:val="none" w:sz="0" w:space="0" w:color="auto"/>
      </w:divBdr>
    </w:div>
    <w:div w:id="173607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standards/en/pdf/archives/03-09-02arc200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wipo.int/export/sites/www/cws/es/background/circulars/circular/25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wipogvafs01\usr2\Home\Elliott\Web%20stats\STS%20web%20stats%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baseline="0"/>
              <a:t>ATRs by Year</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'ATR counts'!$B$3</c:f>
              <c:strCache>
                <c:ptCount val="1"/>
                <c:pt idx="0">
                  <c:v>IPOs Responding</c:v>
                </c:pt>
              </c:strCache>
            </c:strRef>
          </c:tx>
          <c:spPr>
            <a:ln w="25400" cap="rnd">
              <a:solidFill>
                <a:schemeClr val="accent1"/>
              </a:solidFill>
              <a:prstDash val="sysDot"/>
              <a:round/>
            </a:ln>
            <a:effectLst/>
          </c:spPr>
          <c:marker>
            <c:symbol val="diamond"/>
            <c:size val="5"/>
            <c:spPr>
              <a:solidFill>
                <a:schemeClr val="accent1"/>
              </a:solidFill>
              <a:ln w="9525">
                <a:solidFill>
                  <a:schemeClr val="accent1"/>
                </a:solidFill>
              </a:ln>
              <a:effectLst/>
            </c:spPr>
          </c:marker>
          <c:xVal>
            <c:numRef>
              <c:f>'ATR counts'!$A$4:$A$26</c:f>
              <c:numCache>
                <c:formatCode>General</c:formatCode>
                <c:ptCount val="2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numCache>
            </c:numRef>
          </c:xVal>
          <c:yVal>
            <c:numRef>
              <c:f>'ATR counts'!$B$4:$B$26</c:f>
              <c:numCache>
                <c:formatCode>General</c:formatCode>
                <c:ptCount val="23"/>
                <c:pt idx="0">
                  <c:v>56</c:v>
                </c:pt>
                <c:pt idx="1">
                  <c:v>53</c:v>
                </c:pt>
                <c:pt idx="2">
                  <c:v>53</c:v>
                </c:pt>
                <c:pt idx="3">
                  <c:v>51</c:v>
                </c:pt>
                <c:pt idx="4">
                  <c:v>41</c:v>
                </c:pt>
                <c:pt idx="5">
                  <c:v>44</c:v>
                </c:pt>
                <c:pt idx="6">
                  <c:v>46</c:v>
                </c:pt>
                <c:pt idx="7">
                  <c:v>40</c:v>
                </c:pt>
                <c:pt idx="8">
                  <c:v>38</c:v>
                </c:pt>
                <c:pt idx="9">
                  <c:v>40</c:v>
                </c:pt>
                <c:pt idx="10">
                  <c:v>31</c:v>
                </c:pt>
                <c:pt idx="11">
                  <c:v>36</c:v>
                </c:pt>
                <c:pt idx="12">
                  <c:v>28</c:v>
                </c:pt>
                <c:pt idx="13">
                  <c:v>31</c:v>
                </c:pt>
                <c:pt idx="14">
                  <c:v>30</c:v>
                </c:pt>
                <c:pt idx="15">
                  <c:v>28</c:v>
                </c:pt>
                <c:pt idx="16">
                  <c:v>23</c:v>
                </c:pt>
                <c:pt idx="17">
                  <c:v>23</c:v>
                </c:pt>
                <c:pt idx="18">
                  <c:v>20</c:v>
                </c:pt>
                <c:pt idx="19">
                  <c:v>12</c:v>
                </c:pt>
                <c:pt idx="20">
                  <c:v>11</c:v>
                </c:pt>
                <c:pt idx="21">
                  <c:v>18</c:v>
                </c:pt>
                <c:pt idx="22">
                  <c:v>15</c:v>
                </c:pt>
              </c:numCache>
            </c:numRef>
          </c:yVal>
          <c:smooth val="0"/>
          <c:extLst>
            <c:ext xmlns:c16="http://schemas.microsoft.com/office/drawing/2014/chart" uri="{C3380CC4-5D6E-409C-BE32-E72D297353CC}">
              <c16:uniqueId val="{00000000-6F37-4B66-BFEA-1438B0CD2B32}"/>
            </c:ext>
          </c:extLst>
        </c:ser>
        <c:dLbls>
          <c:showLegendKey val="0"/>
          <c:showVal val="0"/>
          <c:showCatName val="0"/>
          <c:showSerName val="0"/>
          <c:showPercent val="0"/>
          <c:showBubbleSize val="0"/>
        </c:dLbls>
        <c:axId val="1202122767"/>
        <c:axId val="1202116943"/>
      </c:scatterChart>
      <c:valAx>
        <c:axId val="1202122767"/>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ATR Year</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202116943"/>
        <c:crosses val="autoZero"/>
        <c:crossBetween val="midCat"/>
      </c:valAx>
      <c:valAx>
        <c:axId val="1202116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Number of IPOs Responding</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20212276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dash"/>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2019</a:t>
            </a:r>
            <a:r>
              <a:rPr lang="en-US" baseline="0"/>
              <a:t> web statistics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'2019'!$I$1:$M$1</c:f>
              <c:numCache>
                <c:formatCode>General</c:formatCode>
                <c:ptCount val="5"/>
                <c:pt idx="0">
                  <c:v>2018</c:v>
                </c:pt>
                <c:pt idx="1">
                  <c:v>2017</c:v>
                </c:pt>
                <c:pt idx="2">
                  <c:v>2016</c:v>
                </c:pt>
                <c:pt idx="3">
                  <c:v>2015</c:v>
                </c:pt>
                <c:pt idx="4">
                  <c:v>2014</c:v>
                </c:pt>
              </c:numCache>
            </c:numRef>
          </c:cat>
          <c:val>
            <c:numRef>
              <c:f>'2019'!$I$2:$M$2</c:f>
              <c:numCache>
                <c:formatCode>General</c:formatCode>
                <c:ptCount val="5"/>
                <c:pt idx="0">
                  <c:v>105</c:v>
                </c:pt>
                <c:pt idx="1">
                  <c:v>176</c:v>
                </c:pt>
                <c:pt idx="2">
                  <c:v>48</c:v>
                </c:pt>
                <c:pt idx="3">
                  <c:v>25</c:v>
                </c:pt>
                <c:pt idx="4">
                  <c:v>9</c:v>
                </c:pt>
              </c:numCache>
            </c:numRef>
          </c:val>
          <c:extLst>
            <c:ext xmlns:c16="http://schemas.microsoft.com/office/drawing/2014/chart" uri="{C3380CC4-5D6E-409C-BE32-E72D297353CC}">
              <c16:uniqueId val="{00000000-F2BA-482B-972E-159F2C25F927}"/>
            </c:ext>
          </c:extLst>
        </c:ser>
        <c:dLbls>
          <c:showLegendKey val="0"/>
          <c:showVal val="0"/>
          <c:showCatName val="0"/>
          <c:showSerName val="0"/>
          <c:showPercent val="0"/>
          <c:showBubbleSize val="0"/>
        </c:dLbls>
        <c:gapWidth val="219"/>
        <c:overlap val="-27"/>
        <c:axId val="1220441056"/>
        <c:axId val="1220445632"/>
      </c:barChart>
      <c:catAx>
        <c:axId val="1220441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ATR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220445632"/>
        <c:crosses val="autoZero"/>
        <c:auto val="1"/>
        <c:lblAlgn val="ctr"/>
        <c:lblOffset val="100"/>
        <c:noMultiLvlLbl val="0"/>
      </c:catAx>
      <c:valAx>
        <c:axId val="122044563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Page Views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22044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Page</a:t>
            </a:r>
            <a:r>
              <a:rPr lang="en-US" baseline="0"/>
              <a:t> views in first two years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'Top line'!$L$3</c:f>
              <c:strCache>
                <c:ptCount val="1"/>
                <c:pt idx="0">
                  <c:v>first year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'Top line'!$N$2:$P$2</c:f>
              <c:strCache>
                <c:ptCount val="3"/>
                <c:pt idx="0">
                  <c:v>2018 ATRs</c:v>
                </c:pt>
                <c:pt idx="1">
                  <c:v>2017 ATRs</c:v>
                </c:pt>
                <c:pt idx="2">
                  <c:v>2016 ATRs</c:v>
                </c:pt>
              </c:strCache>
            </c:strRef>
          </c:cat>
          <c:val>
            <c:numRef>
              <c:f>'Top line'!$N$3:$P$3</c:f>
              <c:numCache>
                <c:formatCode>General</c:formatCode>
                <c:ptCount val="3"/>
                <c:pt idx="0">
                  <c:v>105</c:v>
                </c:pt>
                <c:pt idx="1">
                  <c:v>185</c:v>
                </c:pt>
                <c:pt idx="2">
                  <c:v>249</c:v>
                </c:pt>
              </c:numCache>
            </c:numRef>
          </c:val>
          <c:extLst>
            <c:ext xmlns:c16="http://schemas.microsoft.com/office/drawing/2014/chart" uri="{C3380CC4-5D6E-409C-BE32-E72D297353CC}">
              <c16:uniqueId val="{00000000-4AD9-4A70-B846-FCB9F650705D}"/>
            </c:ext>
          </c:extLst>
        </c:ser>
        <c:ser>
          <c:idx val="1"/>
          <c:order val="1"/>
          <c:tx>
            <c:strRef>
              <c:f>'Top line'!$L$4</c:f>
              <c:strCache>
                <c:ptCount val="1"/>
                <c:pt idx="0">
                  <c:v>second year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'Top line'!$N$2:$P$2</c:f>
              <c:strCache>
                <c:ptCount val="3"/>
                <c:pt idx="0">
                  <c:v>2018 ATRs</c:v>
                </c:pt>
                <c:pt idx="1">
                  <c:v>2017 ATRs</c:v>
                </c:pt>
                <c:pt idx="2">
                  <c:v>2016 ATRs</c:v>
                </c:pt>
              </c:strCache>
            </c:strRef>
          </c:cat>
          <c:val>
            <c:numRef>
              <c:f>'Top line'!$N$4:$P$4</c:f>
              <c:numCache>
                <c:formatCode>General</c:formatCode>
                <c:ptCount val="3"/>
                <c:pt idx="0">
                  <c:v>265</c:v>
                </c:pt>
                <c:pt idx="1">
                  <c:v>176</c:v>
                </c:pt>
                <c:pt idx="2">
                  <c:v>195</c:v>
                </c:pt>
              </c:numCache>
            </c:numRef>
          </c:val>
          <c:extLst>
            <c:ext xmlns:c16="http://schemas.microsoft.com/office/drawing/2014/chart" uri="{C3380CC4-5D6E-409C-BE32-E72D297353CC}">
              <c16:uniqueId val="{00000001-4AD9-4A70-B846-FCB9F650705D}"/>
            </c:ext>
          </c:extLst>
        </c:ser>
        <c:dLbls>
          <c:showLegendKey val="0"/>
          <c:showVal val="0"/>
          <c:showCatName val="0"/>
          <c:showSerName val="0"/>
          <c:showPercent val="0"/>
          <c:showBubbleSize val="0"/>
        </c:dLbls>
        <c:gapWidth val="219"/>
        <c:overlap val="-27"/>
        <c:axId val="1839688975"/>
        <c:axId val="1839690223"/>
      </c:barChart>
      <c:catAx>
        <c:axId val="1839688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839690223"/>
        <c:crosses val="autoZero"/>
        <c:auto val="1"/>
        <c:lblAlgn val="ctr"/>
        <c:lblOffset val="100"/>
        <c:noMultiLvlLbl val="0"/>
      </c:catAx>
      <c:valAx>
        <c:axId val="1839690223"/>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839688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Page Visit Totals 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'Top line'!$G$3:$G$9</c:f>
              <c:strCache>
                <c:ptCount val="7"/>
                <c:pt idx="0">
                  <c:v>ST 3</c:v>
                </c:pt>
                <c:pt idx="1">
                  <c:v>Standards landing page</c:v>
                </c:pt>
                <c:pt idx="2">
                  <c:v>ST 96</c:v>
                </c:pt>
                <c:pt idx="3">
                  <c:v>ST 26</c:v>
                </c:pt>
                <c:pt idx="4">
                  <c:v>FR ST 9 app 3 archived 2008</c:v>
                </c:pt>
                <c:pt idx="5">
                  <c:v>ES circular 2001</c:v>
                </c:pt>
                <c:pt idx="6">
                  <c:v>All Yearly ATRs</c:v>
                </c:pt>
              </c:strCache>
            </c:strRef>
          </c:cat>
          <c:val>
            <c:numRef>
              <c:f>'Top line'!$I$3:$I$9</c:f>
              <c:numCache>
                <c:formatCode>#,##0</c:formatCode>
                <c:ptCount val="7"/>
                <c:pt idx="0">
                  <c:v>30899</c:v>
                </c:pt>
                <c:pt idx="1">
                  <c:v>10425</c:v>
                </c:pt>
                <c:pt idx="2">
                  <c:v>10806</c:v>
                </c:pt>
                <c:pt idx="3">
                  <c:v>5860</c:v>
                </c:pt>
                <c:pt idx="4">
                  <c:v>707</c:v>
                </c:pt>
                <c:pt idx="5" formatCode="General">
                  <c:v>837</c:v>
                </c:pt>
                <c:pt idx="6">
                  <c:v>180</c:v>
                </c:pt>
              </c:numCache>
            </c:numRef>
          </c:val>
          <c:extLst>
            <c:ext xmlns:c16="http://schemas.microsoft.com/office/drawing/2014/chart" uri="{C3380CC4-5D6E-409C-BE32-E72D297353CC}">
              <c16:uniqueId val="{00000000-FD5C-4B9D-BAAD-6F50FAD5B6AE}"/>
            </c:ext>
          </c:extLst>
        </c:ser>
        <c:dLbls>
          <c:showLegendKey val="0"/>
          <c:showVal val="0"/>
          <c:showCatName val="0"/>
          <c:showSerName val="0"/>
          <c:showPercent val="0"/>
          <c:showBubbleSize val="0"/>
        </c:dLbls>
        <c:gapWidth val="219"/>
        <c:overlap val="-27"/>
        <c:axId val="215570192"/>
        <c:axId val="215564784"/>
      </c:barChart>
      <c:catAx>
        <c:axId val="21557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564784"/>
        <c:crosses val="autoZero"/>
        <c:auto val="1"/>
        <c:lblAlgn val="ctr"/>
        <c:lblOffset val="100"/>
        <c:noMultiLvlLbl val="0"/>
      </c:catAx>
      <c:valAx>
        <c:axId val="215564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570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2000"/>
              <a:t>ATR single page visits in 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'2020'!$V$1</c:f>
              <c:strCache>
                <c:ptCount val="1"/>
                <c:pt idx="0">
                  <c:v>Unique</c:v>
                </c:pt>
              </c:strCache>
            </c:strRef>
          </c:tx>
          <c:spPr>
            <a:solidFill>
              <a:schemeClr val="accent1"/>
            </a:solidFill>
            <a:ln>
              <a:noFill/>
            </a:ln>
            <a:effectLst/>
          </c:spPr>
          <c:invertIfNegative val="0"/>
          <c:cat>
            <c:strRef>
              <c:f>'2020'!$U$2:$U$159</c:f>
              <c:strCache>
                <c:ptCount val="158"/>
                <c:pt idx="0">
                  <c:v>PI 2018 JP</c:v>
                </c:pt>
                <c:pt idx="1">
                  <c:v>PI 2016 ES</c:v>
                </c:pt>
                <c:pt idx="2">
                  <c:v>ID 2015 MX</c:v>
                </c:pt>
                <c:pt idx="3">
                  <c:v>TM 2016 ES</c:v>
                </c:pt>
                <c:pt idx="4">
                  <c:v>TM 2018 UA</c:v>
                </c:pt>
                <c:pt idx="5">
                  <c:v>PI 2018 RU</c:v>
                </c:pt>
                <c:pt idx="6">
                  <c:v>ID 2016 ES</c:v>
                </c:pt>
                <c:pt idx="7">
                  <c:v>PI 2018 GB</c:v>
                </c:pt>
                <c:pt idx="8">
                  <c:v>TM 2018 EC</c:v>
                </c:pt>
                <c:pt idx="9">
                  <c:v>PI 2019 EA</c:v>
                </c:pt>
                <c:pt idx="10">
                  <c:v>PI 2018 CZ</c:v>
                </c:pt>
                <c:pt idx="11">
                  <c:v>PI 2018 EC</c:v>
                </c:pt>
                <c:pt idx="12">
                  <c:v>PI 2015 MX</c:v>
                </c:pt>
                <c:pt idx="13">
                  <c:v>ID 2018 EC</c:v>
                </c:pt>
                <c:pt idx="14">
                  <c:v>ID 2015 MD</c:v>
                </c:pt>
                <c:pt idx="15">
                  <c:v>TM 2018 PL</c:v>
                </c:pt>
                <c:pt idx="16">
                  <c:v>TM 2016 BR</c:v>
                </c:pt>
                <c:pt idx="17">
                  <c:v>PI 2016 BR</c:v>
                </c:pt>
                <c:pt idx="18">
                  <c:v>ID 2018 GB</c:v>
                </c:pt>
                <c:pt idx="19">
                  <c:v>PI 2016 GB</c:v>
                </c:pt>
                <c:pt idx="20">
                  <c:v>TM 2018 RS</c:v>
                </c:pt>
                <c:pt idx="21">
                  <c:v>PI 2018 UA</c:v>
                </c:pt>
                <c:pt idx="22">
                  <c:v>PI 2014 UY</c:v>
                </c:pt>
                <c:pt idx="23">
                  <c:v>TM 2018 SK</c:v>
                </c:pt>
                <c:pt idx="24">
                  <c:v>TM 2018 JP</c:v>
                </c:pt>
                <c:pt idx="25">
                  <c:v>PI 2018 PL</c:v>
                </c:pt>
                <c:pt idx="26">
                  <c:v>ID 2018 UA</c:v>
                </c:pt>
                <c:pt idx="27">
                  <c:v>TM 2019 UY</c:v>
                </c:pt>
                <c:pt idx="28">
                  <c:v>TM 2015 MX</c:v>
                </c:pt>
                <c:pt idx="29">
                  <c:v>ID 2018 JP</c:v>
                </c:pt>
                <c:pt idx="30">
                  <c:v>TM 2018 GB</c:v>
                </c:pt>
                <c:pt idx="31">
                  <c:v>TM 2016 RS</c:v>
                </c:pt>
                <c:pt idx="32">
                  <c:v>TM 2018 RU</c:v>
                </c:pt>
                <c:pt idx="33">
                  <c:v>ID 2018 PL</c:v>
                </c:pt>
                <c:pt idx="34">
                  <c:v>TM 2014 UY</c:v>
                </c:pt>
                <c:pt idx="35">
                  <c:v>ID 2014 UY</c:v>
                </c:pt>
                <c:pt idx="36">
                  <c:v>ID 2019 HU</c:v>
                </c:pt>
                <c:pt idx="37">
                  <c:v>ID 2018 SK</c:v>
                </c:pt>
                <c:pt idx="38">
                  <c:v>PI 2019 HU</c:v>
                </c:pt>
                <c:pt idx="39">
                  <c:v>ID 2017 SK</c:v>
                </c:pt>
                <c:pt idx="40">
                  <c:v>TM 2018 BG</c:v>
                </c:pt>
                <c:pt idx="41">
                  <c:v>TM 2016 BG</c:v>
                </c:pt>
                <c:pt idx="42">
                  <c:v>PI 2017 JP</c:v>
                </c:pt>
                <c:pt idx="43">
                  <c:v>PI 2017 CA</c:v>
                </c:pt>
                <c:pt idx="44">
                  <c:v>ID 2018 CZ</c:v>
                </c:pt>
                <c:pt idx="45">
                  <c:v>PI 2019 PL</c:v>
                </c:pt>
                <c:pt idx="46">
                  <c:v>TM 2019 MX</c:v>
                </c:pt>
                <c:pt idx="47">
                  <c:v>PI 2016 EG</c:v>
                </c:pt>
                <c:pt idx="48">
                  <c:v>PI 2017 PL</c:v>
                </c:pt>
                <c:pt idx="49">
                  <c:v>TM 2017 CA</c:v>
                </c:pt>
                <c:pt idx="50">
                  <c:v>ID 2016 BR</c:v>
                </c:pt>
                <c:pt idx="51">
                  <c:v>PI 2018 HU</c:v>
                </c:pt>
                <c:pt idx="52">
                  <c:v>ID 2019 PY</c:v>
                </c:pt>
                <c:pt idx="53">
                  <c:v>PI 2016 PL</c:v>
                </c:pt>
                <c:pt idx="54">
                  <c:v>PI 2018 RS</c:v>
                </c:pt>
                <c:pt idx="55">
                  <c:v>PI 2019 UY</c:v>
                </c:pt>
                <c:pt idx="56">
                  <c:v>ID 2018 HU</c:v>
                </c:pt>
                <c:pt idx="57">
                  <c:v>ID 2016 MG</c:v>
                </c:pt>
                <c:pt idx="58">
                  <c:v>TM 2015 MD</c:v>
                </c:pt>
                <c:pt idx="59">
                  <c:v>ID 2019 PL</c:v>
                </c:pt>
                <c:pt idx="60">
                  <c:v>PI 2018 SK</c:v>
                </c:pt>
                <c:pt idx="61">
                  <c:v>TM 2019 PL</c:v>
                </c:pt>
                <c:pt idx="62">
                  <c:v>PI 2016 RU</c:v>
                </c:pt>
                <c:pt idx="63">
                  <c:v>PI 2019 JP</c:v>
                </c:pt>
                <c:pt idx="64">
                  <c:v>TM 2019 HU</c:v>
                </c:pt>
                <c:pt idx="65">
                  <c:v>ID 2017 EC</c:v>
                </c:pt>
                <c:pt idx="66">
                  <c:v>PI 2015 HR</c:v>
                </c:pt>
                <c:pt idx="67">
                  <c:v>TM 2019 AZ</c:v>
                </c:pt>
                <c:pt idx="68">
                  <c:v>PI 2019 MX</c:v>
                </c:pt>
                <c:pt idx="69">
                  <c:v>ID 2017 CA</c:v>
                </c:pt>
                <c:pt idx="70">
                  <c:v>ID 2014 BA</c:v>
                </c:pt>
                <c:pt idx="71">
                  <c:v>TM 2016 CZ</c:v>
                </c:pt>
                <c:pt idx="72">
                  <c:v>ID 2019 UY</c:v>
                </c:pt>
                <c:pt idx="73">
                  <c:v>ID 2019 RU</c:v>
                </c:pt>
                <c:pt idx="74">
                  <c:v>PI 2017 GB</c:v>
                </c:pt>
                <c:pt idx="75">
                  <c:v>PI 2019 CY</c:v>
                </c:pt>
                <c:pt idx="76">
                  <c:v>PI 2015 MD</c:v>
                </c:pt>
                <c:pt idx="77">
                  <c:v>TM 2019 JP</c:v>
                </c:pt>
                <c:pt idx="78">
                  <c:v>TM 2019 BA</c:v>
                </c:pt>
                <c:pt idx="79">
                  <c:v>TM 2019 PY</c:v>
                </c:pt>
                <c:pt idx="80">
                  <c:v>ID 2019 MX</c:v>
                </c:pt>
                <c:pt idx="81">
                  <c:v>ID 2016 LT</c:v>
                </c:pt>
                <c:pt idx="82">
                  <c:v>PI 2017 SK</c:v>
                </c:pt>
                <c:pt idx="83">
                  <c:v>ID 2016 SK</c:v>
                </c:pt>
                <c:pt idx="84">
                  <c:v>TM 2017 SK</c:v>
                </c:pt>
                <c:pt idx="85">
                  <c:v>PI 2014 JP</c:v>
                </c:pt>
                <c:pt idx="86">
                  <c:v>TM 2019 RU</c:v>
                </c:pt>
                <c:pt idx="87">
                  <c:v>TM 2017 JP</c:v>
                </c:pt>
                <c:pt idx="88">
                  <c:v>PI 2014 CL</c:v>
                </c:pt>
                <c:pt idx="89">
                  <c:v>TM 2019 CY</c:v>
                </c:pt>
                <c:pt idx="90">
                  <c:v>ID 2017 CZ</c:v>
                </c:pt>
                <c:pt idx="91">
                  <c:v>TM 2017 PL</c:v>
                </c:pt>
                <c:pt idx="92">
                  <c:v>TM 2019 BR</c:v>
                </c:pt>
                <c:pt idx="93">
                  <c:v>PI 2019 RU</c:v>
                </c:pt>
                <c:pt idx="94">
                  <c:v>ID 2018 RU</c:v>
                </c:pt>
                <c:pt idx="95">
                  <c:v>PI 2019 EC</c:v>
                </c:pt>
                <c:pt idx="96">
                  <c:v>TM 2017 EC</c:v>
                </c:pt>
                <c:pt idx="97">
                  <c:v>PI 2016 EE</c:v>
                </c:pt>
                <c:pt idx="98">
                  <c:v>PI 2017 EC</c:v>
                </c:pt>
                <c:pt idx="99">
                  <c:v>ID 2019 JP</c:v>
                </c:pt>
                <c:pt idx="100">
                  <c:v>TM 2017 HU</c:v>
                </c:pt>
                <c:pt idx="101">
                  <c:v>PI 2016 JP</c:v>
                </c:pt>
                <c:pt idx="102">
                  <c:v>ID 2019 UA</c:v>
                </c:pt>
                <c:pt idx="103">
                  <c:v>TM 2019 EC</c:v>
                </c:pt>
                <c:pt idx="104">
                  <c:v>PI 2019 PY</c:v>
                </c:pt>
                <c:pt idx="105">
                  <c:v>TM 2017 GB</c:v>
                </c:pt>
                <c:pt idx="106">
                  <c:v>PI 2016 SK</c:v>
                </c:pt>
                <c:pt idx="107">
                  <c:v>PI 2019 UA</c:v>
                </c:pt>
                <c:pt idx="108">
                  <c:v>TM 2017 RS</c:v>
                </c:pt>
                <c:pt idx="109">
                  <c:v>ID 2016 HU</c:v>
                </c:pt>
                <c:pt idx="110">
                  <c:v>PI 2019 CA</c:v>
                </c:pt>
                <c:pt idx="111">
                  <c:v>ID 2014 JP</c:v>
                </c:pt>
                <c:pt idx="112">
                  <c:v>TM 2019 MG</c:v>
                </c:pt>
                <c:pt idx="113">
                  <c:v>TM 2017 EE</c:v>
                </c:pt>
                <c:pt idx="114">
                  <c:v>ID 2017 PL</c:v>
                </c:pt>
                <c:pt idx="115">
                  <c:v>TM 2016 JP</c:v>
                </c:pt>
                <c:pt idx="116">
                  <c:v>TM 2018 HU</c:v>
                </c:pt>
                <c:pt idx="117">
                  <c:v>TM 2019 UA</c:v>
                </c:pt>
                <c:pt idx="118">
                  <c:v>ID 2016 RU</c:v>
                </c:pt>
                <c:pt idx="119">
                  <c:v>ID 2016 JP</c:v>
                </c:pt>
                <c:pt idx="120">
                  <c:v>ID 2017 EE</c:v>
                </c:pt>
                <c:pt idx="121">
                  <c:v>TM 2015 SK</c:v>
                </c:pt>
                <c:pt idx="122">
                  <c:v>PI 2019 AZ</c:v>
                </c:pt>
                <c:pt idx="123">
                  <c:v>PI 2015 JP</c:v>
                </c:pt>
                <c:pt idx="124">
                  <c:v>PI 2019 BA</c:v>
                </c:pt>
                <c:pt idx="125">
                  <c:v>ID 2017 HU</c:v>
                </c:pt>
                <c:pt idx="126">
                  <c:v>PI 2016 CZ</c:v>
                </c:pt>
                <c:pt idx="127">
                  <c:v>ID 2019 CY</c:v>
                </c:pt>
                <c:pt idx="128">
                  <c:v>PI 2017 RU</c:v>
                </c:pt>
                <c:pt idx="129">
                  <c:v>PI 2017 HU</c:v>
                </c:pt>
                <c:pt idx="130">
                  <c:v>ID 2014 NO</c:v>
                </c:pt>
                <c:pt idx="131">
                  <c:v>PI 2016 UA</c:v>
                </c:pt>
                <c:pt idx="132">
                  <c:v>PI 2017 AU</c:v>
                </c:pt>
                <c:pt idx="133">
                  <c:v>ID 2014 CL</c:v>
                </c:pt>
                <c:pt idx="134">
                  <c:v>ID 2014 HU</c:v>
                </c:pt>
                <c:pt idx="135">
                  <c:v>ID 2016 CZ</c:v>
                </c:pt>
                <c:pt idx="136">
                  <c:v>ID 2019 CA</c:v>
                </c:pt>
                <c:pt idx="137">
                  <c:v>PI 2015 KG</c:v>
                </c:pt>
                <c:pt idx="138">
                  <c:v>TM 2016 EE</c:v>
                </c:pt>
                <c:pt idx="139">
                  <c:v>PI 2016 HU</c:v>
                </c:pt>
                <c:pt idx="140">
                  <c:v>PI 2015 EG</c:v>
                </c:pt>
                <c:pt idx="141">
                  <c:v>TM 2015 KR</c:v>
                </c:pt>
                <c:pt idx="142">
                  <c:v>PI 2014 PL</c:v>
                </c:pt>
                <c:pt idx="143">
                  <c:v>ID 2019 EC</c:v>
                </c:pt>
                <c:pt idx="144">
                  <c:v>TM 2019 CA</c:v>
                </c:pt>
                <c:pt idx="145">
                  <c:v>PI 2014 ES</c:v>
                </c:pt>
                <c:pt idx="146">
                  <c:v>TM 2015 KG</c:v>
                </c:pt>
                <c:pt idx="147">
                  <c:v>PI 2014 HR</c:v>
                </c:pt>
                <c:pt idx="148">
                  <c:v>TM 2018 CZ</c:v>
                </c:pt>
                <c:pt idx="149">
                  <c:v>ID 2014 MD</c:v>
                </c:pt>
                <c:pt idx="150">
                  <c:v>TM 2015 HR</c:v>
                </c:pt>
                <c:pt idx="151">
                  <c:v>PI 2014 IE</c:v>
                </c:pt>
                <c:pt idx="152">
                  <c:v>ID 2019 MG</c:v>
                </c:pt>
                <c:pt idx="153">
                  <c:v>PI 2019 MG</c:v>
                </c:pt>
                <c:pt idx="154">
                  <c:v>PI 2015 KR</c:v>
                </c:pt>
                <c:pt idx="155">
                  <c:v>ID 2019 BR</c:v>
                </c:pt>
                <c:pt idx="156">
                  <c:v>ID 2015 KG</c:v>
                </c:pt>
                <c:pt idx="157">
                  <c:v>TM 2017 AU</c:v>
                </c:pt>
              </c:strCache>
            </c:strRef>
          </c:cat>
          <c:val>
            <c:numRef>
              <c:f>'2020'!$V$2:$V$159</c:f>
              <c:numCache>
                <c:formatCode>General</c:formatCode>
                <c:ptCount val="158"/>
                <c:pt idx="0">
                  <c:v>38</c:v>
                </c:pt>
                <c:pt idx="1">
                  <c:v>24</c:v>
                </c:pt>
                <c:pt idx="2">
                  <c:v>20</c:v>
                </c:pt>
                <c:pt idx="3">
                  <c:v>18</c:v>
                </c:pt>
                <c:pt idx="4">
                  <c:v>18</c:v>
                </c:pt>
                <c:pt idx="5">
                  <c:v>17</c:v>
                </c:pt>
                <c:pt idx="6">
                  <c:v>17</c:v>
                </c:pt>
                <c:pt idx="7">
                  <c:v>16</c:v>
                </c:pt>
                <c:pt idx="8">
                  <c:v>15</c:v>
                </c:pt>
                <c:pt idx="9">
                  <c:v>14</c:v>
                </c:pt>
                <c:pt idx="10">
                  <c:v>14</c:v>
                </c:pt>
                <c:pt idx="11">
                  <c:v>14</c:v>
                </c:pt>
                <c:pt idx="12">
                  <c:v>13</c:v>
                </c:pt>
                <c:pt idx="13">
                  <c:v>13</c:v>
                </c:pt>
                <c:pt idx="14">
                  <c:v>10</c:v>
                </c:pt>
                <c:pt idx="15">
                  <c:v>9</c:v>
                </c:pt>
                <c:pt idx="16">
                  <c:v>9</c:v>
                </c:pt>
                <c:pt idx="17">
                  <c:v>9</c:v>
                </c:pt>
                <c:pt idx="18">
                  <c:v>9</c:v>
                </c:pt>
                <c:pt idx="19">
                  <c:v>8</c:v>
                </c:pt>
                <c:pt idx="20">
                  <c:v>8</c:v>
                </c:pt>
                <c:pt idx="21">
                  <c:v>8</c:v>
                </c:pt>
                <c:pt idx="22">
                  <c:v>7</c:v>
                </c:pt>
                <c:pt idx="23">
                  <c:v>7</c:v>
                </c:pt>
                <c:pt idx="24">
                  <c:v>7</c:v>
                </c:pt>
                <c:pt idx="25">
                  <c:v>7</c:v>
                </c:pt>
                <c:pt idx="26">
                  <c:v>7</c:v>
                </c:pt>
                <c:pt idx="27">
                  <c:v>7</c:v>
                </c:pt>
                <c:pt idx="28">
                  <c:v>6</c:v>
                </c:pt>
                <c:pt idx="29">
                  <c:v>6</c:v>
                </c:pt>
                <c:pt idx="30">
                  <c:v>6</c:v>
                </c:pt>
                <c:pt idx="31">
                  <c:v>6</c:v>
                </c:pt>
                <c:pt idx="32">
                  <c:v>6</c:v>
                </c:pt>
                <c:pt idx="33">
                  <c:v>6</c:v>
                </c:pt>
                <c:pt idx="34">
                  <c:v>6</c:v>
                </c:pt>
                <c:pt idx="35">
                  <c:v>6</c:v>
                </c:pt>
                <c:pt idx="36">
                  <c:v>5</c:v>
                </c:pt>
                <c:pt idx="37">
                  <c:v>5</c:v>
                </c:pt>
                <c:pt idx="38">
                  <c:v>5</c:v>
                </c:pt>
                <c:pt idx="39">
                  <c:v>5</c:v>
                </c:pt>
                <c:pt idx="40">
                  <c:v>5</c:v>
                </c:pt>
                <c:pt idx="41">
                  <c:v>5</c:v>
                </c:pt>
                <c:pt idx="42">
                  <c:v>5</c:v>
                </c:pt>
                <c:pt idx="43">
                  <c:v>5</c:v>
                </c:pt>
                <c:pt idx="44">
                  <c:v>5</c:v>
                </c:pt>
                <c:pt idx="45">
                  <c:v>4</c:v>
                </c:pt>
                <c:pt idx="46">
                  <c:v>4</c:v>
                </c:pt>
                <c:pt idx="47">
                  <c:v>4</c:v>
                </c:pt>
                <c:pt idx="48">
                  <c:v>4</c:v>
                </c:pt>
                <c:pt idx="49">
                  <c:v>4</c:v>
                </c:pt>
                <c:pt idx="50">
                  <c:v>4</c:v>
                </c:pt>
                <c:pt idx="51">
                  <c:v>4</c:v>
                </c:pt>
                <c:pt idx="52">
                  <c:v>4</c:v>
                </c:pt>
                <c:pt idx="53">
                  <c:v>4</c:v>
                </c:pt>
                <c:pt idx="54">
                  <c:v>4</c:v>
                </c:pt>
                <c:pt idx="55">
                  <c:v>4</c:v>
                </c:pt>
                <c:pt idx="56">
                  <c:v>4</c:v>
                </c:pt>
                <c:pt idx="57">
                  <c:v>4</c:v>
                </c:pt>
                <c:pt idx="58">
                  <c:v>4</c:v>
                </c:pt>
                <c:pt idx="59">
                  <c:v>3</c:v>
                </c:pt>
                <c:pt idx="60">
                  <c:v>3</c:v>
                </c:pt>
                <c:pt idx="61">
                  <c:v>3</c:v>
                </c:pt>
                <c:pt idx="62">
                  <c:v>3</c:v>
                </c:pt>
                <c:pt idx="63">
                  <c:v>3</c:v>
                </c:pt>
                <c:pt idx="64">
                  <c:v>3</c:v>
                </c:pt>
                <c:pt idx="65">
                  <c:v>3</c:v>
                </c:pt>
                <c:pt idx="66">
                  <c:v>3</c:v>
                </c:pt>
                <c:pt idx="67">
                  <c:v>3</c:v>
                </c:pt>
                <c:pt idx="68">
                  <c:v>3</c:v>
                </c:pt>
                <c:pt idx="69">
                  <c:v>3</c:v>
                </c:pt>
                <c:pt idx="70">
                  <c:v>3</c:v>
                </c:pt>
                <c:pt idx="71">
                  <c:v>3</c:v>
                </c:pt>
                <c:pt idx="72">
                  <c:v>3</c:v>
                </c:pt>
                <c:pt idx="73">
                  <c:v>3</c:v>
                </c:pt>
                <c:pt idx="74">
                  <c:v>3</c:v>
                </c:pt>
                <c:pt idx="75">
                  <c:v>2</c:v>
                </c:pt>
                <c:pt idx="76">
                  <c:v>2</c:v>
                </c:pt>
                <c:pt idx="77">
                  <c:v>2</c:v>
                </c:pt>
                <c:pt idx="78">
                  <c:v>2</c:v>
                </c:pt>
                <c:pt idx="79">
                  <c:v>2</c:v>
                </c:pt>
                <c:pt idx="80">
                  <c:v>2</c:v>
                </c:pt>
                <c:pt idx="81">
                  <c:v>2</c:v>
                </c:pt>
                <c:pt idx="82">
                  <c:v>2</c:v>
                </c:pt>
                <c:pt idx="83">
                  <c:v>2</c:v>
                </c:pt>
                <c:pt idx="84">
                  <c:v>2</c:v>
                </c:pt>
                <c:pt idx="85">
                  <c:v>2</c:v>
                </c:pt>
                <c:pt idx="86">
                  <c:v>2</c:v>
                </c:pt>
                <c:pt idx="87">
                  <c:v>2</c:v>
                </c:pt>
                <c:pt idx="88">
                  <c:v>2</c:v>
                </c:pt>
                <c:pt idx="89">
                  <c:v>2</c:v>
                </c:pt>
                <c:pt idx="90">
                  <c:v>2</c:v>
                </c:pt>
                <c:pt idx="91">
                  <c:v>2</c:v>
                </c:pt>
                <c:pt idx="92">
                  <c:v>2</c:v>
                </c:pt>
                <c:pt idx="93">
                  <c:v>2</c:v>
                </c:pt>
                <c:pt idx="94">
                  <c:v>2</c:v>
                </c:pt>
                <c:pt idx="95">
                  <c:v>2</c:v>
                </c:pt>
                <c:pt idx="96">
                  <c:v>2</c:v>
                </c:pt>
                <c:pt idx="97">
                  <c:v>2</c:v>
                </c:pt>
                <c:pt idx="98">
                  <c:v>2</c:v>
                </c:pt>
                <c:pt idx="99">
                  <c:v>2</c:v>
                </c:pt>
                <c:pt idx="100">
                  <c:v>2</c:v>
                </c:pt>
                <c:pt idx="101">
                  <c:v>2</c:v>
                </c:pt>
                <c:pt idx="102">
                  <c:v>2</c:v>
                </c:pt>
                <c:pt idx="103">
                  <c:v>2</c:v>
                </c:pt>
                <c:pt idx="104">
                  <c:v>2</c:v>
                </c:pt>
                <c:pt idx="105">
                  <c:v>2</c:v>
                </c:pt>
                <c:pt idx="106">
                  <c:v>2</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numCache>
            </c:numRef>
          </c:val>
          <c:extLst>
            <c:ext xmlns:c16="http://schemas.microsoft.com/office/drawing/2014/chart" uri="{C3380CC4-5D6E-409C-BE32-E72D297353CC}">
              <c16:uniqueId val="{00000000-7C34-4849-B208-7C071D9111F6}"/>
            </c:ext>
          </c:extLst>
        </c:ser>
        <c:dLbls>
          <c:showLegendKey val="0"/>
          <c:showVal val="0"/>
          <c:showCatName val="0"/>
          <c:showSerName val="0"/>
          <c:showPercent val="0"/>
          <c:showBubbleSize val="0"/>
        </c:dLbls>
        <c:gapWidth val="125"/>
        <c:axId val="413159407"/>
        <c:axId val="413185615"/>
      </c:barChart>
      <c:catAx>
        <c:axId val="413159407"/>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Individual</a:t>
                </a:r>
                <a:r>
                  <a:rPr lang="en-US" sz="1400" baseline="0"/>
                  <a:t> ATR pages (label on every 4th item)</a:t>
                </a:r>
                <a:endParaRPr lang="en-US" sz="14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185615"/>
        <c:crosses val="autoZero"/>
        <c:auto val="1"/>
        <c:lblAlgn val="ctr"/>
        <c:lblOffset val="100"/>
        <c:noMultiLvlLbl val="1"/>
      </c:catAx>
      <c:valAx>
        <c:axId val="413185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Page</a:t>
                </a:r>
                <a:r>
                  <a:rPr lang="en-US" sz="1400" baseline="0"/>
                  <a:t> Views</a:t>
                </a:r>
                <a:endParaRPr lang="en-US" sz="140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413159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2BB6A-0879-48B3-972F-880AAACF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0</TotalTime>
  <Pages>6</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CWS/9/18</vt:lpstr>
    </vt:vector>
  </TitlesOfParts>
  <Company>WIPO</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CWS/9/18</dc:title>
  <dc:subject>Proposal for improvement of ATRs</dc:subject>
  <dc:creator>WIPO</dc:creator>
  <cp:keywords>FOR OFFICIAL USE ONLY</cp:keywords>
  <cp:lastModifiedBy>CHAVAS Louison</cp:lastModifiedBy>
  <cp:revision>2</cp:revision>
  <cp:lastPrinted>2011-02-15T11:56:00Z</cp:lastPrinted>
  <dcterms:created xsi:type="dcterms:W3CDTF">2021-09-23T12:47:00Z</dcterms:created>
  <dcterms:modified xsi:type="dcterms:W3CDTF">2021-09-23T12:47:00Z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