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1BFBB" w14:textId="77777777" w:rsidR="008B2CC1" w:rsidRPr="00F043DE" w:rsidRDefault="00B92F1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13EE132D" wp14:editId="2F625EF8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4159" w14:textId="7B8A1648"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CWs/9/</w:t>
      </w:r>
      <w:bookmarkStart w:id="0" w:name="Code"/>
      <w:bookmarkEnd w:id="0"/>
      <w:r w:rsidR="00E250DB">
        <w:rPr>
          <w:rFonts w:ascii="Arial Black" w:hAnsi="Arial Black"/>
          <w:caps/>
          <w:sz w:val="15"/>
          <w:szCs w:val="15"/>
        </w:rPr>
        <w:t>10</w:t>
      </w:r>
      <w:r w:rsidR="00113FB2">
        <w:rPr>
          <w:rFonts w:ascii="Arial Black" w:hAnsi="Arial Black"/>
          <w:caps/>
          <w:sz w:val="15"/>
          <w:szCs w:val="15"/>
        </w:rPr>
        <w:t xml:space="preserve"> Rev.</w:t>
      </w:r>
    </w:p>
    <w:p w14:paraId="0C18DA10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5511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0724C7D" w14:textId="41F9E83D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0F2764" w:rsidRPr="000F2764">
        <w:rPr>
          <w:rFonts w:ascii="Arial Black" w:hAnsi="Arial Black"/>
          <w:caps/>
          <w:sz w:val="15"/>
          <w:szCs w:val="15"/>
        </w:rPr>
        <w:t>september</w:t>
      </w:r>
      <w:r w:rsidR="00767965" w:rsidRPr="000F2764">
        <w:rPr>
          <w:rFonts w:ascii="Arial Black" w:hAnsi="Arial Black"/>
          <w:caps/>
          <w:sz w:val="15"/>
          <w:szCs w:val="15"/>
        </w:rPr>
        <w:t xml:space="preserve"> </w:t>
      </w:r>
      <w:r w:rsidR="00BA5621">
        <w:rPr>
          <w:rFonts w:ascii="Arial Black" w:hAnsi="Arial Black"/>
          <w:caps/>
          <w:sz w:val="15"/>
          <w:szCs w:val="15"/>
        </w:rPr>
        <w:t>10</w:t>
      </w:r>
      <w:r w:rsidR="00D5511C">
        <w:rPr>
          <w:rFonts w:ascii="Arial Black" w:hAnsi="Arial Black"/>
          <w:caps/>
          <w:sz w:val="15"/>
          <w:szCs w:val="15"/>
        </w:rPr>
        <w:t>, 2021</w:t>
      </w:r>
    </w:p>
    <w:bookmarkEnd w:id="2"/>
    <w:p w14:paraId="2BED257D" w14:textId="77777777" w:rsidR="008B2CC1" w:rsidRPr="00D5511C" w:rsidRDefault="00E45755" w:rsidP="00720EFD">
      <w:pPr>
        <w:pStyle w:val="Heading1"/>
        <w:spacing w:before="0" w:after="480"/>
        <w:rPr>
          <w:sz w:val="36"/>
          <w:szCs w:val="28"/>
        </w:rPr>
      </w:pPr>
      <w:r w:rsidRPr="00D5511C">
        <w:rPr>
          <w:caps w:val="0"/>
          <w:sz w:val="28"/>
        </w:rPr>
        <w:t xml:space="preserve">Committee on WIPO Standards </w:t>
      </w:r>
      <w:r w:rsidRPr="00D5511C">
        <w:rPr>
          <w:sz w:val="28"/>
        </w:rPr>
        <w:t>(CWS)</w:t>
      </w:r>
    </w:p>
    <w:p w14:paraId="43C3EA3A" w14:textId="77777777" w:rsidR="00E45755" w:rsidRPr="00846CF6" w:rsidRDefault="00E45755" w:rsidP="00E45755">
      <w:pPr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Ninth Session</w:t>
      </w:r>
    </w:p>
    <w:p w14:paraId="4DFD874A" w14:textId="77777777" w:rsidR="008B2CC1" w:rsidRPr="003845C1" w:rsidRDefault="00846CF6" w:rsidP="00F9165B">
      <w:pPr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Geneva, November 1 to 5, 2021</w:t>
      </w:r>
    </w:p>
    <w:p w14:paraId="123C0205" w14:textId="77777777" w:rsidR="008B2CC1" w:rsidRPr="003845C1" w:rsidRDefault="00D5511C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Report on the implementation plans of WIPO Standard ST.61</w:t>
      </w:r>
    </w:p>
    <w:p w14:paraId="23262F05" w14:textId="669A6939" w:rsidR="002928D3" w:rsidRPr="00F9165B" w:rsidRDefault="00D5511C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prepared by the International Bureau</w:t>
      </w:r>
    </w:p>
    <w:p w14:paraId="0AE684F2" w14:textId="77777777" w:rsidR="00D5511C" w:rsidRDefault="00D5511C" w:rsidP="00D5511C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4886FF3F" w14:textId="6494D48A" w:rsidR="00D5511C" w:rsidRDefault="00D5511C" w:rsidP="00D5511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its </w:t>
      </w:r>
      <w:r w:rsidR="005307DC">
        <w:t xml:space="preserve">eighth </w:t>
      </w:r>
      <w:r>
        <w:t>session in 20</w:t>
      </w:r>
      <w:r w:rsidR="005307DC">
        <w:t>20</w:t>
      </w:r>
      <w:r>
        <w:t xml:space="preserve">, the Committee on WIPO Standards (CWS) </w:t>
      </w:r>
      <w:r w:rsidR="005307DC">
        <w:t xml:space="preserve">adopted WIPO </w:t>
      </w:r>
      <w:r w:rsidR="00766789">
        <w:t xml:space="preserve">Standard </w:t>
      </w:r>
      <w:r w:rsidR="005307DC">
        <w:t>ST.61 “</w:t>
      </w:r>
      <w:r w:rsidR="005307DC" w:rsidRPr="005307DC">
        <w:t>Recommendation for the exchange of trademark legal status data</w:t>
      </w:r>
      <w:r w:rsidR="005307DC">
        <w:t>”.</w:t>
      </w:r>
      <w:r>
        <w:t xml:space="preserve">  </w:t>
      </w:r>
      <w:r w:rsidR="001F0CF0">
        <w:t>The CWS requested the Secretariat to</w:t>
      </w:r>
      <w:r w:rsidR="001F0CF0" w:rsidRPr="001F0CF0">
        <w:t xml:space="preserve"> issue a circular inviting I</w:t>
      </w:r>
      <w:r w:rsidR="00E212CA">
        <w:t xml:space="preserve">ntellectual </w:t>
      </w:r>
      <w:r w:rsidR="001F0CF0" w:rsidRPr="001F0CF0">
        <w:t>P</w:t>
      </w:r>
      <w:r w:rsidR="00E212CA">
        <w:t xml:space="preserve">roperty </w:t>
      </w:r>
      <w:r w:rsidR="001F0CF0" w:rsidRPr="001F0CF0">
        <w:t>O</w:t>
      </w:r>
      <w:r w:rsidR="00E212CA">
        <w:t>ffice</w:t>
      </w:r>
      <w:r w:rsidR="001F0CF0" w:rsidRPr="001F0CF0">
        <w:t xml:space="preserve">s </w:t>
      </w:r>
      <w:r w:rsidR="008D182F">
        <w:t xml:space="preserve">(IPOs) </w:t>
      </w:r>
      <w:r w:rsidR="001F0CF0" w:rsidRPr="001F0CF0">
        <w:t xml:space="preserve">to assess their business practices and IT systems with regard to WIPO ST.61, and submit an implementation plan and mapping table for their Office. </w:t>
      </w:r>
      <w:r>
        <w:t xml:space="preserve">(See paragraphs </w:t>
      </w:r>
      <w:r w:rsidR="001F0CF0">
        <w:t>27</w:t>
      </w:r>
      <w:r>
        <w:t xml:space="preserve"> to </w:t>
      </w:r>
      <w:r w:rsidR="001F0CF0">
        <w:t xml:space="preserve">30 </w:t>
      </w:r>
      <w:r>
        <w:t>of</w:t>
      </w:r>
      <w:r w:rsidR="001F0CF0">
        <w:t xml:space="preserve"> document CWS/8</w:t>
      </w:r>
      <w:r>
        <w:t>/2</w:t>
      </w:r>
      <w:r w:rsidR="001F0CF0">
        <w:t>4</w:t>
      </w:r>
      <w:r>
        <w:t>.)</w:t>
      </w:r>
    </w:p>
    <w:p w14:paraId="7DFAEABA" w14:textId="77777777" w:rsidR="001F0CF0" w:rsidRPr="00611FD6" w:rsidRDefault="001F0CF0" w:rsidP="00611FD6">
      <w:pPr>
        <w:pStyle w:val="Heading2"/>
      </w:pPr>
      <w:r w:rsidRPr="00611FD6">
        <w:t>Report</w:t>
      </w:r>
    </w:p>
    <w:p w14:paraId="1E0BCF6B" w14:textId="05C7C215" w:rsidR="001F0CF0" w:rsidRDefault="001F0CF0" w:rsidP="001F0CF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July 2021, the Secretariat issued circular C.CWS.152 inviting IPOs to share their tentative implementation plans and mapping table for ST.61.  </w:t>
      </w:r>
      <w:r w:rsidR="00492D54">
        <w:t xml:space="preserve">Fourteen </w:t>
      </w:r>
      <w:r w:rsidR="001343C2">
        <w:t xml:space="preserve">IPOs responded to the circular, with eleven </w:t>
      </w:r>
      <w:bookmarkStart w:id="5" w:name="_GoBack"/>
      <w:bookmarkEnd w:id="5"/>
      <w:r w:rsidR="001343C2">
        <w:t>providing mapping tables.</w:t>
      </w:r>
      <w:r w:rsidR="00611FD6">
        <w:t xml:space="preserve">  </w:t>
      </w:r>
      <w:r w:rsidR="0074717D" w:rsidRPr="005678F1">
        <w:rPr>
          <w:rFonts w:eastAsia="Batang"/>
          <w:lang w:eastAsia="ko-KR"/>
        </w:rPr>
        <w:t>The mapping tables are reproduced as the Annex to this document</w:t>
      </w:r>
      <w:r w:rsidR="0074717D">
        <w:rPr>
          <w:rFonts w:eastAsia="Batang"/>
          <w:lang w:eastAsia="ko-KR"/>
        </w:rPr>
        <w:t xml:space="preserve"> for consideration by the CWS.</w:t>
      </w:r>
    </w:p>
    <w:p w14:paraId="7A3467DC" w14:textId="09A480CE" w:rsidR="001343C2" w:rsidRDefault="001343C2" w:rsidP="001F0CF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11FD6">
        <w:t xml:space="preserve">Among respondents, three IPOs plan to begin </w:t>
      </w:r>
      <w:r w:rsidR="00766789">
        <w:t xml:space="preserve">their </w:t>
      </w:r>
      <w:r w:rsidR="00611FD6">
        <w:t xml:space="preserve">implementation </w:t>
      </w:r>
      <w:r w:rsidR="00766789">
        <w:t xml:space="preserve">of ST.61 </w:t>
      </w:r>
      <w:r w:rsidR="00611FD6">
        <w:t xml:space="preserve">in 2022 or 2023.  </w:t>
      </w:r>
      <w:r w:rsidR="00492D54">
        <w:t xml:space="preserve">Six </w:t>
      </w:r>
      <w:r w:rsidR="00611FD6">
        <w:t xml:space="preserve">IPOs stated that they do not currently know when </w:t>
      </w:r>
      <w:r w:rsidR="00766789">
        <w:t>the</w:t>
      </w:r>
      <w:r w:rsidR="00D46D0B">
        <w:t>ir</w:t>
      </w:r>
      <w:r w:rsidR="00766789">
        <w:t xml:space="preserve"> </w:t>
      </w:r>
      <w:r w:rsidR="00611FD6">
        <w:t xml:space="preserve">implementation may begin.  </w:t>
      </w:r>
      <w:r w:rsidR="00D46D0B">
        <w:t>The o</w:t>
      </w:r>
      <w:r w:rsidR="00766789">
        <w:t>ther f</w:t>
      </w:r>
      <w:r w:rsidR="00611FD6">
        <w:t>ive IPOs did not provide any information on their implementation timeline.</w:t>
      </w:r>
    </w:p>
    <w:p w14:paraId="10BBDD4C" w14:textId="0B6FB753" w:rsidR="00EA0763" w:rsidRDefault="00EA0763" w:rsidP="001F0CF0">
      <w:pPr>
        <w:pStyle w:val="ONUMFS"/>
        <w:numPr>
          <w:ilvl w:val="0"/>
          <w:numId w:val="0"/>
        </w:numPr>
      </w:pPr>
    </w:p>
    <w:p w14:paraId="57D8B422" w14:textId="01123AB0" w:rsidR="00EA0763" w:rsidRDefault="00EA0763" w:rsidP="001F0CF0">
      <w:pPr>
        <w:pStyle w:val="ONUMFS"/>
        <w:numPr>
          <w:ilvl w:val="0"/>
          <w:numId w:val="0"/>
        </w:numPr>
      </w:pPr>
    </w:p>
    <w:p w14:paraId="33622437" w14:textId="45BF8DB4" w:rsidR="004B7D43" w:rsidRDefault="004B7D43" w:rsidP="001F0CF0">
      <w:pPr>
        <w:pStyle w:val="ONUMFS"/>
        <w:numPr>
          <w:ilvl w:val="0"/>
          <w:numId w:val="0"/>
        </w:numPr>
      </w:pPr>
    </w:p>
    <w:p w14:paraId="60AC185E" w14:textId="77777777" w:rsidR="004B7D43" w:rsidRDefault="004B7D43" w:rsidP="001F0CF0">
      <w:pPr>
        <w:pStyle w:val="ONUMFS"/>
        <w:numPr>
          <w:ilvl w:val="0"/>
          <w:numId w:val="0"/>
        </w:numPr>
      </w:pPr>
    </w:p>
    <w:p w14:paraId="72C5C24B" w14:textId="4D49DDE1" w:rsidR="00EA0763" w:rsidRDefault="00EA0763" w:rsidP="001F0CF0">
      <w:pPr>
        <w:pStyle w:val="ONUMFS"/>
        <w:numPr>
          <w:ilvl w:val="0"/>
          <w:numId w:val="0"/>
        </w:numPr>
      </w:pPr>
    </w:p>
    <w:p w14:paraId="7D0C952B" w14:textId="69E1AC42" w:rsidR="00EA0763" w:rsidRDefault="00EA0763" w:rsidP="001F0CF0">
      <w:pPr>
        <w:pStyle w:val="ONUMFS"/>
        <w:numPr>
          <w:ilvl w:val="0"/>
          <w:numId w:val="0"/>
        </w:numPr>
      </w:pPr>
    </w:p>
    <w:p w14:paraId="4A48CE6C" w14:textId="3CC055A5" w:rsidR="00D5511C" w:rsidRPr="00E212CA" w:rsidRDefault="00D5511C" w:rsidP="00E212CA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630" w:right="490"/>
        <w:rPr>
          <w:rFonts w:eastAsia="Arial"/>
          <w:i/>
          <w:szCs w:val="22"/>
          <w:lang w:eastAsia="en-US"/>
        </w:rPr>
      </w:pPr>
      <w:r>
        <w:rPr>
          <w:rFonts w:eastAsia="Arial"/>
          <w:i/>
          <w:szCs w:val="22"/>
          <w:lang w:eastAsia="en-US"/>
        </w:rPr>
        <w:lastRenderedPageBreak/>
        <w:fldChar w:fldCharType="begin"/>
      </w:r>
      <w:r>
        <w:rPr>
          <w:rFonts w:eastAsia="Arial"/>
          <w:i/>
          <w:szCs w:val="22"/>
          <w:lang w:eastAsia="en-US"/>
        </w:rPr>
        <w:instrText xml:space="preserve"> AUTONUM  </w:instrText>
      </w:r>
      <w:r>
        <w:rPr>
          <w:rFonts w:eastAsia="Arial"/>
          <w:i/>
          <w:szCs w:val="22"/>
          <w:lang w:eastAsia="en-US"/>
        </w:rPr>
        <w:fldChar w:fldCharType="end"/>
      </w:r>
      <w:r>
        <w:rPr>
          <w:rFonts w:eastAsia="Arial"/>
          <w:i/>
          <w:szCs w:val="22"/>
          <w:lang w:eastAsia="en-US"/>
        </w:rPr>
        <w:tab/>
      </w:r>
      <w:r w:rsidRPr="003F0D86">
        <w:rPr>
          <w:rFonts w:eastAsia="Arial"/>
          <w:i/>
          <w:szCs w:val="22"/>
          <w:lang w:eastAsia="en-US"/>
        </w:rPr>
        <w:t xml:space="preserve">The CWS is invited to: </w:t>
      </w:r>
    </w:p>
    <w:p w14:paraId="6623E7D7" w14:textId="46EBFF60" w:rsidR="00D5511C" w:rsidRPr="003F0D86" w:rsidRDefault="00D5511C" w:rsidP="00D5511C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ind w:left="5630" w:right="490"/>
        <w:rPr>
          <w:rFonts w:eastAsia="Arial"/>
          <w:i/>
          <w:szCs w:val="22"/>
          <w:lang w:eastAsia="en-US"/>
        </w:rPr>
      </w:pPr>
      <w:r w:rsidRPr="003F0D86">
        <w:rPr>
          <w:rFonts w:eastAsia="Arial"/>
          <w:i/>
          <w:szCs w:val="22"/>
          <w:lang w:eastAsia="en-US"/>
        </w:rPr>
        <w:tab/>
        <w:t>(a)</w:t>
      </w:r>
      <w:r w:rsidRPr="003F0D86">
        <w:rPr>
          <w:rFonts w:eastAsia="Arial"/>
          <w:i/>
          <w:szCs w:val="22"/>
          <w:lang w:eastAsia="en-US"/>
        </w:rPr>
        <w:tab/>
        <w:t xml:space="preserve">note the content of </w:t>
      </w:r>
      <w:r>
        <w:rPr>
          <w:rFonts w:eastAsia="Arial"/>
          <w:i/>
          <w:szCs w:val="22"/>
          <w:lang w:eastAsia="en-US"/>
        </w:rPr>
        <w:t xml:space="preserve">this </w:t>
      </w:r>
      <w:r w:rsidRPr="003F0D86">
        <w:rPr>
          <w:rFonts w:eastAsia="Arial"/>
          <w:i/>
          <w:szCs w:val="22"/>
          <w:lang w:eastAsia="en-US"/>
        </w:rPr>
        <w:t>document</w:t>
      </w:r>
      <w:r w:rsidR="001A3C78">
        <w:rPr>
          <w:rFonts w:eastAsia="Arial"/>
          <w:i/>
          <w:szCs w:val="22"/>
          <w:lang w:eastAsia="en-US"/>
        </w:rPr>
        <w:t xml:space="preserve"> and the mapping tables mentioned in paragraph 2 above</w:t>
      </w:r>
      <w:r w:rsidR="00725CA0">
        <w:rPr>
          <w:rFonts w:eastAsia="Arial"/>
          <w:i/>
          <w:szCs w:val="22"/>
          <w:lang w:eastAsia="en-US"/>
        </w:rPr>
        <w:t xml:space="preserve"> and </w:t>
      </w:r>
      <w:r w:rsidR="000231A7">
        <w:rPr>
          <w:rFonts w:eastAsia="Arial"/>
          <w:i/>
          <w:szCs w:val="22"/>
          <w:lang w:eastAsia="en-US"/>
        </w:rPr>
        <w:t>reproduced in the Annex to this document</w:t>
      </w:r>
      <w:r w:rsidRPr="003F0D86">
        <w:rPr>
          <w:rFonts w:eastAsia="Arial"/>
          <w:i/>
          <w:szCs w:val="22"/>
          <w:lang w:eastAsia="en-US"/>
        </w:rPr>
        <w:t xml:space="preserve">; </w:t>
      </w:r>
      <w:r w:rsidR="00E212CA">
        <w:rPr>
          <w:rFonts w:eastAsia="Arial"/>
          <w:i/>
          <w:szCs w:val="22"/>
          <w:lang w:eastAsia="en-US"/>
        </w:rPr>
        <w:t>and</w:t>
      </w:r>
    </w:p>
    <w:p w14:paraId="0A81FE72" w14:textId="2183AD79" w:rsidR="00D5511C" w:rsidRPr="003F0D86" w:rsidRDefault="00D5511C" w:rsidP="00D5511C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before="122"/>
        <w:ind w:left="5630"/>
        <w:rPr>
          <w:rFonts w:eastAsia="Arial"/>
          <w:i/>
          <w:szCs w:val="22"/>
          <w:lang w:eastAsia="en-US"/>
        </w:rPr>
      </w:pPr>
      <w:r w:rsidRPr="003F0D86">
        <w:rPr>
          <w:rFonts w:eastAsia="Arial"/>
          <w:i/>
          <w:szCs w:val="22"/>
          <w:lang w:eastAsia="en-US"/>
        </w:rPr>
        <w:tab/>
        <w:t>(b)</w:t>
      </w:r>
      <w:r w:rsidRPr="003F0D86">
        <w:rPr>
          <w:rFonts w:eastAsia="Arial"/>
          <w:i/>
          <w:szCs w:val="22"/>
          <w:lang w:eastAsia="en-US"/>
        </w:rPr>
        <w:tab/>
      </w:r>
      <w:r>
        <w:rPr>
          <w:rFonts w:eastAsia="Arial"/>
          <w:i/>
          <w:szCs w:val="22"/>
          <w:lang w:eastAsia="en-US"/>
        </w:rPr>
        <w:t>approve</w:t>
      </w:r>
      <w:r w:rsidRPr="003F0D86">
        <w:rPr>
          <w:rFonts w:eastAsia="Arial"/>
          <w:i/>
          <w:szCs w:val="22"/>
          <w:lang w:eastAsia="en-US"/>
        </w:rPr>
        <w:t xml:space="preserve"> </w:t>
      </w:r>
      <w:r w:rsidR="00611FD6">
        <w:rPr>
          <w:rFonts w:eastAsia="Arial"/>
          <w:i/>
          <w:szCs w:val="22"/>
          <w:lang w:eastAsia="en-US"/>
        </w:rPr>
        <w:t xml:space="preserve">publication of the received </w:t>
      </w:r>
      <w:r w:rsidR="00BA6067">
        <w:rPr>
          <w:rFonts w:eastAsia="Arial"/>
          <w:i/>
          <w:szCs w:val="22"/>
          <w:lang w:eastAsia="en-US"/>
        </w:rPr>
        <w:t>WIPO Standard ST.</w:t>
      </w:r>
      <w:r>
        <w:rPr>
          <w:rFonts w:eastAsia="Arial"/>
          <w:i/>
          <w:szCs w:val="22"/>
          <w:lang w:eastAsia="en-US"/>
        </w:rPr>
        <w:t>61</w:t>
      </w:r>
      <w:r w:rsidR="00611FD6">
        <w:rPr>
          <w:rFonts w:eastAsia="Arial"/>
          <w:i/>
          <w:szCs w:val="22"/>
          <w:lang w:eastAsia="en-US"/>
        </w:rPr>
        <w:t xml:space="preserve"> mapping tables</w:t>
      </w:r>
      <w:r w:rsidR="001A3C78">
        <w:rPr>
          <w:rFonts w:eastAsia="Arial"/>
          <w:i/>
          <w:szCs w:val="22"/>
          <w:lang w:eastAsia="en-US"/>
        </w:rPr>
        <w:t>, which is reproduced in the Annex to this document,</w:t>
      </w:r>
      <w:r w:rsidR="00611FD6">
        <w:rPr>
          <w:rFonts w:eastAsia="Arial"/>
          <w:i/>
          <w:szCs w:val="22"/>
          <w:lang w:eastAsia="en-US"/>
        </w:rPr>
        <w:t xml:space="preserve"> in Part 7.13 of the WIPO Handbook</w:t>
      </w:r>
      <w:r w:rsidR="008D182F">
        <w:rPr>
          <w:rFonts w:eastAsia="Arial"/>
          <w:i/>
          <w:szCs w:val="22"/>
          <w:lang w:eastAsia="en-US"/>
        </w:rPr>
        <w:t xml:space="preserve"> </w:t>
      </w:r>
      <w:r w:rsidR="008D182F" w:rsidRPr="008D182F">
        <w:rPr>
          <w:rFonts w:eastAsia="Arial"/>
          <w:i/>
          <w:szCs w:val="22"/>
          <w:lang w:eastAsia="en-US"/>
        </w:rPr>
        <w:t>on Industrial Property Information and Documentation</w:t>
      </w:r>
      <w:r w:rsidRPr="003F0D86">
        <w:rPr>
          <w:rFonts w:eastAsia="Arial"/>
          <w:i/>
          <w:szCs w:val="22"/>
          <w:lang w:eastAsia="en-US"/>
        </w:rPr>
        <w:t>.</w:t>
      </w:r>
    </w:p>
    <w:p w14:paraId="380B1F00" w14:textId="77777777" w:rsidR="00D5511C" w:rsidRDefault="00D5511C" w:rsidP="00D5511C">
      <w:pPr>
        <w:rPr>
          <w:szCs w:val="22"/>
        </w:rPr>
      </w:pPr>
    </w:p>
    <w:p w14:paraId="1DB116B3" w14:textId="77777777" w:rsidR="00D5511C" w:rsidRPr="00084955" w:rsidRDefault="00D5511C" w:rsidP="00D5511C">
      <w:pPr>
        <w:rPr>
          <w:szCs w:val="22"/>
        </w:rPr>
      </w:pPr>
    </w:p>
    <w:p w14:paraId="4D0A01A6" w14:textId="16E4B213" w:rsidR="002326AB" w:rsidRDefault="00D5511C" w:rsidP="006961AE">
      <w:pPr>
        <w:pStyle w:val="Endofdocument"/>
        <w:ind w:left="5530"/>
      </w:pPr>
      <w:r w:rsidRPr="00E212CA">
        <w:rPr>
          <w:rFonts w:cs="Arial"/>
          <w:sz w:val="22"/>
          <w:szCs w:val="22"/>
        </w:rPr>
        <w:t>[</w:t>
      </w:r>
      <w:r w:rsidR="00EA0763">
        <w:rPr>
          <w:rFonts w:cs="Arial"/>
          <w:sz w:val="22"/>
          <w:szCs w:val="22"/>
        </w:rPr>
        <w:t>Annex follows</w:t>
      </w:r>
      <w:r w:rsidRPr="00E212CA">
        <w:rPr>
          <w:rFonts w:cs="Arial"/>
          <w:sz w:val="22"/>
          <w:szCs w:val="22"/>
        </w:rPr>
        <w:t>]</w:t>
      </w:r>
      <w:r w:rsidRPr="00E212CA">
        <w:t xml:space="preserve"> </w:t>
      </w:r>
    </w:p>
    <w:p w14:paraId="11B21582" w14:textId="77777777" w:rsidR="004B7D43" w:rsidRDefault="004B7D43" w:rsidP="006961AE">
      <w:pPr>
        <w:pStyle w:val="Endofdocument"/>
        <w:ind w:left="5530"/>
        <w:sectPr w:rsidR="004B7D43" w:rsidSect="006961AE">
          <w:headerReference w:type="default" r:id="rId9"/>
          <w:endnotePr>
            <w:numFmt w:val="decimal"/>
          </w:endnotePr>
          <w:pgSz w:w="11907" w:h="16840" w:code="9"/>
          <w:pgMar w:top="562" w:right="1138" w:bottom="720" w:left="1411" w:header="504" w:footer="144" w:gutter="0"/>
          <w:cols w:space="720"/>
          <w:titlePg/>
          <w:docGrid w:linePitch="299"/>
        </w:sectPr>
      </w:pPr>
    </w:p>
    <w:p w14:paraId="5E902DC3" w14:textId="098A1772" w:rsidR="004B7D43" w:rsidRDefault="004B7D43" w:rsidP="006961AE">
      <w:pPr>
        <w:pStyle w:val="Endofdocument"/>
        <w:ind w:left="5530"/>
      </w:pPr>
    </w:p>
    <w:p w14:paraId="59B0BFE3" w14:textId="77777777" w:rsidR="004B7D43" w:rsidRDefault="004B7D43" w:rsidP="004B7D43">
      <w:pPr>
        <w:pStyle w:val="Heading2"/>
      </w:pPr>
      <w:r>
        <w:t>ANNEX</w:t>
      </w:r>
    </w:p>
    <w:p w14:paraId="6CBE5C33" w14:textId="77777777" w:rsidR="004B7D43" w:rsidRDefault="004B7D43" w:rsidP="004B7D43"/>
    <w:p w14:paraId="5DE41094" w14:textId="7D58833E" w:rsidR="004B7D43" w:rsidRPr="00AA5AFC" w:rsidRDefault="004B7D43" w:rsidP="004B7D43">
      <w:pPr>
        <w:rPr>
          <w:rStyle w:val="Hyperlink"/>
        </w:rPr>
      </w:pPr>
      <w:r>
        <w:t xml:space="preserve">Consolidated IPOs Mapping Tables </w:t>
      </w:r>
      <w:r w:rsidR="007F2A63">
        <w:t>for</w:t>
      </w:r>
      <w:r>
        <w:t xml:space="preserve"> ST.61: </w:t>
      </w:r>
      <w:r w:rsidR="00AA5AFC">
        <w:fldChar w:fldCharType="begin"/>
      </w:r>
      <w:r w:rsidR="00AA5AFC">
        <w:instrText xml:space="preserve"> HYPERLINK "https://www.wipo.int/edocs/mdocs/cws/en/cws_9/cws_9_10-annex1.xlsx" </w:instrText>
      </w:r>
      <w:r w:rsidR="00AA5AFC">
        <w:fldChar w:fldCharType="separate"/>
      </w:r>
      <w:r w:rsidR="007F2A63" w:rsidRPr="00AA5AFC">
        <w:rPr>
          <w:rStyle w:val="Hyperlink"/>
        </w:rPr>
        <w:t>cws_9_10-annex1.xlsx</w:t>
      </w:r>
    </w:p>
    <w:p w14:paraId="1B974877" w14:textId="2FA31A9D" w:rsidR="004B7D43" w:rsidRDefault="00AA5AFC" w:rsidP="006961AE">
      <w:pPr>
        <w:pStyle w:val="Endofdocument"/>
        <w:ind w:left="5530"/>
      </w:pPr>
      <w:r>
        <w:rPr>
          <w:rFonts w:eastAsia="SimSun" w:cs="Arial"/>
          <w:sz w:val="22"/>
          <w:lang w:eastAsia="zh-CN"/>
        </w:rPr>
        <w:fldChar w:fldCharType="end"/>
      </w:r>
    </w:p>
    <w:p w14:paraId="52A51578" w14:textId="2235863F" w:rsidR="004B7D43" w:rsidRDefault="004B7D43" w:rsidP="006961AE">
      <w:pPr>
        <w:pStyle w:val="Endofdocument"/>
        <w:ind w:left="5530"/>
      </w:pPr>
    </w:p>
    <w:p w14:paraId="1618C3F5" w14:textId="5AD90865" w:rsidR="004B7D43" w:rsidRDefault="004B7D43" w:rsidP="004B7D43">
      <w:pPr>
        <w:pStyle w:val="Endofdocument"/>
        <w:ind w:left="5530"/>
      </w:pPr>
      <w:r w:rsidRPr="00E212CA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Annex and of document</w:t>
      </w:r>
      <w:r w:rsidRPr="00E212CA">
        <w:rPr>
          <w:rFonts w:cs="Arial"/>
          <w:sz w:val="22"/>
          <w:szCs w:val="22"/>
        </w:rPr>
        <w:t>]</w:t>
      </w:r>
      <w:r w:rsidRPr="00E212CA">
        <w:t xml:space="preserve"> </w:t>
      </w:r>
    </w:p>
    <w:p w14:paraId="7A6BD6B4" w14:textId="77777777" w:rsidR="004B7D43" w:rsidRDefault="004B7D43" w:rsidP="006961AE">
      <w:pPr>
        <w:pStyle w:val="Endofdocument"/>
        <w:ind w:left="5530"/>
      </w:pPr>
    </w:p>
    <w:sectPr w:rsidR="004B7D43" w:rsidSect="006961AE">
      <w:headerReference w:type="first" r:id="rId10"/>
      <w:endnotePr>
        <w:numFmt w:val="decimal"/>
      </w:endnotePr>
      <w:pgSz w:w="11907" w:h="16840" w:code="9"/>
      <w:pgMar w:top="562" w:right="1138" w:bottom="720" w:left="1411" w:header="504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3566" w14:textId="77777777" w:rsidR="00CC1BD4" w:rsidRDefault="00CC1BD4">
      <w:r>
        <w:separator/>
      </w:r>
    </w:p>
  </w:endnote>
  <w:endnote w:type="continuationSeparator" w:id="0">
    <w:p w14:paraId="7B8F4236" w14:textId="77777777" w:rsidR="00CC1BD4" w:rsidRDefault="00CC1BD4" w:rsidP="003B38C1">
      <w:r>
        <w:separator/>
      </w:r>
    </w:p>
    <w:p w14:paraId="41EBFECA" w14:textId="77777777" w:rsidR="00CC1BD4" w:rsidRPr="003B38C1" w:rsidRDefault="00CC1B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2A6466" w14:textId="77777777" w:rsidR="00CC1BD4" w:rsidRPr="003B38C1" w:rsidRDefault="00CC1B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707B" w14:textId="77777777" w:rsidR="00CC1BD4" w:rsidRDefault="00CC1BD4">
      <w:r>
        <w:separator/>
      </w:r>
    </w:p>
  </w:footnote>
  <w:footnote w:type="continuationSeparator" w:id="0">
    <w:p w14:paraId="08F37AAD" w14:textId="77777777" w:rsidR="00CC1BD4" w:rsidRDefault="00CC1BD4" w:rsidP="008B60B2">
      <w:r>
        <w:separator/>
      </w:r>
    </w:p>
    <w:p w14:paraId="7FB60607" w14:textId="77777777" w:rsidR="00CC1BD4" w:rsidRPr="00ED77FB" w:rsidRDefault="00CC1B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4DAE05D" w14:textId="77777777" w:rsidR="00CC1BD4" w:rsidRPr="00ED77FB" w:rsidRDefault="00CC1B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B5D7" w14:textId="5C0738C6" w:rsidR="00D07C78" w:rsidRPr="002326AB" w:rsidRDefault="00D5511C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E250DB">
      <w:rPr>
        <w:caps/>
      </w:rPr>
      <w:t>WS/9/1</w:t>
    </w:r>
    <w:r w:rsidR="00E250DB" w:rsidRPr="00113FB2">
      <w:t>0</w:t>
    </w:r>
    <w:r w:rsidR="00113FB2" w:rsidRPr="00113FB2">
      <w:t xml:space="preserve"> Rev.</w:t>
    </w:r>
  </w:p>
  <w:p w14:paraId="04D2D426" w14:textId="633ADF94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40E4C">
      <w:rPr>
        <w:noProof/>
      </w:rPr>
      <w:t>2</w:t>
    </w:r>
    <w:r>
      <w:fldChar w:fldCharType="end"/>
    </w:r>
  </w:p>
  <w:p w14:paraId="27215D85" w14:textId="77777777" w:rsidR="00D07C78" w:rsidRDefault="00D07C78" w:rsidP="00477D6B">
    <w:pPr>
      <w:jc w:val="right"/>
    </w:pPr>
  </w:p>
  <w:p w14:paraId="460D7522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7D5C" w14:textId="5F0DA0F6" w:rsidR="004B7D43" w:rsidRPr="002326AB" w:rsidRDefault="004B7D43" w:rsidP="004B7D43">
    <w:pPr>
      <w:jc w:val="right"/>
      <w:rPr>
        <w:caps/>
      </w:rPr>
    </w:pPr>
    <w:r>
      <w:rPr>
        <w:caps/>
      </w:rPr>
      <w:t>CWS/9/</w:t>
    </w:r>
    <w:r w:rsidRPr="00113FB2">
      <w:t>10</w:t>
    </w:r>
    <w:r w:rsidR="00113FB2" w:rsidRPr="00113FB2">
      <w:t xml:space="preserve"> Rev.</w:t>
    </w:r>
  </w:p>
  <w:p w14:paraId="41E8F7BB" w14:textId="3F619753" w:rsidR="004B7D43" w:rsidRDefault="004B7D43" w:rsidP="004B7D43">
    <w:pPr>
      <w:jc w:val="right"/>
    </w:pPr>
    <w:r>
      <w:t>ANNEX</w:t>
    </w:r>
  </w:p>
  <w:p w14:paraId="21749B73" w14:textId="77777777" w:rsidR="004B7D43" w:rsidRDefault="004B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1C"/>
    <w:rsid w:val="000231A7"/>
    <w:rsid w:val="00043CAA"/>
    <w:rsid w:val="00056816"/>
    <w:rsid w:val="00061165"/>
    <w:rsid w:val="00075432"/>
    <w:rsid w:val="000968ED"/>
    <w:rsid w:val="000A3D97"/>
    <w:rsid w:val="000E6E74"/>
    <w:rsid w:val="000F2764"/>
    <w:rsid w:val="000F5E56"/>
    <w:rsid w:val="00113FB2"/>
    <w:rsid w:val="001343C2"/>
    <w:rsid w:val="001362EE"/>
    <w:rsid w:val="001647D5"/>
    <w:rsid w:val="001832A6"/>
    <w:rsid w:val="001A3C78"/>
    <w:rsid w:val="001A6557"/>
    <w:rsid w:val="001D4107"/>
    <w:rsid w:val="001F0CF0"/>
    <w:rsid w:val="00203D24"/>
    <w:rsid w:val="0021217E"/>
    <w:rsid w:val="00230AF1"/>
    <w:rsid w:val="002326AB"/>
    <w:rsid w:val="00243430"/>
    <w:rsid w:val="002634C4"/>
    <w:rsid w:val="002928D3"/>
    <w:rsid w:val="002F1FE6"/>
    <w:rsid w:val="002F4E68"/>
    <w:rsid w:val="00304769"/>
    <w:rsid w:val="00312F7F"/>
    <w:rsid w:val="00340E4C"/>
    <w:rsid w:val="00361450"/>
    <w:rsid w:val="003673CF"/>
    <w:rsid w:val="003739AC"/>
    <w:rsid w:val="0037584F"/>
    <w:rsid w:val="003845C1"/>
    <w:rsid w:val="003A6F89"/>
    <w:rsid w:val="003B38C1"/>
    <w:rsid w:val="003C34E9"/>
    <w:rsid w:val="003C4CCB"/>
    <w:rsid w:val="00423E3E"/>
    <w:rsid w:val="00427AF4"/>
    <w:rsid w:val="004647DA"/>
    <w:rsid w:val="00474062"/>
    <w:rsid w:val="00477D6B"/>
    <w:rsid w:val="00492D54"/>
    <w:rsid w:val="004B7D43"/>
    <w:rsid w:val="005019FF"/>
    <w:rsid w:val="0053057A"/>
    <w:rsid w:val="005307DC"/>
    <w:rsid w:val="00556076"/>
    <w:rsid w:val="00560A29"/>
    <w:rsid w:val="00560FD0"/>
    <w:rsid w:val="005C6649"/>
    <w:rsid w:val="005D61FB"/>
    <w:rsid w:val="00605827"/>
    <w:rsid w:val="0061022C"/>
    <w:rsid w:val="00611FD6"/>
    <w:rsid w:val="00646050"/>
    <w:rsid w:val="006713CA"/>
    <w:rsid w:val="00676C5C"/>
    <w:rsid w:val="006961AE"/>
    <w:rsid w:val="006E39B7"/>
    <w:rsid w:val="00705299"/>
    <w:rsid w:val="00720EFD"/>
    <w:rsid w:val="00725CA0"/>
    <w:rsid w:val="00741EF0"/>
    <w:rsid w:val="0074717D"/>
    <w:rsid w:val="00766789"/>
    <w:rsid w:val="00767965"/>
    <w:rsid w:val="007854AF"/>
    <w:rsid w:val="00793A7C"/>
    <w:rsid w:val="007A398A"/>
    <w:rsid w:val="007D1613"/>
    <w:rsid w:val="007E4C0E"/>
    <w:rsid w:val="007F2A63"/>
    <w:rsid w:val="00846CF6"/>
    <w:rsid w:val="00881B9F"/>
    <w:rsid w:val="008A134B"/>
    <w:rsid w:val="008B2CC1"/>
    <w:rsid w:val="008B60B2"/>
    <w:rsid w:val="008D182F"/>
    <w:rsid w:val="0090731E"/>
    <w:rsid w:val="00916EE2"/>
    <w:rsid w:val="00966A22"/>
    <w:rsid w:val="0096722F"/>
    <w:rsid w:val="00973EB7"/>
    <w:rsid w:val="00980843"/>
    <w:rsid w:val="009D2A73"/>
    <w:rsid w:val="009E2791"/>
    <w:rsid w:val="009E3F6F"/>
    <w:rsid w:val="009F499F"/>
    <w:rsid w:val="00A37342"/>
    <w:rsid w:val="00A42DAF"/>
    <w:rsid w:val="00A45050"/>
    <w:rsid w:val="00A45BD8"/>
    <w:rsid w:val="00A605AE"/>
    <w:rsid w:val="00A869B7"/>
    <w:rsid w:val="00A90F0A"/>
    <w:rsid w:val="00AA5AFC"/>
    <w:rsid w:val="00AC205C"/>
    <w:rsid w:val="00AF0A6B"/>
    <w:rsid w:val="00B05A69"/>
    <w:rsid w:val="00B355B6"/>
    <w:rsid w:val="00B75281"/>
    <w:rsid w:val="00B92F1F"/>
    <w:rsid w:val="00B96641"/>
    <w:rsid w:val="00B9734B"/>
    <w:rsid w:val="00BA30E2"/>
    <w:rsid w:val="00BA5621"/>
    <w:rsid w:val="00BA6067"/>
    <w:rsid w:val="00C00901"/>
    <w:rsid w:val="00C11BFE"/>
    <w:rsid w:val="00C421D8"/>
    <w:rsid w:val="00C5068F"/>
    <w:rsid w:val="00C82514"/>
    <w:rsid w:val="00C86D74"/>
    <w:rsid w:val="00CC1BD4"/>
    <w:rsid w:val="00CD04F1"/>
    <w:rsid w:val="00CF681A"/>
    <w:rsid w:val="00D07C78"/>
    <w:rsid w:val="00D45252"/>
    <w:rsid w:val="00D46D0B"/>
    <w:rsid w:val="00D5511C"/>
    <w:rsid w:val="00D71B4D"/>
    <w:rsid w:val="00D93D55"/>
    <w:rsid w:val="00DD7B7F"/>
    <w:rsid w:val="00E127EC"/>
    <w:rsid w:val="00E15015"/>
    <w:rsid w:val="00E212CA"/>
    <w:rsid w:val="00E250DB"/>
    <w:rsid w:val="00E335FE"/>
    <w:rsid w:val="00E45755"/>
    <w:rsid w:val="00E55A68"/>
    <w:rsid w:val="00EA0763"/>
    <w:rsid w:val="00EA7D6E"/>
    <w:rsid w:val="00EB2F76"/>
    <w:rsid w:val="00EC4E49"/>
    <w:rsid w:val="00ED6798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4445A"/>
  <w15:docId w15:val="{0F179DDF-E96B-49DE-B034-37708AD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5511C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D5511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1"/>
    <w:qFormat/>
    <w:rsid w:val="00D5511C"/>
    <w:pPr>
      <w:ind w:left="567"/>
    </w:pPr>
  </w:style>
  <w:style w:type="character" w:styleId="CommentReference">
    <w:name w:val="annotation reference"/>
    <w:basedOn w:val="DefaultParagraphFont"/>
    <w:semiHidden/>
    <w:unhideWhenUsed/>
    <w:rsid w:val="005D61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61F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61F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D61FB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D61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61FB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E21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FBED-48C9-4F5C-BED3-E6B43EA1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CWS/9/10 Rev.</vt:lpstr>
    </vt:vector>
  </TitlesOfParts>
  <Company>WIPO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CWS/9/10 Rev.</dc:title>
  <dc:subject>Report on the implementation plans of WIPO Standard ST.61</dc:subject>
  <dc:creator>WIPO</dc:creator>
  <cp:keywords>FOR OFFICIAL USE ONLY</cp:keywords>
  <cp:lastModifiedBy>CHAVAS Louison</cp:lastModifiedBy>
  <cp:revision>2</cp:revision>
  <cp:lastPrinted>2021-09-10T07:04:00Z</cp:lastPrinted>
  <dcterms:created xsi:type="dcterms:W3CDTF">2021-10-06T08:48:00Z</dcterms:created>
  <dcterms:modified xsi:type="dcterms:W3CDTF">2021-10-06T08:48:00Z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155ad013-da6d-4839-87df-943ede3cb503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