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82484" w:rsidP="00916EE2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82484" w:rsidP="007824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861DA6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9849FB">
              <w:rPr>
                <w:rFonts w:ascii="Arial Black" w:hAnsi="Arial Black"/>
                <w:caps/>
                <w:sz w:val="15"/>
              </w:rPr>
              <w:t xml:space="preserve"> </w:t>
            </w:r>
            <w:r w:rsidR="00861DA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658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9849FB">
              <w:rPr>
                <w:rFonts w:ascii="Arial Black" w:hAnsi="Arial Black"/>
                <w:caps/>
                <w:sz w:val="15"/>
              </w:rPr>
              <w:t xml:space="preserve"> </w:t>
            </w:r>
            <w:r w:rsidR="00861DA6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565879">
              <w:rPr>
                <w:rFonts w:ascii="Arial Black" w:hAnsi="Arial Black"/>
                <w:caps/>
                <w:sz w:val="15"/>
              </w:rPr>
              <w:t>25</w:t>
            </w:r>
            <w:r w:rsidR="00861DA6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8248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8B2CC1" w:rsidRPr="003845C1" w:rsidRDefault="0078248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Reconvened Fourth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78248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March 21 to 24,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61DA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INFORMATION ON THE ENTRY INTO NATIONAL (REGIONAL) PHASE OF PUBLISHED PCT INTERNATIONAL APPLICATIONS</w:t>
      </w:r>
    </w:p>
    <w:p w:rsidR="008B2CC1" w:rsidRPr="008B2CC1" w:rsidRDefault="008B2CC1" w:rsidP="008B2CC1"/>
    <w:p w:rsidR="008B2CC1" w:rsidRPr="008B2CC1" w:rsidRDefault="00861DA6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 w:rsidP="009728F3"/>
    <w:p w:rsidR="002928D3" w:rsidRDefault="002928D3" w:rsidP="0053057A"/>
    <w:p w:rsidR="002928D3" w:rsidRDefault="002928D3"/>
    <w:p w:rsidR="00861DA6" w:rsidRPr="00F860DC" w:rsidRDefault="00861DA6" w:rsidP="00861DA6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t>The Committee on WIPO Standards (CWS), according to</w:t>
      </w:r>
      <w:r>
        <w:rPr>
          <w:snapToGrid w:val="0"/>
        </w:rPr>
        <w:t xml:space="preserve"> Task No. 23,</w:t>
      </w:r>
      <w:r>
        <w:t xml:space="preserve"> monitors</w:t>
      </w:r>
      <w:r>
        <w:rPr>
          <w:snapToGrid w:val="0"/>
        </w:rPr>
        <w:t xml:space="preserve"> “</w:t>
      </w:r>
      <w:r>
        <w:t>the inclusion, in databases, of information about the entry, and, where applicable, the non-entry into the national (regional) phase of published PCT international applications”.</w:t>
      </w:r>
      <w:r w:rsidRPr="00507725">
        <w:t xml:space="preserve"> </w:t>
      </w:r>
      <w:r>
        <w:t xml:space="preserve"> The International Bureau should report at meetings of the CWS every second year on the progress of the said Task.  (See document CWS/3/12 and paragraph 73 of CWS/3/14).</w:t>
      </w:r>
    </w:p>
    <w:p w:rsidR="00861DA6" w:rsidRPr="00C11CD3" w:rsidRDefault="00861DA6" w:rsidP="00861DA6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The CWS </w:t>
      </w:r>
      <w:r>
        <w:rPr>
          <w:snapToGrid w:val="0"/>
        </w:rPr>
        <w:t xml:space="preserve">considered the status reports concerning the above-mentioned Task prepared by </w:t>
      </w:r>
      <w:r>
        <w:t>t</w:t>
      </w:r>
      <w:r>
        <w:rPr>
          <w:snapToGrid w:val="0"/>
        </w:rPr>
        <w:t xml:space="preserve">he </w:t>
      </w:r>
      <w:r>
        <w:t>European Patent Office</w:t>
      </w:r>
      <w:r>
        <w:rPr>
          <w:snapToGrid w:val="0"/>
        </w:rPr>
        <w:t xml:space="preserve"> (EPO) and the International Bureau </w:t>
      </w:r>
      <w:r>
        <w:t>a</w:t>
      </w:r>
      <w:r>
        <w:rPr>
          <w:snapToGrid w:val="0"/>
        </w:rPr>
        <w:t xml:space="preserve">t its second session in April/May 2012.  </w:t>
      </w:r>
      <w:r>
        <w:t>(See document CWS/2/9 and paragraphs 45 to 47 of document CWS/2/14).</w:t>
      </w:r>
    </w:p>
    <w:p w:rsidR="00861DA6" w:rsidRPr="00982A48" w:rsidRDefault="00861DA6" w:rsidP="00565879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t xml:space="preserve">As a follow-up to </w:t>
      </w:r>
      <w:r w:rsidRPr="00982A48">
        <w:rPr>
          <w:snapToGrid w:val="0"/>
        </w:rPr>
        <w:t>the above</w:t>
      </w:r>
      <w:r>
        <w:t xml:space="preserve">, the Secretariat invited both </w:t>
      </w:r>
      <w:r w:rsidRPr="00982A48">
        <w:rPr>
          <w:snapToGrid w:val="0"/>
        </w:rPr>
        <w:t xml:space="preserve">the International Bureau and the </w:t>
      </w:r>
      <w:r>
        <w:t>EPO to prepare their corresponding status reports on the progress made with regard to Task No. 23 since the second session of the CWS</w:t>
      </w:r>
      <w:r w:rsidRPr="00982A48">
        <w:rPr>
          <w:snapToGrid w:val="0"/>
        </w:rPr>
        <w:t>.  The status reports were presented for consideration by the CWS at its fourth session held in May 2014 (see document</w:t>
      </w:r>
      <w:r w:rsidR="00565879">
        <w:rPr>
          <w:snapToGrid w:val="0"/>
        </w:rPr>
        <w:t> </w:t>
      </w:r>
      <w:r w:rsidRPr="00982A48">
        <w:rPr>
          <w:snapToGrid w:val="0"/>
        </w:rPr>
        <w:t>CWS/4/12).</w:t>
      </w:r>
      <w:r>
        <w:rPr>
          <w:snapToGrid w:val="0"/>
        </w:rPr>
        <w:t xml:space="preserve"> </w:t>
      </w:r>
      <w:r>
        <w:t xml:space="preserve">Annex I to </w:t>
      </w:r>
      <w:r w:rsidRPr="00982A48">
        <w:rPr>
          <w:snapToGrid w:val="0"/>
        </w:rPr>
        <w:t>document CWS/4/12</w:t>
      </w:r>
      <w:r>
        <w:t>, including the Appendices</w:t>
      </w:r>
      <w:r w:rsidRPr="00B537E9">
        <w:t xml:space="preserve"> thereto,</w:t>
      </w:r>
      <w:r>
        <w:t xml:space="preserve"> contains said status report by the EPO and Annex II, the report by the International Bureau.  The updates of said reports, covering the period since </w:t>
      </w:r>
      <w:r w:rsidR="00565879">
        <w:t>May 2014, are provided in Annex I and Annex </w:t>
      </w:r>
      <w:r>
        <w:t xml:space="preserve">II, </w:t>
      </w:r>
      <w:r w:rsidRPr="00982A48">
        <w:t>respectively</w:t>
      </w:r>
      <w:r>
        <w:t>, to the present document.</w:t>
      </w:r>
    </w:p>
    <w:p w:rsidR="00861DA6" w:rsidRDefault="00861DA6">
      <w:r>
        <w:br w:type="page"/>
      </w:r>
    </w:p>
    <w:p w:rsidR="00861DA6" w:rsidRPr="00982A48" w:rsidRDefault="00861DA6" w:rsidP="00565879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lastRenderedPageBreak/>
        <w:t xml:space="preserve">In April 2014, the Patent Documentation Group (PDG) sent a letter to the International Bureau pointing out its concerns with respect to the delivery of legal status data regarding PCT international applications entering the national or regional phase. </w:t>
      </w:r>
      <w:r w:rsidR="009849FB">
        <w:t xml:space="preserve"> </w:t>
      </w:r>
      <w:r>
        <w:t xml:space="preserve">The letter is reproduced as the Annex to </w:t>
      </w:r>
      <w:r>
        <w:rPr>
          <w:snapToGrid w:val="0"/>
        </w:rPr>
        <w:t>document</w:t>
      </w:r>
      <w:r w:rsidR="00565879">
        <w:rPr>
          <w:snapToGrid w:val="0"/>
        </w:rPr>
        <w:t> </w:t>
      </w:r>
      <w:r>
        <w:rPr>
          <w:snapToGrid w:val="0"/>
        </w:rPr>
        <w:t>CWS/4/12 ADD.</w:t>
      </w:r>
    </w:p>
    <w:p w:rsidR="00861DA6" w:rsidRPr="00861DA6" w:rsidRDefault="00861DA6" w:rsidP="00861DA6">
      <w:pPr>
        <w:pStyle w:val="ONUME"/>
        <w:numPr>
          <w:ilvl w:val="0"/>
          <w:numId w:val="7"/>
        </w:numPr>
        <w:tabs>
          <w:tab w:val="num" w:pos="6101"/>
        </w:tabs>
        <w:ind w:left="5533"/>
        <w:rPr>
          <w:rStyle w:val="H3-DecisionChar"/>
          <w:sz w:val="22"/>
          <w:szCs w:val="22"/>
        </w:rPr>
      </w:pPr>
      <w:r w:rsidRPr="00861DA6">
        <w:rPr>
          <w:rStyle w:val="H3-DecisionChar"/>
          <w:sz w:val="22"/>
          <w:szCs w:val="22"/>
        </w:rPr>
        <w:t>The CWS is invited to:</w:t>
      </w:r>
    </w:p>
    <w:p w:rsidR="00861DA6" w:rsidRPr="00861DA6" w:rsidRDefault="00861DA6" w:rsidP="00565879">
      <w:pPr>
        <w:pStyle w:val="ONUME"/>
        <w:numPr>
          <w:ilvl w:val="1"/>
          <w:numId w:val="7"/>
        </w:numPr>
        <w:tabs>
          <w:tab w:val="num" w:pos="6101"/>
        </w:tabs>
        <w:ind w:left="5533" w:right="283"/>
        <w:rPr>
          <w:i/>
          <w:szCs w:val="22"/>
        </w:rPr>
      </w:pPr>
      <w:r w:rsidRPr="00861DA6">
        <w:rPr>
          <w:i/>
          <w:szCs w:val="22"/>
        </w:rPr>
        <w:t>note the contents of the status reports by the EPO and the International Bureau on Task No. 23 reproduced as Annexes I and II, respectively, to this document, and reproduced as Annexes</w:t>
      </w:r>
      <w:r w:rsidR="00565879">
        <w:rPr>
          <w:i/>
          <w:szCs w:val="22"/>
        </w:rPr>
        <w:t> </w:t>
      </w:r>
      <w:r w:rsidRPr="00861DA6">
        <w:rPr>
          <w:i/>
          <w:szCs w:val="22"/>
        </w:rPr>
        <w:t>I and</w:t>
      </w:r>
      <w:r w:rsidR="00565879">
        <w:rPr>
          <w:i/>
          <w:szCs w:val="22"/>
        </w:rPr>
        <w:t> </w:t>
      </w:r>
      <w:r w:rsidRPr="00861DA6">
        <w:rPr>
          <w:i/>
          <w:szCs w:val="22"/>
        </w:rPr>
        <w:t xml:space="preserve">II, respectively, to </w:t>
      </w:r>
      <w:proofErr w:type="spellStart"/>
      <w:r w:rsidRPr="00861DA6">
        <w:rPr>
          <w:i/>
          <w:snapToGrid w:val="0"/>
        </w:rPr>
        <w:t>documentCWS</w:t>
      </w:r>
      <w:proofErr w:type="spellEnd"/>
      <w:r w:rsidRPr="00861DA6">
        <w:rPr>
          <w:i/>
          <w:snapToGrid w:val="0"/>
        </w:rPr>
        <w:t>/4/12</w:t>
      </w:r>
      <w:r w:rsidRPr="00861DA6">
        <w:rPr>
          <w:i/>
          <w:szCs w:val="22"/>
        </w:rPr>
        <w:t xml:space="preserve">; </w:t>
      </w:r>
      <w:r>
        <w:rPr>
          <w:i/>
          <w:szCs w:val="22"/>
        </w:rPr>
        <w:t xml:space="preserve"> </w:t>
      </w:r>
      <w:r w:rsidRPr="00861DA6">
        <w:rPr>
          <w:i/>
          <w:szCs w:val="22"/>
        </w:rPr>
        <w:t>and</w:t>
      </w:r>
    </w:p>
    <w:p w:rsidR="00861DA6" w:rsidRPr="00861DA6" w:rsidRDefault="00861DA6" w:rsidP="00565879">
      <w:pPr>
        <w:pStyle w:val="ONUME"/>
        <w:numPr>
          <w:ilvl w:val="1"/>
          <w:numId w:val="7"/>
        </w:numPr>
        <w:tabs>
          <w:tab w:val="num" w:pos="6101"/>
        </w:tabs>
        <w:ind w:left="5533"/>
        <w:rPr>
          <w:i/>
          <w:szCs w:val="22"/>
        </w:rPr>
      </w:pPr>
      <w:proofErr w:type="gramStart"/>
      <w:r w:rsidRPr="00861DA6">
        <w:rPr>
          <w:i/>
        </w:rPr>
        <w:t>note</w:t>
      </w:r>
      <w:proofErr w:type="gramEnd"/>
      <w:r w:rsidRPr="00861DA6">
        <w:rPr>
          <w:i/>
        </w:rPr>
        <w:t xml:space="preserve"> the comments by the PDG reproduced in the Annex to </w:t>
      </w:r>
      <w:r w:rsidRPr="00861DA6">
        <w:rPr>
          <w:i/>
          <w:snapToGrid w:val="0"/>
        </w:rPr>
        <w:t>document</w:t>
      </w:r>
      <w:r w:rsidR="00565879">
        <w:rPr>
          <w:i/>
          <w:snapToGrid w:val="0"/>
        </w:rPr>
        <w:t> </w:t>
      </w:r>
      <w:r w:rsidRPr="00861DA6">
        <w:rPr>
          <w:i/>
          <w:snapToGrid w:val="0"/>
        </w:rPr>
        <w:t>CWS/4/12 ADD</w:t>
      </w:r>
      <w:r w:rsidRPr="00861DA6">
        <w:rPr>
          <w:i/>
        </w:rPr>
        <w:t>.</w:t>
      </w:r>
    </w:p>
    <w:p w:rsidR="00861DA6" w:rsidRPr="00861DA6" w:rsidRDefault="00861DA6" w:rsidP="00861DA6">
      <w:pPr>
        <w:jc w:val="both"/>
        <w:rPr>
          <w:i/>
        </w:rPr>
      </w:pPr>
    </w:p>
    <w:p w:rsidR="00861DA6" w:rsidRPr="00346D19" w:rsidRDefault="00861DA6" w:rsidP="00861DA6">
      <w:pPr>
        <w:jc w:val="both"/>
      </w:pPr>
      <w:bookmarkStart w:id="5" w:name="_GoBack"/>
      <w:bookmarkEnd w:id="5"/>
    </w:p>
    <w:p w:rsidR="00861DA6" w:rsidRDefault="00861DA6" w:rsidP="005E0E7E">
      <w:pPr>
        <w:pStyle w:val="Endofdocument-Annex"/>
      </w:pPr>
      <w:r w:rsidRPr="00470F6C">
        <w:t>[</w:t>
      </w:r>
      <w:r>
        <w:t>Annex</w:t>
      </w:r>
      <w:r w:rsidR="005E0E7E">
        <w:t xml:space="preserve"> I</w:t>
      </w:r>
      <w:r>
        <w:t xml:space="preserve"> follow</w:t>
      </w:r>
      <w:r w:rsidR="005E0E7E">
        <w:t>s</w:t>
      </w:r>
      <w:r w:rsidRPr="00470F6C">
        <w:t>]</w:t>
      </w:r>
    </w:p>
    <w:sectPr w:rsidR="00861DA6" w:rsidSect="00861DA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A6" w:rsidRDefault="00861DA6">
      <w:r>
        <w:separator/>
      </w:r>
    </w:p>
  </w:endnote>
  <w:endnote w:type="continuationSeparator" w:id="0">
    <w:p w:rsidR="00861DA6" w:rsidRDefault="00861DA6" w:rsidP="003B38C1">
      <w:r>
        <w:separator/>
      </w:r>
    </w:p>
    <w:p w:rsidR="00861DA6" w:rsidRPr="003B38C1" w:rsidRDefault="00861D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1DA6" w:rsidRPr="003B38C1" w:rsidRDefault="00861D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A6" w:rsidRDefault="00861DA6">
      <w:r>
        <w:separator/>
      </w:r>
    </w:p>
  </w:footnote>
  <w:footnote w:type="continuationSeparator" w:id="0">
    <w:p w:rsidR="00861DA6" w:rsidRDefault="00861DA6" w:rsidP="008B60B2">
      <w:r>
        <w:separator/>
      </w:r>
    </w:p>
    <w:p w:rsidR="00861DA6" w:rsidRPr="00ED77FB" w:rsidRDefault="00861D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1DA6" w:rsidRPr="00ED77FB" w:rsidRDefault="00861D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1DA6" w:rsidP="00477D6B">
    <w:pPr>
      <w:jc w:val="right"/>
    </w:pPr>
    <w:bookmarkStart w:id="6" w:name="Code2"/>
    <w:bookmarkEnd w:id="6"/>
    <w:r>
      <w:t>CWS/4BIS/7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587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61DA6" w:rsidRDefault="00861DA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A6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65879"/>
    <w:rsid w:val="005C6649"/>
    <w:rsid w:val="005E0E7E"/>
    <w:rsid w:val="00605827"/>
    <w:rsid w:val="00646050"/>
    <w:rsid w:val="006713CA"/>
    <w:rsid w:val="00676C5C"/>
    <w:rsid w:val="00782484"/>
    <w:rsid w:val="007D1613"/>
    <w:rsid w:val="00861DA6"/>
    <w:rsid w:val="008B2CC1"/>
    <w:rsid w:val="008B60B2"/>
    <w:rsid w:val="0090731E"/>
    <w:rsid w:val="00916EE2"/>
    <w:rsid w:val="00966A22"/>
    <w:rsid w:val="0096722F"/>
    <w:rsid w:val="009728F3"/>
    <w:rsid w:val="00980843"/>
    <w:rsid w:val="009849FB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D04F1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18</TotalTime>
  <Pages>2</Pages>
  <Words>369</Words>
  <Characters>1950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(in English)</vt:lpstr>
    </vt:vector>
  </TitlesOfParts>
  <Company>WIPO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(in English)</dc:title>
  <dc:subject>Information on the entry into national (regional) phase of published PCT international applications</dc:subject>
  <dc:creator>WIPO</dc:creator>
  <cp:keywords>CWS</cp:keywords>
  <cp:lastModifiedBy>RODRIGUEZ Geraldine</cp:lastModifiedBy>
  <cp:revision>5</cp:revision>
  <cp:lastPrinted>2016-02-18T16:07:00Z</cp:lastPrinted>
  <dcterms:created xsi:type="dcterms:W3CDTF">2016-02-18T15:59:00Z</dcterms:created>
  <dcterms:modified xsi:type="dcterms:W3CDTF">2016-02-25T14:02:00Z</dcterms:modified>
</cp:coreProperties>
</file>