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86" w:rsidRPr="001920FB" w:rsidRDefault="00511886" w:rsidP="00511886">
      <w:pPr>
        <w:pStyle w:val="Heading1"/>
        <w:spacing w:line="240" w:lineRule="auto"/>
        <w:ind w:left="0" w:right="-287"/>
        <w:rPr>
          <w:rFonts w:cs="Arial"/>
          <w:sz w:val="22"/>
          <w:lang w:eastAsia="zh-CN"/>
        </w:rPr>
      </w:pPr>
      <w:r w:rsidRPr="001920FB">
        <w:rPr>
          <w:rFonts w:cs="Arial"/>
          <w:sz w:val="22"/>
          <w:lang w:eastAsia="zh-CN"/>
        </w:rPr>
        <w:t>Report on the preparation of a new WIPO standard on the presentation of nucleotide and amino acid sequence listings using eXtensible Markup Language (XML)</w:t>
      </w:r>
    </w:p>
    <w:p w:rsidR="00511886" w:rsidRPr="001920FB" w:rsidRDefault="00511886" w:rsidP="00F4719C">
      <w:pPr>
        <w:ind w:left="0"/>
        <w:rPr>
          <w:sz w:val="22"/>
        </w:rPr>
      </w:pPr>
    </w:p>
    <w:p w:rsidR="00511886" w:rsidRPr="001920FB" w:rsidRDefault="00511886" w:rsidP="00511886">
      <w:pPr>
        <w:ind w:left="0"/>
        <w:rPr>
          <w:i/>
          <w:sz w:val="22"/>
          <w:szCs w:val="22"/>
        </w:rPr>
      </w:pPr>
      <w:r w:rsidRPr="001920FB">
        <w:rPr>
          <w:i/>
          <w:sz w:val="22"/>
          <w:szCs w:val="22"/>
        </w:rPr>
        <w:t>Document prepared by the European Patent Office (EPO)</w:t>
      </w:r>
    </w:p>
    <w:p w:rsidR="00511886" w:rsidRPr="001920FB" w:rsidRDefault="00511886" w:rsidP="00F4719C">
      <w:pPr>
        <w:ind w:left="0"/>
        <w:rPr>
          <w:sz w:val="22"/>
          <w:szCs w:val="22"/>
        </w:rPr>
      </w:pPr>
    </w:p>
    <w:p w:rsidR="00511886" w:rsidRPr="001920FB" w:rsidRDefault="00511886" w:rsidP="00511886">
      <w:pPr>
        <w:pStyle w:val="Heading2"/>
        <w:ind w:left="0"/>
        <w:rPr>
          <w:sz w:val="22"/>
          <w:szCs w:val="22"/>
        </w:rPr>
      </w:pPr>
      <w:r w:rsidRPr="001920FB">
        <w:rPr>
          <w:sz w:val="22"/>
          <w:szCs w:val="22"/>
        </w:rPr>
        <w:t>BACKGROUND</w:t>
      </w:r>
    </w:p>
    <w:p w:rsidR="00511886" w:rsidRPr="00511886" w:rsidRDefault="00511886" w:rsidP="00511886">
      <w:pPr>
        <w:pStyle w:val="ONUME"/>
        <w:rPr>
          <w:rFonts w:eastAsia="SimSun"/>
          <w:sz w:val="22"/>
          <w:lang w:eastAsia="zh-CN"/>
        </w:rPr>
      </w:pPr>
      <w:r w:rsidRPr="00511886">
        <w:rPr>
          <w:rFonts w:eastAsia="SimSun"/>
          <w:sz w:val="22"/>
          <w:lang w:eastAsia="zh-CN"/>
        </w:rPr>
        <w:t>The Task Force on Sequence Listings was created by the Committee on WIPO Standards (CWS), at its first session (October 25 to 29, 2010), to deal with Task No.</w:t>
      </w:r>
      <w:r w:rsidR="00F4719C">
        <w:rPr>
          <w:rFonts w:eastAsia="SimSun"/>
          <w:sz w:val="22"/>
          <w:lang w:eastAsia="zh-CN"/>
        </w:rPr>
        <w:t> </w:t>
      </w:r>
      <w:r w:rsidRPr="00511886">
        <w:rPr>
          <w:rFonts w:eastAsia="SimSun"/>
          <w:sz w:val="22"/>
          <w:lang w:eastAsia="zh-CN"/>
        </w:rPr>
        <w:t>44 (see paragraph 29 of document</w:t>
      </w:r>
      <w:r w:rsidR="00F4719C">
        <w:rPr>
          <w:rFonts w:eastAsia="SimSun"/>
          <w:sz w:val="22"/>
          <w:lang w:eastAsia="zh-CN"/>
        </w:rPr>
        <w:t> </w:t>
      </w:r>
      <w:r w:rsidRPr="00511886">
        <w:rPr>
          <w:rFonts w:eastAsia="SimSun"/>
          <w:sz w:val="22"/>
          <w:lang w:eastAsia="zh-CN"/>
        </w:rPr>
        <w:t>CWS/1/10):</w:t>
      </w:r>
    </w:p>
    <w:p w:rsidR="00511886" w:rsidRPr="0092251A" w:rsidRDefault="00511886" w:rsidP="0092251A">
      <w:pPr>
        <w:pStyle w:val="ONUME"/>
        <w:numPr>
          <w:ilvl w:val="0"/>
          <w:numId w:val="0"/>
        </w:numPr>
        <w:spacing w:line="240" w:lineRule="auto"/>
        <w:ind w:left="567"/>
        <w:rPr>
          <w:sz w:val="22"/>
          <w:szCs w:val="22"/>
        </w:rPr>
      </w:pPr>
      <w:r w:rsidRPr="0092251A">
        <w:rPr>
          <w:sz w:val="22"/>
          <w:szCs w:val="22"/>
        </w:rPr>
        <w:t xml:space="preserve">“Prepare a recommendation on the presentation of nucleotide and amino acid sequence listings based on </w:t>
      </w:r>
      <w:proofErr w:type="spellStart"/>
      <w:r w:rsidRPr="0092251A">
        <w:rPr>
          <w:sz w:val="22"/>
          <w:szCs w:val="22"/>
        </w:rPr>
        <w:t>eXtensible</w:t>
      </w:r>
      <w:proofErr w:type="spellEnd"/>
      <w:r w:rsidRPr="0092251A">
        <w:rPr>
          <w:sz w:val="22"/>
          <w:szCs w:val="22"/>
        </w:rPr>
        <w:t xml:space="preserve"> Markup Language (XML) for adoption as a WIPO standard.  The proposal of the new WIPO standard should be presented along with a report on the impact of the said standard on the current WIPO Standard</w:t>
      </w:r>
      <w:r w:rsidR="00F4719C">
        <w:rPr>
          <w:sz w:val="22"/>
          <w:szCs w:val="22"/>
        </w:rPr>
        <w:t> </w:t>
      </w:r>
      <w:r w:rsidRPr="0092251A">
        <w:rPr>
          <w:sz w:val="22"/>
          <w:szCs w:val="22"/>
        </w:rPr>
        <w:t>ST.25, including the proposed necessary changes to Standard</w:t>
      </w:r>
      <w:r w:rsidR="00F4719C">
        <w:rPr>
          <w:sz w:val="22"/>
          <w:szCs w:val="22"/>
        </w:rPr>
        <w:t> </w:t>
      </w:r>
      <w:r w:rsidRPr="0092251A">
        <w:rPr>
          <w:sz w:val="22"/>
          <w:szCs w:val="22"/>
        </w:rPr>
        <w:t>ST.25.”</w:t>
      </w:r>
    </w:p>
    <w:p w:rsidR="00511886" w:rsidRPr="00511886" w:rsidRDefault="00511886" w:rsidP="00511886">
      <w:pPr>
        <w:pStyle w:val="ONUME"/>
        <w:rPr>
          <w:rFonts w:eastAsia="SimSun"/>
          <w:sz w:val="22"/>
          <w:lang w:eastAsia="zh-CN"/>
        </w:rPr>
      </w:pPr>
      <w:r w:rsidRPr="00511886">
        <w:rPr>
          <w:rFonts w:eastAsia="SimSun"/>
          <w:sz w:val="22"/>
          <w:lang w:eastAsia="zh-CN"/>
        </w:rPr>
        <w:t>The Task Force was also requested:</w:t>
      </w:r>
    </w:p>
    <w:p w:rsidR="00511886" w:rsidRPr="00511886" w:rsidRDefault="00511886" w:rsidP="0092251A">
      <w:pPr>
        <w:pStyle w:val="ONUME"/>
        <w:numPr>
          <w:ilvl w:val="0"/>
          <w:numId w:val="0"/>
        </w:numPr>
        <w:spacing w:line="240" w:lineRule="auto"/>
        <w:ind w:left="567"/>
        <w:rPr>
          <w:sz w:val="22"/>
        </w:rPr>
      </w:pPr>
      <w:proofErr w:type="gramStart"/>
      <w:r w:rsidRPr="00511886">
        <w:rPr>
          <w:sz w:val="22"/>
        </w:rPr>
        <w:t xml:space="preserve">“To liaise with the </w:t>
      </w:r>
      <w:r w:rsidRPr="0092251A">
        <w:rPr>
          <w:sz w:val="22"/>
          <w:szCs w:val="22"/>
        </w:rPr>
        <w:t>appropriate</w:t>
      </w:r>
      <w:r w:rsidRPr="00511886">
        <w:rPr>
          <w:sz w:val="22"/>
        </w:rPr>
        <w:t xml:space="preserve"> PCT body with regard to the possible impact of such standard on Annex</w:t>
      </w:r>
      <w:r w:rsidR="00F4719C">
        <w:rPr>
          <w:sz w:val="22"/>
        </w:rPr>
        <w:t> </w:t>
      </w:r>
      <w:r w:rsidRPr="00511886">
        <w:rPr>
          <w:sz w:val="22"/>
        </w:rPr>
        <w:t>C to the Administrative Instructions under the PCT.”</w:t>
      </w:r>
      <w:proofErr w:type="gramEnd"/>
    </w:p>
    <w:p w:rsidR="00511886" w:rsidRPr="00511886" w:rsidRDefault="00511886" w:rsidP="00511886">
      <w:pPr>
        <w:pStyle w:val="ONUME"/>
        <w:rPr>
          <w:rFonts w:eastAsia="SimSun"/>
          <w:sz w:val="22"/>
          <w:lang w:eastAsia="zh-CN"/>
        </w:rPr>
      </w:pPr>
      <w:r w:rsidRPr="00511886">
        <w:rPr>
          <w:rFonts w:eastAsia="SimSun"/>
          <w:sz w:val="22"/>
          <w:lang w:eastAsia="zh-CN"/>
        </w:rPr>
        <w:t xml:space="preserve">The European Patent Office (EPO) was assigned the role of Task Force Leader and has since then held six rounds of discussions on WIPO's </w:t>
      </w:r>
      <w:r w:rsidR="00E73A77">
        <w:rPr>
          <w:rFonts w:eastAsia="SimSun"/>
          <w:sz w:val="22"/>
          <w:lang w:eastAsia="zh-CN"/>
        </w:rPr>
        <w:t>W</w:t>
      </w:r>
      <w:r w:rsidRPr="00511886">
        <w:rPr>
          <w:rFonts w:eastAsia="SimSun"/>
          <w:sz w:val="22"/>
          <w:lang w:eastAsia="zh-CN"/>
        </w:rPr>
        <w:t>iki and submitted a final draft for public consultation.  The principle of differentiating the technical aspects of ST.25 from Annex</w:t>
      </w:r>
      <w:r w:rsidR="00F4719C">
        <w:rPr>
          <w:rFonts w:eastAsia="SimSun"/>
          <w:sz w:val="22"/>
          <w:lang w:eastAsia="zh-CN"/>
        </w:rPr>
        <w:t> </w:t>
      </w:r>
      <w:r w:rsidRPr="00511886">
        <w:rPr>
          <w:rFonts w:eastAsia="SimSun"/>
          <w:sz w:val="22"/>
          <w:lang w:eastAsia="zh-CN"/>
        </w:rPr>
        <w:t>C (PCT Administrative Instructions) was agreed upon at the eighteenth session Meeting of International Authorities in February</w:t>
      </w:r>
      <w:r w:rsidR="00F4719C">
        <w:rPr>
          <w:rFonts w:eastAsia="SimSun"/>
          <w:sz w:val="22"/>
          <w:lang w:eastAsia="zh-CN"/>
        </w:rPr>
        <w:t> </w:t>
      </w:r>
      <w:r w:rsidRPr="00511886">
        <w:rPr>
          <w:rFonts w:eastAsia="SimSun"/>
          <w:sz w:val="22"/>
          <w:lang w:eastAsia="zh-CN"/>
        </w:rPr>
        <w:t>2011 (see paragraphs 88 to 92 of document</w:t>
      </w:r>
      <w:proofErr w:type="gramStart"/>
      <w:r w:rsidR="00F4719C">
        <w:rPr>
          <w:rFonts w:eastAsia="SimSun"/>
          <w:sz w:val="22"/>
          <w:lang w:eastAsia="zh-CN"/>
        </w:rPr>
        <w:t> </w:t>
      </w:r>
      <w:r w:rsidRPr="00511886">
        <w:rPr>
          <w:rFonts w:eastAsia="SimSun"/>
          <w:sz w:val="22"/>
          <w:lang w:eastAsia="zh-CN"/>
        </w:rPr>
        <w:t xml:space="preserve"> PCT</w:t>
      </w:r>
      <w:proofErr w:type="gramEnd"/>
      <w:r w:rsidRPr="00511886">
        <w:rPr>
          <w:rFonts w:eastAsia="SimSun"/>
          <w:sz w:val="22"/>
          <w:lang w:eastAsia="zh-CN"/>
        </w:rPr>
        <w:t>/MIA/18/16) and at the fourth session of the PCT Working Group in June</w:t>
      </w:r>
      <w:r w:rsidR="00F4719C">
        <w:rPr>
          <w:rFonts w:eastAsia="SimSun"/>
          <w:sz w:val="22"/>
          <w:lang w:eastAsia="zh-CN"/>
        </w:rPr>
        <w:t> </w:t>
      </w:r>
      <w:r w:rsidRPr="00511886">
        <w:rPr>
          <w:rFonts w:eastAsia="SimSun"/>
          <w:sz w:val="22"/>
          <w:lang w:eastAsia="zh-CN"/>
        </w:rPr>
        <w:t>2011 (see paragraphs 180 to 188 of document</w:t>
      </w:r>
      <w:r w:rsidR="00F4719C">
        <w:rPr>
          <w:rFonts w:eastAsia="SimSun"/>
          <w:sz w:val="22"/>
          <w:lang w:eastAsia="zh-CN"/>
        </w:rPr>
        <w:t> </w:t>
      </w:r>
      <w:r w:rsidRPr="00511886">
        <w:rPr>
          <w:rFonts w:eastAsia="SimSun"/>
          <w:sz w:val="22"/>
          <w:lang w:eastAsia="zh-CN"/>
        </w:rPr>
        <w:t>PCT/WG/4/17).</w:t>
      </w:r>
    </w:p>
    <w:p w:rsidR="00511886" w:rsidRPr="00511886" w:rsidRDefault="00511886" w:rsidP="00511886">
      <w:pPr>
        <w:pStyle w:val="ONUME"/>
        <w:rPr>
          <w:rFonts w:eastAsia="SimSun"/>
          <w:sz w:val="22"/>
          <w:lang w:eastAsia="zh-CN"/>
        </w:rPr>
      </w:pPr>
      <w:r w:rsidRPr="00511886">
        <w:rPr>
          <w:rFonts w:eastAsia="SimSun"/>
          <w:sz w:val="22"/>
          <w:lang w:eastAsia="zh-CN"/>
        </w:rPr>
        <w:t xml:space="preserve">On the basis of the comments received from the Task Force members, a final round of discussions was held in order to achieve a common agreement on the Standard requirements. </w:t>
      </w:r>
    </w:p>
    <w:p w:rsidR="00511886" w:rsidRPr="00511886" w:rsidRDefault="00511886" w:rsidP="00511886">
      <w:pPr>
        <w:pStyle w:val="Heading2"/>
        <w:ind w:left="0"/>
        <w:rPr>
          <w:bCs w:val="0"/>
          <w:iCs w:val="0"/>
          <w:sz w:val="22"/>
        </w:rPr>
      </w:pPr>
      <w:r w:rsidRPr="00511886">
        <w:rPr>
          <w:bCs w:val="0"/>
          <w:iCs w:val="0"/>
          <w:sz w:val="22"/>
        </w:rPr>
        <w:t>PROGRESS REPORT</w:t>
      </w:r>
    </w:p>
    <w:p w:rsidR="00511886" w:rsidRPr="00511886" w:rsidRDefault="00511886" w:rsidP="00511886">
      <w:pPr>
        <w:pStyle w:val="ONUME"/>
        <w:rPr>
          <w:rFonts w:eastAsia="SimSun"/>
          <w:sz w:val="22"/>
          <w:lang w:eastAsia="zh-CN"/>
        </w:rPr>
      </w:pPr>
      <w:r w:rsidRPr="00511886">
        <w:rPr>
          <w:rFonts w:eastAsia="SimSun"/>
          <w:sz w:val="22"/>
          <w:lang w:eastAsia="zh-CN"/>
        </w:rPr>
        <w:t>The Task Force started operating in February</w:t>
      </w:r>
      <w:r w:rsidR="00F4719C">
        <w:rPr>
          <w:rFonts w:eastAsia="SimSun"/>
          <w:sz w:val="22"/>
          <w:lang w:eastAsia="zh-CN"/>
        </w:rPr>
        <w:t> </w:t>
      </w:r>
      <w:r w:rsidRPr="00511886">
        <w:rPr>
          <w:rFonts w:eastAsia="SimSun"/>
          <w:sz w:val="22"/>
          <w:lang w:eastAsia="zh-CN"/>
        </w:rPr>
        <w:t xml:space="preserve">2011 on the basis of drafts prepared by the EPO.  Many Offices participated in the process and posted useful comments on WIPO's related </w:t>
      </w:r>
      <w:r w:rsidR="00E73A77">
        <w:rPr>
          <w:rFonts w:eastAsia="SimSun"/>
          <w:sz w:val="22"/>
          <w:lang w:eastAsia="zh-CN"/>
        </w:rPr>
        <w:t>W</w:t>
      </w:r>
      <w:r w:rsidRPr="00511886">
        <w:rPr>
          <w:rFonts w:eastAsia="SimSun"/>
          <w:sz w:val="22"/>
          <w:lang w:eastAsia="zh-CN"/>
        </w:rPr>
        <w:t>iki.</w:t>
      </w:r>
    </w:p>
    <w:p w:rsidR="00511886" w:rsidRPr="00511886" w:rsidRDefault="00511886" w:rsidP="00511886">
      <w:pPr>
        <w:pStyle w:val="ONUME"/>
        <w:rPr>
          <w:rFonts w:eastAsia="SimSun"/>
          <w:sz w:val="22"/>
          <w:lang w:eastAsia="zh-CN"/>
        </w:rPr>
      </w:pPr>
      <w:r w:rsidRPr="00511886">
        <w:rPr>
          <w:rFonts w:eastAsia="SimSun"/>
          <w:sz w:val="22"/>
          <w:lang w:eastAsia="zh-CN"/>
        </w:rPr>
        <w:t>In March</w:t>
      </w:r>
      <w:r w:rsidR="00F4719C">
        <w:rPr>
          <w:rFonts w:eastAsia="SimSun"/>
          <w:sz w:val="22"/>
          <w:lang w:eastAsia="zh-CN"/>
        </w:rPr>
        <w:t> </w:t>
      </w:r>
      <w:r w:rsidRPr="00511886">
        <w:rPr>
          <w:rFonts w:eastAsia="SimSun"/>
          <w:sz w:val="22"/>
          <w:lang w:eastAsia="zh-CN"/>
        </w:rPr>
        <w:t>2012, the Task Force finalized a draft of the standard that could be used by the offices to consult their respective public.  Several significant issues were raised by public comments and they have been tackled in cooperation with the database providers DDBJ, EBI, NCBI.</w:t>
      </w:r>
    </w:p>
    <w:p w:rsidR="00511886" w:rsidRPr="00511886" w:rsidRDefault="00511886" w:rsidP="00511886">
      <w:pPr>
        <w:pStyle w:val="ONUME"/>
        <w:rPr>
          <w:rFonts w:eastAsia="SimSun"/>
          <w:sz w:val="22"/>
          <w:lang w:eastAsia="zh-CN"/>
        </w:rPr>
      </w:pPr>
      <w:r w:rsidRPr="00511886">
        <w:rPr>
          <w:rFonts w:eastAsia="SimSun"/>
          <w:sz w:val="22"/>
          <w:lang w:eastAsia="zh-CN"/>
        </w:rPr>
        <w:t>The sixth round of discussions was finished on September</w:t>
      </w:r>
      <w:r w:rsidR="00F4719C">
        <w:rPr>
          <w:rFonts w:eastAsia="SimSun"/>
          <w:sz w:val="22"/>
          <w:lang w:eastAsia="zh-CN"/>
        </w:rPr>
        <w:t> </w:t>
      </w:r>
      <w:r w:rsidRPr="00511886">
        <w:rPr>
          <w:rFonts w:eastAsia="SimSun"/>
          <w:sz w:val="22"/>
          <w:lang w:eastAsia="zh-CN"/>
        </w:rPr>
        <w:t xml:space="preserve">2013 and the draft incorporating the improvements resulting from the public consultation and further discussions among the Task Force members and Database providers, was posted on WIPO’s wiki for a final review. </w:t>
      </w:r>
    </w:p>
    <w:p w:rsidR="00511886" w:rsidRPr="00511886" w:rsidRDefault="00511886" w:rsidP="00357A3D">
      <w:pPr>
        <w:pStyle w:val="ONUME"/>
        <w:keepNext/>
        <w:keepLines/>
        <w:rPr>
          <w:rFonts w:eastAsia="SimSun"/>
          <w:sz w:val="22"/>
          <w:lang w:eastAsia="zh-CN"/>
        </w:rPr>
      </w:pPr>
      <w:r w:rsidRPr="00511886">
        <w:rPr>
          <w:rFonts w:eastAsia="SimSun"/>
          <w:sz w:val="22"/>
          <w:lang w:eastAsia="zh-CN"/>
        </w:rPr>
        <w:lastRenderedPageBreak/>
        <w:t xml:space="preserve">On the basis of the comments received from the Task Force members, a final round of discussions took place aimed at achieving a common agreement on the Standard requirements. </w:t>
      </w:r>
      <w:r w:rsidR="00357A3D">
        <w:rPr>
          <w:rFonts w:eastAsia="SimSun"/>
          <w:sz w:val="22"/>
          <w:lang w:eastAsia="zh-CN"/>
        </w:rPr>
        <w:t xml:space="preserve"> </w:t>
      </w:r>
      <w:r w:rsidRPr="00511886">
        <w:rPr>
          <w:rFonts w:eastAsia="SimSun"/>
          <w:sz w:val="22"/>
          <w:lang w:eastAsia="zh-CN"/>
        </w:rPr>
        <w:t xml:space="preserve">On a provisional basis, the Task Force named this Standard ST.26. </w:t>
      </w:r>
      <w:r w:rsidR="00357A3D">
        <w:rPr>
          <w:rFonts w:eastAsia="SimSun"/>
          <w:sz w:val="22"/>
          <w:lang w:eastAsia="zh-CN"/>
        </w:rPr>
        <w:t xml:space="preserve"> </w:t>
      </w:r>
      <w:r w:rsidRPr="00511886">
        <w:rPr>
          <w:rFonts w:eastAsia="SimSun"/>
          <w:sz w:val="22"/>
          <w:lang w:eastAsia="zh-CN"/>
        </w:rPr>
        <w:t>The main body and annexes proposed by the Task Force for consideration and approval of the CWS introduce the following improvements when compared to the current ST.25:</w:t>
      </w:r>
    </w:p>
    <w:p w:rsidR="00511886" w:rsidRPr="00511886" w:rsidRDefault="00511886" w:rsidP="00511886">
      <w:pPr>
        <w:pStyle w:val="ONUME"/>
        <w:numPr>
          <w:ilvl w:val="1"/>
          <w:numId w:val="3"/>
        </w:numPr>
        <w:rPr>
          <w:sz w:val="22"/>
        </w:rPr>
      </w:pPr>
      <w:r w:rsidRPr="00511886">
        <w:rPr>
          <w:sz w:val="22"/>
        </w:rPr>
        <w:t>All (PCT) procedural issues are transferred to the PCT Administrative Instructions:  the new standard is focused on technical aspects, thus to enable an optimal presentation of the sequence listings (the biotech-related part) and the appropriate format of the submission (namely XML)</w:t>
      </w:r>
      <w:r w:rsidR="00357A3D">
        <w:rPr>
          <w:sz w:val="22"/>
        </w:rPr>
        <w:t>;</w:t>
      </w:r>
    </w:p>
    <w:p w:rsidR="00511886" w:rsidRPr="001920FB" w:rsidRDefault="00511886" w:rsidP="00511886">
      <w:pPr>
        <w:pStyle w:val="ONUME"/>
        <w:numPr>
          <w:ilvl w:val="1"/>
          <w:numId w:val="3"/>
        </w:numPr>
        <w:rPr>
          <w:sz w:val="22"/>
          <w:szCs w:val="22"/>
        </w:rPr>
      </w:pPr>
      <w:r w:rsidRPr="001920FB">
        <w:rPr>
          <w:sz w:val="22"/>
          <w:szCs w:val="22"/>
        </w:rPr>
        <w:t>The biotech-</w:t>
      </w:r>
      <w:r w:rsidRPr="00511886">
        <w:rPr>
          <w:sz w:val="22"/>
        </w:rPr>
        <w:t>related</w:t>
      </w:r>
      <w:r w:rsidRPr="001920FB">
        <w:rPr>
          <w:sz w:val="22"/>
          <w:szCs w:val="22"/>
        </w:rPr>
        <w:t xml:space="preserve"> part has been considerably improved to reflect modern industry standards, for example:</w:t>
      </w:r>
    </w:p>
    <w:p w:rsidR="00511886" w:rsidRPr="001920FB" w:rsidRDefault="00511886" w:rsidP="0092251A">
      <w:pPr>
        <w:pStyle w:val="ONUME"/>
        <w:numPr>
          <w:ilvl w:val="1"/>
          <w:numId w:val="10"/>
        </w:numPr>
        <w:spacing w:line="240" w:lineRule="auto"/>
        <w:ind w:hanging="306"/>
        <w:rPr>
          <w:sz w:val="22"/>
          <w:szCs w:val="22"/>
        </w:rPr>
      </w:pPr>
      <w:r w:rsidRPr="001920FB">
        <w:rPr>
          <w:sz w:val="22"/>
          <w:szCs w:val="22"/>
        </w:rPr>
        <w:t xml:space="preserve">inclusion of modified nucleotides and amino acids not previously provided for (e.g. D-amino acids, PNA, </w:t>
      </w:r>
      <w:proofErr w:type="spellStart"/>
      <w:r w:rsidRPr="001920FB">
        <w:rPr>
          <w:sz w:val="22"/>
          <w:szCs w:val="22"/>
        </w:rPr>
        <w:t>morpholinos</w:t>
      </w:r>
      <w:proofErr w:type="spellEnd"/>
      <w:r w:rsidRPr="001920FB">
        <w:rPr>
          <w:sz w:val="22"/>
          <w:szCs w:val="22"/>
        </w:rPr>
        <w:t xml:space="preserve"> etc.) which have gained importance in industry and need to be electronically searchable;</w:t>
      </w:r>
    </w:p>
    <w:p w:rsidR="00511886" w:rsidRPr="001920FB" w:rsidRDefault="00511886" w:rsidP="00EB3F84">
      <w:pPr>
        <w:pStyle w:val="ONUME"/>
        <w:numPr>
          <w:ilvl w:val="1"/>
          <w:numId w:val="10"/>
        </w:numPr>
        <w:spacing w:line="240" w:lineRule="auto"/>
        <w:ind w:hanging="306"/>
        <w:rPr>
          <w:sz w:val="22"/>
          <w:szCs w:val="22"/>
        </w:rPr>
      </w:pPr>
      <w:r w:rsidRPr="001920FB">
        <w:rPr>
          <w:sz w:val="22"/>
          <w:szCs w:val="22"/>
        </w:rPr>
        <w:t>clear instructions for gapped sequences and sequence variants;</w:t>
      </w:r>
    </w:p>
    <w:p w:rsidR="00511886" w:rsidRPr="001920FB" w:rsidRDefault="00511886" w:rsidP="00EB3F84">
      <w:pPr>
        <w:pStyle w:val="ONUME"/>
        <w:numPr>
          <w:ilvl w:val="1"/>
          <w:numId w:val="10"/>
        </w:numPr>
        <w:spacing w:line="240" w:lineRule="auto"/>
        <w:ind w:hanging="306"/>
        <w:rPr>
          <w:sz w:val="22"/>
          <w:szCs w:val="22"/>
        </w:rPr>
      </w:pPr>
      <w:r w:rsidRPr="001920FB">
        <w:rPr>
          <w:sz w:val="22"/>
          <w:szCs w:val="22"/>
        </w:rPr>
        <w:t>clarification with regard to features and annotations;</w:t>
      </w:r>
    </w:p>
    <w:p w:rsidR="00511886" w:rsidRPr="001920FB" w:rsidRDefault="00511886" w:rsidP="00EB3F84">
      <w:pPr>
        <w:pStyle w:val="ONUME"/>
        <w:numPr>
          <w:ilvl w:val="1"/>
          <w:numId w:val="10"/>
        </w:numPr>
        <w:spacing w:line="240" w:lineRule="auto"/>
        <w:ind w:hanging="306"/>
        <w:rPr>
          <w:sz w:val="22"/>
          <w:szCs w:val="22"/>
        </w:rPr>
      </w:pPr>
      <w:r w:rsidRPr="001920FB">
        <w:rPr>
          <w:sz w:val="22"/>
          <w:szCs w:val="22"/>
        </w:rPr>
        <w:t xml:space="preserve">consistency with latest public biological sequence repositories consortia requirements (INSDC and </w:t>
      </w:r>
      <w:proofErr w:type="spellStart"/>
      <w:r w:rsidRPr="001920FB">
        <w:rPr>
          <w:sz w:val="22"/>
          <w:szCs w:val="22"/>
        </w:rPr>
        <w:t>UniProt</w:t>
      </w:r>
      <w:proofErr w:type="spellEnd"/>
      <w:r w:rsidRPr="001920FB">
        <w:rPr>
          <w:sz w:val="22"/>
          <w:szCs w:val="22"/>
        </w:rPr>
        <w:t>);</w:t>
      </w:r>
      <w:r w:rsidR="00B30CAD">
        <w:rPr>
          <w:sz w:val="22"/>
          <w:szCs w:val="22"/>
        </w:rPr>
        <w:t xml:space="preserve">  and </w:t>
      </w:r>
    </w:p>
    <w:p w:rsidR="00511886" w:rsidRPr="001920FB" w:rsidRDefault="00511886" w:rsidP="00EB3F84">
      <w:pPr>
        <w:pStyle w:val="ONUME"/>
        <w:numPr>
          <w:ilvl w:val="1"/>
          <w:numId w:val="10"/>
        </w:numPr>
        <w:spacing w:line="240" w:lineRule="auto"/>
        <w:ind w:hanging="306"/>
        <w:rPr>
          <w:sz w:val="22"/>
          <w:szCs w:val="22"/>
        </w:rPr>
      </w:pPr>
      <w:proofErr w:type="gramStart"/>
      <w:r w:rsidRPr="001920FB">
        <w:rPr>
          <w:sz w:val="22"/>
          <w:szCs w:val="22"/>
        </w:rPr>
        <w:t>the</w:t>
      </w:r>
      <w:proofErr w:type="gramEnd"/>
      <w:r w:rsidRPr="001920FB">
        <w:rPr>
          <w:sz w:val="22"/>
          <w:szCs w:val="22"/>
        </w:rPr>
        <w:t xml:space="preserve"> XML definition is self-contained and independent of ST.36 or ST.96.</w:t>
      </w:r>
    </w:p>
    <w:p w:rsidR="00511886" w:rsidRPr="001920FB" w:rsidRDefault="00511886" w:rsidP="00511886">
      <w:pPr>
        <w:pStyle w:val="ONUME"/>
        <w:numPr>
          <w:ilvl w:val="1"/>
          <w:numId w:val="3"/>
        </w:numPr>
        <w:rPr>
          <w:rFonts w:cs="Arial"/>
          <w:sz w:val="22"/>
        </w:rPr>
      </w:pPr>
      <w:r w:rsidRPr="001920FB">
        <w:rPr>
          <w:rFonts w:cs="Arial"/>
          <w:sz w:val="22"/>
        </w:rPr>
        <w:t xml:space="preserve">The syntax </w:t>
      </w:r>
      <w:r w:rsidRPr="00511886">
        <w:rPr>
          <w:sz w:val="22"/>
        </w:rPr>
        <w:t>provided</w:t>
      </w:r>
      <w:r w:rsidRPr="001920FB">
        <w:rPr>
          <w:rFonts w:cs="Arial"/>
          <w:sz w:val="22"/>
        </w:rPr>
        <w:t xml:space="preserve"> by the </w:t>
      </w:r>
      <w:r w:rsidR="004370F1">
        <w:rPr>
          <w:rFonts w:cs="Arial"/>
          <w:sz w:val="22"/>
        </w:rPr>
        <w:t>Document Type Definition (</w:t>
      </w:r>
      <w:r w:rsidRPr="001920FB">
        <w:rPr>
          <w:rFonts w:cs="Arial"/>
          <w:sz w:val="22"/>
        </w:rPr>
        <w:t>DTD</w:t>
      </w:r>
      <w:r w:rsidR="004370F1">
        <w:rPr>
          <w:rFonts w:cs="Arial"/>
          <w:sz w:val="22"/>
        </w:rPr>
        <w:t>)</w:t>
      </w:r>
      <w:r w:rsidRPr="001920FB">
        <w:rPr>
          <w:rFonts w:cs="Arial"/>
          <w:sz w:val="22"/>
        </w:rPr>
        <w:t xml:space="preserve"> used in the ST.26 increases the data accuracy and enables automatic data quality control.</w:t>
      </w:r>
    </w:p>
    <w:p w:rsidR="00511886" w:rsidRPr="00511886" w:rsidRDefault="00511886" w:rsidP="00511886">
      <w:pPr>
        <w:pStyle w:val="ONUME"/>
        <w:rPr>
          <w:rFonts w:eastAsia="SimSun"/>
          <w:sz w:val="22"/>
          <w:lang w:eastAsia="zh-CN"/>
        </w:rPr>
      </w:pPr>
      <w:r w:rsidRPr="00511886">
        <w:rPr>
          <w:rFonts w:eastAsia="SimSun"/>
          <w:sz w:val="22"/>
          <w:lang w:eastAsia="zh-CN"/>
        </w:rPr>
        <w:t>The Task Force will continue to work on the transition aspects in</w:t>
      </w:r>
      <w:r w:rsidR="00357A3D">
        <w:rPr>
          <w:rFonts w:eastAsia="SimSun"/>
          <w:sz w:val="22"/>
          <w:lang w:eastAsia="zh-CN"/>
        </w:rPr>
        <w:t> </w:t>
      </w:r>
      <w:r w:rsidRPr="00511886">
        <w:rPr>
          <w:rFonts w:eastAsia="SimSun"/>
          <w:sz w:val="22"/>
          <w:lang w:eastAsia="zh-CN"/>
        </w:rPr>
        <w:t>2014 and</w:t>
      </w:r>
      <w:r w:rsidR="00357A3D">
        <w:rPr>
          <w:rFonts w:eastAsia="SimSun"/>
          <w:sz w:val="22"/>
          <w:lang w:eastAsia="zh-CN"/>
        </w:rPr>
        <w:t> </w:t>
      </w:r>
      <w:r w:rsidRPr="00511886">
        <w:rPr>
          <w:rFonts w:eastAsia="SimSun"/>
          <w:sz w:val="22"/>
          <w:lang w:eastAsia="zh-CN"/>
        </w:rPr>
        <w:t>2015 with the objective to submit for the consideration and approval of the CWS</w:t>
      </w:r>
      <w:r w:rsidR="004370F1">
        <w:rPr>
          <w:rFonts w:eastAsia="SimSun"/>
          <w:sz w:val="22"/>
          <w:lang w:eastAsia="zh-CN"/>
        </w:rPr>
        <w:t>,</w:t>
      </w:r>
      <w:r w:rsidRPr="00511886">
        <w:rPr>
          <w:rFonts w:eastAsia="SimSun"/>
          <w:sz w:val="22"/>
          <w:lang w:eastAsia="zh-CN"/>
        </w:rPr>
        <w:t xml:space="preserve"> at </w:t>
      </w:r>
      <w:r w:rsidR="004370F1">
        <w:rPr>
          <w:rFonts w:eastAsia="SimSun"/>
          <w:sz w:val="22"/>
          <w:lang w:eastAsia="zh-CN"/>
        </w:rPr>
        <w:t>its fifth</w:t>
      </w:r>
      <w:r w:rsidR="00357A3D">
        <w:rPr>
          <w:rFonts w:eastAsia="SimSun"/>
          <w:sz w:val="22"/>
          <w:lang w:eastAsia="zh-CN"/>
        </w:rPr>
        <w:t> </w:t>
      </w:r>
      <w:r w:rsidRPr="00511886">
        <w:rPr>
          <w:rFonts w:eastAsia="SimSun"/>
          <w:sz w:val="22"/>
          <w:lang w:eastAsia="zh-CN"/>
        </w:rPr>
        <w:t>session</w:t>
      </w:r>
      <w:r w:rsidR="004370F1">
        <w:rPr>
          <w:rFonts w:eastAsia="SimSun"/>
          <w:sz w:val="22"/>
          <w:lang w:eastAsia="zh-CN"/>
        </w:rPr>
        <w:t>,</w:t>
      </w:r>
      <w:r w:rsidRPr="00511886">
        <w:rPr>
          <w:rFonts w:eastAsia="SimSun"/>
          <w:sz w:val="22"/>
          <w:lang w:eastAsia="zh-CN"/>
        </w:rPr>
        <w:t xml:space="preserve"> the recommendations for the transition from ST.25 to ST</w:t>
      </w:r>
      <w:r w:rsidR="004370F1">
        <w:rPr>
          <w:rFonts w:eastAsia="SimSun"/>
          <w:sz w:val="22"/>
          <w:lang w:eastAsia="zh-CN"/>
        </w:rPr>
        <w:t>.</w:t>
      </w:r>
      <w:r w:rsidRPr="00511886">
        <w:rPr>
          <w:rFonts w:eastAsia="SimSun"/>
          <w:sz w:val="22"/>
          <w:lang w:eastAsia="zh-CN"/>
        </w:rPr>
        <w:t>26.</w:t>
      </w:r>
    </w:p>
    <w:p w:rsidR="00511886" w:rsidRPr="00357A3D" w:rsidRDefault="00511886" w:rsidP="00357A3D">
      <w:pPr>
        <w:pStyle w:val="Heading2"/>
        <w:ind w:left="0"/>
        <w:rPr>
          <w:bCs w:val="0"/>
          <w:iCs w:val="0"/>
          <w:sz w:val="22"/>
        </w:rPr>
      </w:pPr>
      <w:r w:rsidRPr="00357A3D">
        <w:rPr>
          <w:bCs w:val="0"/>
          <w:iCs w:val="0"/>
          <w:sz w:val="22"/>
        </w:rPr>
        <w:t>ROADMAP</w:t>
      </w:r>
    </w:p>
    <w:p w:rsidR="00511886" w:rsidRPr="00511886" w:rsidRDefault="00511886" w:rsidP="00511886">
      <w:pPr>
        <w:pStyle w:val="ONUME"/>
        <w:rPr>
          <w:rFonts w:eastAsia="SimSun"/>
          <w:sz w:val="22"/>
          <w:lang w:eastAsia="zh-CN"/>
        </w:rPr>
      </w:pPr>
      <w:r w:rsidRPr="00511886">
        <w:rPr>
          <w:rFonts w:eastAsia="SimSun"/>
          <w:sz w:val="22"/>
          <w:lang w:eastAsia="zh-CN"/>
        </w:rPr>
        <w:t>A new round of discussions will continue after the CWS/4</w:t>
      </w:r>
      <w:r w:rsidR="00357A3D">
        <w:rPr>
          <w:rFonts w:eastAsia="SimSun"/>
          <w:sz w:val="22"/>
          <w:lang w:eastAsia="zh-CN"/>
        </w:rPr>
        <w:t> </w:t>
      </w:r>
      <w:r w:rsidRPr="00511886">
        <w:rPr>
          <w:rFonts w:eastAsia="SimSun"/>
          <w:sz w:val="22"/>
          <w:lang w:eastAsia="zh-CN"/>
        </w:rPr>
        <w:t>session, focused on the preparation of the recommendations for the transition phase to be presented at the CWS</w:t>
      </w:r>
      <w:r w:rsidR="004370F1">
        <w:rPr>
          <w:rFonts w:eastAsia="SimSun"/>
          <w:sz w:val="22"/>
          <w:lang w:eastAsia="zh-CN"/>
        </w:rPr>
        <w:t xml:space="preserve"> session</w:t>
      </w:r>
      <w:bookmarkStart w:id="0" w:name="_GoBack"/>
      <w:bookmarkEnd w:id="0"/>
      <w:r w:rsidRPr="00511886">
        <w:rPr>
          <w:rFonts w:eastAsia="SimSun"/>
          <w:sz w:val="22"/>
          <w:lang w:eastAsia="zh-CN"/>
        </w:rPr>
        <w:t xml:space="preserve"> in</w:t>
      </w:r>
      <w:r w:rsidR="00357A3D">
        <w:rPr>
          <w:rFonts w:eastAsia="SimSun"/>
          <w:sz w:val="22"/>
          <w:lang w:eastAsia="zh-CN"/>
        </w:rPr>
        <w:t> </w:t>
      </w:r>
      <w:r w:rsidRPr="00511886">
        <w:rPr>
          <w:rFonts w:eastAsia="SimSun"/>
          <w:sz w:val="22"/>
          <w:lang w:eastAsia="zh-CN"/>
        </w:rPr>
        <w:t>2015.</w:t>
      </w:r>
    </w:p>
    <w:p w:rsidR="00511886" w:rsidRPr="001920FB" w:rsidRDefault="00511886" w:rsidP="00511886"/>
    <w:p w:rsidR="00511886" w:rsidRPr="001920FB" w:rsidRDefault="00511886" w:rsidP="00511886"/>
    <w:p w:rsidR="00511886" w:rsidRPr="001920FB" w:rsidRDefault="00511886" w:rsidP="00511886"/>
    <w:p w:rsidR="00511886" w:rsidRPr="00511886" w:rsidRDefault="00511886" w:rsidP="00357A3D">
      <w:pPr>
        <w:pStyle w:val="Endofdocument-Annex"/>
        <w:rPr>
          <w:sz w:val="22"/>
          <w:szCs w:val="22"/>
        </w:rPr>
      </w:pPr>
      <w:r w:rsidRPr="00511886">
        <w:rPr>
          <w:sz w:val="22"/>
          <w:szCs w:val="22"/>
        </w:rPr>
        <w:t>[Annex II follows]</w:t>
      </w:r>
    </w:p>
    <w:p w:rsidR="006A67F1" w:rsidRDefault="006A67F1" w:rsidP="006A67F1">
      <w:pPr>
        <w:pStyle w:val="ListParagraph"/>
        <w:ind w:left="5534"/>
      </w:pPr>
    </w:p>
    <w:sectPr w:rsidR="006A67F1" w:rsidSect="00945EF6">
      <w:headerReference w:type="default" r:id="rId8"/>
      <w:footerReference w:type="default" r:id="rId9"/>
      <w:headerReference w:type="first" r:id="rId10"/>
      <w:footerReference w:type="first" r:id="rId11"/>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BA" w:rsidRDefault="009911BA" w:rsidP="009911BA">
      <w:r>
        <w:separator/>
      </w:r>
    </w:p>
  </w:endnote>
  <w:endnote w:type="continuationSeparator" w:id="0">
    <w:p w:rsidR="009911BA" w:rsidRDefault="009911BA" w:rsidP="0099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BA" w:rsidRDefault="009911BA">
    <w:pPr>
      <w:pStyle w:val="Footer"/>
      <w:jc w:val="center"/>
    </w:pPr>
  </w:p>
  <w:p w:rsidR="009911BA" w:rsidRDefault="00991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BA" w:rsidRDefault="009911BA">
    <w:pPr>
      <w:pStyle w:val="Footer"/>
      <w:jc w:val="center"/>
    </w:pPr>
  </w:p>
  <w:p w:rsidR="009911BA" w:rsidRDefault="00991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BA" w:rsidRDefault="009911BA" w:rsidP="009911BA">
      <w:r>
        <w:separator/>
      </w:r>
    </w:p>
  </w:footnote>
  <w:footnote w:type="continuationSeparator" w:id="0">
    <w:p w:rsidR="009911BA" w:rsidRDefault="009911BA" w:rsidP="0099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FD" w:rsidRPr="00511886" w:rsidRDefault="00C94FFD" w:rsidP="00C94FFD">
    <w:pPr>
      <w:jc w:val="right"/>
      <w:rPr>
        <w:sz w:val="22"/>
        <w:szCs w:val="22"/>
      </w:rPr>
    </w:pPr>
    <w:r w:rsidRPr="00511886">
      <w:rPr>
        <w:sz w:val="22"/>
        <w:szCs w:val="22"/>
      </w:rPr>
      <w:t>CWS/4/</w:t>
    </w:r>
    <w:r w:rsidR="00511886">
      <w:rPr>
        <w:sz w:val="22"/>
        <w:szCs w:val="22"/>
      </w:rPr>
      <w:t>7</w:t>
    </w:r>
  </w:p>
  <w:p w:rsidR="00C94FFD" w:rsidRPr="00511886" w:rsidRDefault="00C94FFD" w:rsidP="00C94FFD">
    <w:pPr>
      <w:jc w:val="right"/>
      <w:rPr>
        <w:sz w:val="22"/>
        <w:szCs w:val="22"/>
      </w:rPr>
    </w:pPr>
    <w:r w:rsidRPr="00511886">
      <w:rPr>
        <w:sz w:val="22"/>
        <w:szCs w:val="22"/>
      </w:rPr>
      <w:t xml:space="preserve">Annex I, page </w:t>
    </w:r>
    <w:r w:rsidRPr="00511886">
      <w:rPr>
        <w:rStyle w:val="PageNumber"/>
        <w:sz w:val="22"/>
        <w:szCs w:val="22"/>
      </w:rPr>
      <w:fldChar w:fldCharType="begin"/>
    </w:r>
    <w:r w:rsidRPr="00511886">
      <w:rPr>
        <w:rStyle w:val="PageNumber"/>
        <w:sz w:val="22"/>
        <w:szCs w:val="22"/>
      </w:rPr>
      <w:instrText xml:space="preserve"> PAGE </w:instrText>
    </w:r>
    <w:r w:rsidRPr="00511886">
      <w:rPr>
        <w:rStyle w:val="PageNumber"/>
        <w:sz w:val="22"/>
        <w:szCs w:val="22"/>
      </w:rPr>
      <w:fldChar w:fldCharType="separate"/>
    </w:r>
    <w:r w:rsidR="0045028B">
      <w:rPr>
        <w:rStyle w:val="PageNumber"/>
        <w:noProof/>
        <w:sz w:val="22"/>
        <w:szCs w:val="22"/>
      </w:rPr>
      <w:t>2</w:t>
    </w:r>
    <w:r w:rsidRPr="00511886">
      <w:rPr>
        <w:rStyle w:val="PageNumber"/>
        <w:sz w:val="22"/>
        <w:szCs w:val="22"/>
      </w:rPr>
      <w:fldChar w:fldCharType="end"/>
    </w:r>
  </w:p>
  <w:p w:rsidR="00C94FFD" w:rsidRDefault="00C94FFD" w:rsidP="00C94FFD">
    <w:pPr>
      <w:jc w:val="right"/>
    </w:pPr>
  </w:p>
  <w:p w:rsidR="009911BA" w:rsidRPr="00C94FFD" w:rsidRDefault="009911BA" w:rsidP="00C94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FD" w:rsidRPr="00511886" w:rsidRDefault="00C94FFD" w:rsidP="00C94FFD">
    <w:pPr>
      <w:jc w:val="right"/>
      <w:rPr>
        <w:sz w:val="22"/>
        <w:szCs w:val="22"/>
      </w:rPr>
    </w:pPr>
    <w:r w:rsidRPr="00511886">
      <w:rPr>
        <w:sz w:val="22"/>
        <w:szCs w:val="22"/>
      </w:rPr>
      <w:t>CWS/4/</w:t>
    </w:r>
    <w:r w:rsidR="00511886" w:rsidRPr="00511886">
      <w:rPr>
        <w:sz w:val="22"/>
        <w:szCs w:val="22"/>
      </w:rPr>
      <w:t>7</w:t>
    </w:r>
  </w:p>
  <w:p w:rsidR="00C94FFD" w:rsidRPr="00511886" w:rsidRDefault="00C94FFD" w:rsidP="00C94FFD">
    <w:pPr>
      <w:jc w:val="right"/>
      <w:rPr>
        <w:sz w:val="22"/>
        <w:szCs w:val="22"/>
      </w:rPr>
    </w:pPr>
    <w:r w:rsidRPr="00511886">
      <w:rPr>
        <w:sz w:val="22"/>
        <w:szCs w:val="22"/>
      </w:rPr>
      <w:t>ANNEX I</w:t>
    </w:r>
  </w:p>
  <w:p w:rsidR="00C94FFD" w:rsidRDefault="00C94FFD" w:rsidP="00C94FFD">
    <w:pPr>
      <w:jc w:val="right"/>
    </w:pPr>
  </w:p>
  <w:p w:rsidR="009911BA" w:rsidRPr="00C94FFD" w:rsidRDefault="009911BA" w:rsidP="00C94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EAD00F1"/>
    <w:multiLevelType w:val="hybridMultilevel"/>
    <w:tmpl w:val="AFE4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92E95"/>
    <w:multiLevelType w:val="hybridMultilevel"/>
    <w:tmpl w:val="7A048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FF24ED"/>
    <w:multiLevelType w:val="hybridMultilevel"/>
    <w:tmpl w:val="8F66C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F76AC"/>
    <w:multiLevelType w:val="hybridMultilevel"/>
    <w:tmpl w:val="D4C4236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4"/>
  </w:num>
  <w:num w:numId="3">
    <w:abstractNumId w:val="9"/>
  </w:num>
  <w:num w:numId="4">
    <w:abstractNumId w:val="8"/>
  </w:num>
  <w:num w:numId="5">
    <w:abstractNumId w:val="0"/>
  </w:num>
  <w:num w:numId="6">
    <w:abstractNumId w:val="5"/>
  </w:num>
  <w:num w:numId="7">
    <w:abstractNumId w:val="2"/>
  </w:num>
  <w:num w:numId="8">
    <w:abstractNumId w:val="6"/>
  </w:num>
  <w:num w:numId="9">
    <w:abstractNumId w:val="3"/>
  </w:num>
  <w:num w:numId="10">
    <w:abstractNumId w:val="7"/>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10"/>
    <w:rsid w:val="000308E9"/>
    <w:rsid w:val="00043439"/>
    <w:rsid w:val="00044C4B"/>
    <w:rsid w:val="000A00C2"/>
    <w:rsid w:val="000E17C3"/>
    <w:rsid w:val="000E7EDE"/>
    <w:rsid w:val="000F5E56"/>
    <w:rsid w:val="00113F26"/>
    <w:rsid w:val="00224B73"/>
    <w:rsid w:val="00272A59"/>
    <w:rsid w:val="002C7A8F"/>
    <w:rsid w:val="00357A3D"/>
    <w:rsid w:val="00367344"/>
    <w:rsid w:val="0037089F"/>
    <w:rsid w:val="003B4D75"/>
    <w:rsid w:val="003D2B58"/>
    <w:rsid w:val="00414DFA"/>
    <w:rsid w:val="00431118"/>
    <w:rsid w:val="00436497"/>
    <w:rsid w:val="004370F1"/>
    <w:rsid w:val="0045028B"/>
    <w:rsid w:val="004F184F"/>
    <w:rsid w:val="004F19B4"/>
    <w:rsid w:val="00511886"/>
    <w:rsid w:val="005176DF"/>
    <w:rsid w:val="00524FD9"/>
    <w:rsid w:val="00564AB2"/>
    <w:rsid w:val="005C315A"/>
    <w:rsid w:val="005D7374"/>
    <w:rsid w:val="00616B5D"/>
    <w:rsid w:val="006A67F1"/>
    <w:rsid w:val="00704633"/>
    <w:rsid w:val="00712A2F"/>
    <w:rsid w:val="00753F6E"/>
    <w:rsid w:val="00772A58"/>
    <w:rsid w:val="00795FFA"/>
    <w:rsid w:val="007A13F8"/>
    <w:rsid w:val="007B240C"/>
    <w:rsid w:val="007D53C7"/>
    <w:rsid w:val="007F351C"/>
    <w:rsid w:val="00804DB7"/>
    <w:rsid w:val="00810E3D"/>
    <w:rsid w:val="008260C4"/>
    <w:rsid w:val="00897F8A"/>
    <w:rsid w:val="008B483F"/>
    <w:rsid w:val="0092251A"/>
    <w:rsid w:val="0094098A"/>
    <w:rsid w:val="00945EF6"/>
    <w:rsid w:val="0096204D"/>
    <w:rsid w:val="00963B8C"/>
    <w:rsid w:val="009911BA"/>
    <w:rsid w:val="009A191C"/>
    <w:rsid w:val="00A33AF8"/>
    <w:rsid w:val="00A5737B"/>
    <w:rsid w:val="00A97025"/>
    <w:rsid w:val="00AF084E"/>
    <w:rsid w:val="00B30CAD"/>
    <w:rsid w:val="00B426F1"/>
    <w:rsid w:val="00B76057"/>
    <w:rsid w:val="00C11C89"/>
    <w:rsid w:val="00C11DCA"/>
    <w:rsid w:val="00C30B10"/>
    <w:rsid w:val="00C34025"/>
    <w:rsid w:val="00C5553E"/>
    <w:rsid w:val="00C707B0"/>
    <w:rsid w:val="00C747F9"/>
    <w:rsid w:val="00C94FFD"/>
    <w:rsid w:val="00CD43C6"/>
    <w:rsid w:val="00D42971"/>
    <w:rsid w:val="00D50603"/>
    <w:rsid w:val="00DA140D"/>
    <w:rsid w:val="00DE3030"/>
    <w:rsid w:val="00DE3B77"/>
    <w:rsid w:val="00E05A96"/>
    <w:rsid w:val="00E33604"/>
    <w:rsid w:val="00E34DD7"/>
    <w:rsid w:val="00E402A9"/>
    <w:rsid w:val="00E41C5F"/>
    <w:rsid w:val="00E73A77"/>
    <w:rsid w:val="00E819DC"/>
    <w:rsid w:val="00EB3F84"/>
    <w:rsid w:val="00EC6C8B"/>
    <w:rsid w:val="00F4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886"/>
    <w:pPr>
      <w:spacing w:line="260" w:lineRule="atLeast"/>
      <w:ind w:left="1021"/>
    </w:pPr>
    <w:rPr>
      <w:rFonts w:ascii="Arial" w:hAnsi="Arial"/>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DE3030"/>
    <w:rPr>
      <w:rFonts w:ascii="Arial" w:eastAsia="SimSun" w:hAnsi="Arial" w:cs="Arial"/>
      <w:b/>
      <w:bCs/>
      <w:caps/>
      <w:kern w:val="32"/>
      <w:sz w:val="22"/>
      <w:szCs w:val="32"/>
    </w:rPr>
  </w:style>
  <w:style w:type="character" w:customStyle="1" w:styleId="Heading2Char">
    <w:name w:val="Heading 2 Char"/>
    <w:basedOn w:val="DefaultParagraphFont"/>
    <w:link w:val="Heading2"/>
    <w:rsid w:val="00DE3030"/>
    <w:rPr>
      <w:rFonts w:ascii="Arial" w:eastAsia="SimSun" w:hAnsi="Arial" w:cs="Arial"/>
      <w:bCs/>
      <w:iCs/>
      <w:caps/>
      <w:sz w:val="22"/>
      <w:szCs w:val="28"/>
    </w:rPr>
  </w:style>
  <w:style w:type="table" w:styleId="TableGrid">
    <w:name w:val="Table Grid"/>
    <w:basedOn w:val="TableNormal"/>
    <w:rsid w:val="00DE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B73"/>
    <w:pPr>
      <w:ind w:left="720"/>
      <w:contextualSpacing/>
    </w:pPr>
  </w:style>
  <w:style w:type="paragraph" w:styleId="BalloonText">
    <w:name w:val="Balloon Text"/>
    <w:basedOn w:val="Normal"/>
    <w:link w:val="BalloonTextChar"/>
    <w:rsid w:val="00AF084E"/>
    <w:rPr>
      <w:rFonts w:ascii="Tahoma" w:hAnsi="Tahoma" w:cs="Tahoma"/>
      <w:sz w:val="16"/>
      <w:szCs w:val="16"/>
    </w:rPr>
  </w:style>
  <w:style w:type="character" w:customStyle="1" w:styleId="BalloonTextChar">
    <w:name w:val="Balloon Text Char"/>
    <w:basedOn w:val="DefaultParagraphFont"/>
    <w:link w:val="BalloonText"/>
    <w:rsid w:val="00AF084E"/>
    <w:rPr>
      <w:rFonts w:ascii="Tahoma" w:hAnsi="Tahoma" w:cs="Tahoma"/>
      <w:sz w:val="16"/>
      <w:szCs w:val="16"/>
    </w:rPr>
  </w:style>
  <w:style w:type="character" w:customStyle="1" w:styleId="FooterChar">
    <w:name w:val="Footer Char"/>
    <w:basedOn w:val="DefaultParagraphFont"/>
    <w:link w:val="Footer"/>
    <w:uiPriority w:val="99"/>
    <w:rsid w:val="009911BA"/>
    <w:rPr>
      <w:rFonts w:ascii="Arial" w:hAnsi="Arial" w:cs="Arial"/>
      <w:sz w:val="22"/>
    </w:rPr>
  </w:style>
  <w:style w:type="character" w:styleId="PageNumber">
    <w:name w:val="page number"/>
    <w:basedOn w:val="DefaultParagraphFont"/>
    <w:rsid w:val="00C94FFD"/>
  </w:style>
  <w:style w:type="paragraph" w:customStyle="1" w:styleId="Endofdocument-Annex">
    <w:name w:val="[End of document - Annex]"/>
    <w:basedOn w:val="Normal"/>
    <w:rsid w:val="006A67F1"/>
    <w:pPr>
      <w:ind w:left="5534"/>
    </w:pPr>
    <w:rPr>
      <w:rFonts w:eastAsia="SimSun"/>
      <w:lang w:eastAsia="zh-CN"/>
    </w:rPr>
  </w:style>
  <w:style w:type="character" w:customStyle="1" w:styleId="ONUMEChar">
    <w:name w:val="ONUM E Char"/>
    <w:link w:val="ONUME"/>
    <w:rsid w:val="0051188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886"/>
    <w:pPr>
      <w:spacing w:line="260" w:lineRule="atLeast"/>
      <w:ind w:left="1021"/>
    </w:pPr>
    <w:rPr>
      <w:rFonts w:ascii="Arial" w:hAnsi="Arial"/>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DE3030"/>
    <w:rPr>
      <w:rFonts w:ascii="Arial" w:eastAsia="SimSun" w:hAnsi="Arial" w:cs="Arial"/>
      <w:b/>
      <w:bCs/>
      <w:caps/>
      <w:kern w:val="32"/>
      <w:sz w:val="22"/>
      <w:szCs w:val="32"/>
    </w:rPr>
  </w:style>
  <w:style w:type="character" w:customStyle="1" w:styleId="Heading2Char">
    <w:name w:val="Heading 2 Char"/>
    <w:basedOn w:val="DefaultParagraphFont"/>
    <w:link w:val="Heading2"/>
    <w:rsid w:val="00DE3030"/>
    <w:rPr>
      <w:rFonts w:ascii="Arial" w:eastAsia="SimSun" w:hAnsi="Arial" w:cs="Arial"/>
      <w:bCs/>
      <w:iCs/>
      <w:caps/>
      <w:sz w:val="22"/>
      <w:szCs w:val="28"/>
    </w:rPr>
  </w:style>
  <w:style w:type="table" w:styleId="TableGrid">
    <w:name w:val="Table Grid"/>
    <w:basedOn w:val="TableNormal"/>
    <w:rsid w:val="00DE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B73"/>
    <w:pPr>
      <w:ind w:left="720"/>
      <w:contextualSpacing/>
    </w:pPr>
  </w:style>
  <w:style w:type="paragraph" w:styleId="BalloonText">
    <w:name w:val="Balloon Text"/>
    <w:basedOn w:val="Normal"/>
    <w:link w:val="BalloonTextChar"/>
    <w:rsid w:val="00AF084E"/>
    <w:rPr>
      <w:rFonts w:ascii="Tahoma" w:hAnsi="Tahoma" w:cs="Tahoma"/>
      <w:sz w:val="16"/>
      <w:szCs w:val="16"/>
    </w:rPr>
  </w:style>
  <w:style w:type="character" w:customStyle="1" w:styleId="BalloonTextChar">
    <w:name w:val="Balloon Text Char"/>
    <w:basedOn w:val="DefaultParagraphFont"/>
    <w:link w:val="BalloonText"/>
    <w:rsid w:val="00AF084E"/>
    <w:rPr>
      <w:rFonts w:ascii="Tahoma" w:hAnsi="Tahoma" w:cs="Tahoma"/>
      <w:sz w:val="16"/>
      <w:szCs w:val="16"/>
    </w:rPr>
  </w:style>
  <w:style w:type="character" w:customStyle="1" w:styleId="FooterChar">
    <w:name w:val="Footer Char"/>
    <w:basedOn w:val="DefaultParagraphFont"/>
    <w:link w:val="Footer"/>
    <w:uiPriority w:val="99"/>
    <w:rsid w:val="009911BA"/>
    <w:rPr>
      <w:rFonts w:ascii="Arial" w:hAnsi="Arial" w:cs="Arial"/>
      <w:sz w:val="22"/>
    </w:rPr>
  </w:style>
  <w:style w:type="character" w:styleId="PageNumber">
    <w:name w:val="page number"/>
    <w:basedOn w:val="DefaultParagraphFont"/>
    <w:rsid w:val="00C94FFD"/>
  </w:style>
  <w:style w:type="paragraph" w:customStyle="1" w:styleId="Endofdocument-Annex">
    <w:name w:val="[End of document - Annex]"/>
    <w:basedOn w:val="Normal"/>
    <w:rsid w:val="006A67F1"/>
    <w:pPr>
      <w:ind w:left="5534"/>
    </w:pPr>
    <w:rPr>
      <w:rFonts w:eastAsia="SimSun"/>
      <w:lang w:eastAsia="zh-CN"/>
    </w:rPr>
  </w:style>
  <w:style w:type="character" w:customStyle="1" w:styleId="ONUMEChar">
    <w:name w:val="ONUM E Char"/>
    <w:link w:val="ONUME"/>
    <w:rsid w:val="0051188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704</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CWS/4/7 Annex I (in English)</vt:lpstr>
    </vt:vector>
  </TitlesOfParts>
  <Manager>WIPO</Manager>
  <Company>WIPO</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 (in English)</dc:title>
  <dc:subject>Report on the preparation of a new WIPO Standard on the presentation of nucleotide and amino acid sequence listings using eXtensible Markup Language (XML)</dc:subject>
  <dc:creator>WIPO</dc:creator>
  <cp:lastModifiedBy>Geraldine Rodriguez</cp:lastModifiedBy>
  <cp:revision>8</cp:revision>
  <cp:lastPrinted>2014-04-01T13:16:00Z</cp:lastPrinted>
  <dcterms:created xsi:type="dcterms:W3CDTF">2014-03-21T09:10:00Z</dcterms:created>
  <dcterms:modified xsi:type="dcterms:W3CDTF">2014-04-01T13:25:00Z</dcterms:modified>
</cp:coreProperties>
</file>