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2341"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662341" w:rsidP="00916EE2">
            <w:pPr>
              <w:jc w:val="right"/>
              <w:rPr>
                <w:rFonts w:ascii="Arial Black" w:hAnsi="Arial Black"/>
                <w:caps/>
                <w:sz w:val="15"/>
              </w:rPr>
            </w:pPr>
            <w:r>
              <w:rPr>
                <w:rFonts w:ascii="Arial Black" w:hAnsi="Arial Black"/>
                <w:caps/>
                <w:sz w:val="15"/>
              </w:rPr>
              <w:t>CWS/4/</w:t>
            </w:r>
            <w:r w:rsidR="00E452B8">
              <w:rPr>
                <w:rFonts w:ascii="Arial Black" w:hAnsi="Arial Black"/>
                <w:caps/>
                <w:sz w:val="15"/>
              </w:rPr>
              <w:t>10</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r w:rsidR="00E452B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37362">
            <w:pPr>
              <w:jc w:val="right"/>
              <w:rPr>
                <w:rFonts w:ascii="Arial Black" w:hAnsi="Arial Black"/>
                <w:caps/>
                <w:sz w:val="15"/>
              </w:rPr>
            </w:pPr>
            <w:r w:rsidRPr="007B5492">
              <w:rPr>
                <w:rFonts w:ascii="Arial Black" w:hAnsi="Arial Black"/>
                <w:caps/>
                <w:sz w:val="15"/>
              </w:rPr>
              <w:t>DATE:</w:t>
            </w:r>
            <w:r w:rsidR="00A42DAF" w:rsidRPr="007B5492">
              <w:rPr>
                <w:rFonts w:ascii="Arial Black" w:hAnsi="Arial Black"/>
                <w:caps/>
                <w:sz w:val="15"/>
              </w:rPr>
              <w:t xml:space="preserve"> </w:t>
            </w:r>
            <w:r w:rsidRPr="007B5492">
              <w:rPr>
                <w:rFonts w:ascii="Arial Black" w:hAnsi="Arial Black"/>
                <w:caps/>
                <w:sz w:val="15"/>
              </w:rPr>
              <w:t xml:space="preserve"> </w:t>
            </w:r>
            <w:r w:rsidR="00937362">
              <w:rPr>
                <w:rFonts w:ascii="Arial Black" w:hAnsi="Arial Black"/>
                <w:caps/>
                <w:sz w:val="15"/>
              </w:rPr>
              <w:t>march</w:t>
            </w:r>
            <w:r w:rsidR="00DF2CBF">
              <w:rPr>
                <w:rFonts w:ascii="Arial Black" w:hAnsi="Arial Black"/>
                <w:caps/>
                <w:sz w:val="15"/>
              </w:rPr>
              <w:t xml:space="preserve"> 18,</w:t>
            </w:r>
            <w:r w:rsidR="00937362">
              <w:rPr>
                <w:rFonts w:ascii="Arial Black" w:hAnsi="Arial Black"/>
                <w:caps/>
                <w:sz w:val="15"/>
              </w:rPr>
              <w:t xml:space="preserve">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F1227B" w:rsidRPr="006E2C26" w:rsidRDefault="00F1227B" w:rsidP="00F1227B">
      <w:pPr>
        <w:rPr>
          <w:b/>
          <w:sz w:val="28"/>
          <w:szCs w:val="28"/>
        </w:rPr>
      </w:pPr>
      <w:r w:rsidRPr="006E2C26">
        <w:rPr>
          <w:b/>
          <w:sz w:val="28"/>
          <w:szCs w:val="28"/>
        </w:rPr>
        <w:t xml:space="preserve">Committee on WIPO </w:t>
      </w:r>
      <w:smartTag w:uri="urn:schemas-microsoft-com:office:smarttags" w:element="PersonName">
        <w:r w:rsidRPr="006E2C26">
          <w:rPr>
            <w:b/>
            <w:sz w:val="28"/>
            <w:szCs w:val="28"/>
          </w:rPr>
          <w:t>Standard</w:t>
        </w:r>
      </w:smartTag>
      <w:r w:rsidRPr="006E2C26">
        <w:rPr>
          <w:b/>
          <w:sz w:val="28"/>
          <w:szCs w:val="28"/>
        </w:rPr>
        <w:t>s (CWS)</w:t>
      </w:r>
    </w:p>
    <w:p w:rsidR="00F1227B" w:rsidRPr="006E2C26" w:rsidRDefault="00F1227B" w:rsidP="00F1227B"/>
    <w:p w:rsidR="00F1227B" w:rsidRDefault="00F1227B" w:rsidP="00F1227B"/>
    <w:p w:rsidR="00F1227B" w:rsidRPr="003845C1" w:rsidRDefault="00F1227B" w:rsidP="00F1227B">
      <w:pPr>
        <w:rPr>
          <w:b/>
          <w:sz w:val="24"/>
          <w:szCs w:val="24"/>
        </w:rPr>
      </w:pPr>
      <w:r>
        <w:rPr>
          <w:b/>
          <w:sz w:val="24"/>
          <w:szCs w:val="24"/>
        </w:rPr>
        <w:t>Fourth</w:t>
      </w:r>
      <w:r w:rsidRPr="00774501">
        <w:rPr>
          <w:b/>
          <w:sz w:val="24"/>
          <w:szCs w:val="24"/>
        </w:rPr>
        <w:t xml:space="preserve"> Session</w:t>
      </w:r>
    </w:p>
    <w:p w:rsidR="00F1227B" w:rsidRPr="003845C1" w:rsidRDefault="00F1227B" w:rsidP="00F1227B">
      <w:pPr>
        <w:rPr>
          <w:b/>
          <w:sz w:val="24"/>
          <w:szCs w:val="24"/>
        </w:rPr>
      </w:pPr>
      <w:r w:rsidRPr="00774501">
        <w:rPr>
          <w:b/>
          <w:sz w:val="24"/>
          <w:szCs w:val="24"/>
        </w:rPr>
        <w:t xml:space="preserve">Geneva, </w:t>
      </w:r>
      <w:r>
        <w:rPr>
          <w:b/>
          <w:sz w:val="24"/>
          <w:szCs w:val="24"/>
        </w:rPr>
        <w:t>May</w:t>
      </w:r>
      <w:r w:rsidRPr="00774501">
        <w:rPr>
          <w:b/>
          <w:sz w:val="24"/>
          <w:szCs w:val="24"/>
        </w:rPr>
        <w:t xml:space="preserve"> </w:t>
      </w:r>
      <w:r>
        <w:rPr>
          <w:b/>
          <w:sz w:val="24"/>
          <w:szCs w:val="24"/>
        </w:rPr>
        <w:t>12</w:t>
      </w:r>
      <w:r w:rsidRPr="00774501">
        <w:rPr>
          <w:b/>
          <w:sz w:val="24"/>
          <w:szCs w:val="24"/>
        </w:rPr>
        <w:t xml:space="preserve"> to </w:t>
      </w:r>
      <w:r>
        <w:rPr>
          <w:b/>
          <w:sz w:val="24"/>
          <w:szCs w:val="24"/>
        </w:rPr>
        <w:t>16</w:t>
      </w:r>
      <w:r w:rsidRPr="00774501">
        <w:rPr>
          <w:b/>
          <w:sz w:val="24"/>
          <w:szCs w:val="24"/>
        </w:rPr>
        <w:t>, 201</w:t>
      </w:r>
      <w:r>
        <w:rPr>
          <w:b/>
          <w:sz w:val="24"/>
          <w:szCs w:val="24"/>
        </w:rPr>
        <w:t>4</w:t>
      </w:r>
    </w:p>
    <w:p w:rsidR="00F1227B" w:rsidRPr="008B2CC1" w:rsidRDefault="00F1227B" w:rsidP="00F1227B"/>
    <w:p w:rsidR="00F1227B" w:rsidRPr="008B2CC1" w:rsidRDefault="00F1227B" w:rsidP="00F1227B"/>
    <w:p w:rsidR="00F1227B" w:rsidRPr="008B2CC1" w:rsidRDefault="00F1227B" w:rsidP="00F1227B"/>
    <w:p w:rsidR="00F1227B" w:rsidRPr="008A745D" w:rsidRDefault="008D7B00" w:rsidP="007E2E0A">
      <w:pPr>
        <w:rPr>
          <w:sz w:val="24"/>
          <w:szCs w:val="24"/>
        </w:rPr>
      </w:pPr>
      <w:r w:rsidRPr="008A745D">
        <w:rPr>
          <w:sz w:val="24"/>
          <w:szCs w:val="24"/>
        </w:rPr>
        <w:t>STATUS REPORT ON THE PREPARATION OF RECOMMENDATIONS FOR THE ELECTRONIC MANAGEMENT OF SOUND MARKS AND MOTION OR MULTIMEDIA MARKS FOR ADOPTION AS WIPO STANDARD(S)</w:t>
      </w:r>
    </w:p>
    <w:p w:rsidR="00F1227B" w:rsidRPr="008B2CC1" w:rsidRDefault="00F1227B" w:rsidP="00F1227B"/>
    <w:p w:rsidR="00F1227B" w:rsidRPr="008B2CC1" w:rsidRDefault="00F1227B" w:rsidP="00F1227B">
      <w:pPr>
        <w:rPr>
          <w:i/>
        </w:rPr>
      </w:pPr>
      <w:r>
        <w:rPr>
          <w:i/>
        </w:rPr>
        <w:t>Document prepared by the Secretariat</w:t>
      </w:r>
    </w:p>
    <w:p w:rsidR="00F1227B" w:rsidRDefault="00F1227B" w:rsidP="00F1227B"/>
    <w:p w:rsidR="00F1227B" w:rsidRDefault="00F1227B" w:rsidP="00A6399B"/>
    <w:p w:rsidR="00537A47" w:rsidRDefault="00537A47" w:rsidP="00A6399B"/>
    <w:p w:rsidR="00F1227B" w:rsidRDefault="00F1227B" w:rsidP="00F1227B"/>
    <w:p w:rsidR="00F1227B" w:rsidRDefault="008D7B00" w:rsidP="008D7B00">
      <w:pPr>
        <w:pStyle w:val="Heading2"/>
      </w:pPr>
      <w:r>
        <w:t>BACKGROUND</w:t>
      </w:r>
    </w:p>
    <w:p w:rsidR="00F1227B" w:rsidRDefault="00F1227B" w:rsidP="00DF5C7F">
      <w:pPr>
        <w:pStyle w:val="ONUME"/>
      </w:pPr>
      <w:r w:rsidRPr="00282E46">
        <w:t xml:space="preserve">The Trademark Standardization Task Force </w:t>
      </w:r>
      <w:r>
        <w:t>was</w:t>
      </w:r>
      <w:r w:rsidRPr="00282E46">
        <w:t xml:space="preserve"> established at the third session of the Committee on WIPO Standards (CWS) in April 2013 in order to handle </w:t>
      </w:r>
      <w:r>
        <w:t>the following two t</w:t>
      </w:r>
      <w:r w:rsidRPr="00282E46">
        <w:t>asks of the CWS work program</w:t>
      </w:r>
      <w:r>
        <w:t>:</w:t>
      </w:r>
    </w:p>
    <w:p w:rsidR="00F1227B" w:rsidRDefault="00F1227B" w:rsidP="00DF5C7F">
      <w:pPr>
        <w:pStyle w:val="ONUME"/>
        <w:numPr>
          <w:ilvl w:val="0"/>
          <w:numId w:val="26"/>
        </w:numPr>
        <w:tabs>
          <w:tab w:val="clear" w:pos="1134"/>
          <w:tab w:val="num" w:pos="851"/>
        </w:tabs>
        <w:ind w:left="851" w:hanging="284"/>
      </w:pPr>
      <w:r>
        <w:t xml:space="preserve">Task </w:t>
      </w:r>
      <w:r w:rsidR="00A30D0C">
        <w:t xml:space="preserve">No. </w:t>
      </w:r>
      <w:r>
        <w:t>48</w:t>
      </w:r>
      <w:r w:rsidR="00AD0416">
        <w:t xml:space="preserve">:  </w:t>
      </w:r>
      <w:r w:rsidRPr="00F87BB4">
        <w:t>“Prepare a recommendation for the electronic management of sound marks for adoption as a WIPO</w:t>
      </w:r>
      <w:r>
        <w:t> </w:t>
      </w:r>
      <w:r w:rsidRPr="00F87BB4">
        <w:t>standard</w:t>
      </w:r>
      <w:r>
        <w:t>.</w:t>
      </w:r>
      <w:r w:rsidRPr="00F87BB4">
        <w:t>”</w:t>
      </w:r>
    </w:p>
    <w:p w:rsidR="00F1227B" w:rsidRDefault="00F1227B" w:rsidP="00DF5C7F">
      <w:pPr>
        <w:pStyle w:val="ONUME"/>
        <w:numPr>
          <w:ilvl w:val="0"/>
          <w:numId w:val="26"/>
        </w:numPr>
        <w:tabs>
          <w:tab w:val="clear" w:pos="1134"/>
          <w:tab w:val="num" w:pos="851"/>
        </w:tabs>
        <w:ind w:left="851" w:hanging="284"/>
      </w:pPr>
      <w:r>
        <w:t xml:space="preserve">Task </w:t>
      </w:r>
      <w:r w:rsidR="00A30D0C">
        <w:t xml:space="preserve">No. </w:t>
      </w:r>
      <w:bookmarkStart w:id="0" w:name="_GoBack"/>
      <w:bookmarkEnd w:id="0"/>
      <w:r>
        <w:t>49</w:t>
      </w:r>
      <w:r w:rsidR="00AD0416">
        <w:t xml:space="preserve">: </w:t>
      </w:r>
      <w:r>
        <w:t xml:space="preserve"> </w:t>
      </w:r>
      <w:r w:rsidRPr="00F87BB4">
        <w:t>“Prepare a recommendation for the electronic management of motion or multimedia marks for adoption as a WIPO</w:t>
      </w:r>
      <w:r>
        <w:t> </w:t>
      </w:r>
      <w:r w:rsidRPr="00F87BB4">
        <w:t>standard.”</w:t>
      </w:r>
    </w:p>
    <w:p w:rsidR="00F1227B" w:rsidRDefault="00F1227B" w:rsidP="00DF5C7F">
      <w:pPr>
        <w:pStyle w:val="ONUME"/>
        <w:numPr>
          <w:ilvl w:val="0"/>
          <w:numId w:val="0"/>
        </w:numPr>
      </w:pPr>
      <w:r w:rsidRPr="00282E46">
        <w:t>(See paragraphs 55 to 62 and paragraph 74 (</w:t>
      </w:r>
      <w:r w:rsidR="00AD0416">
        <w:t>e</w:t>
      </w:r>
      <w:r w:rsidRPr="00282E46">
        <w:t>) of document</w:t>
      </w:r>
      <w:r>
        <w:t> </w:t>
      </w:r>
      <w:r w:rsidRPr="00282E46">
        <w:t>CWS/3/14.)</w:t>
      </w:r>
    </w:p>
    <w:p w:rsidR="00F1227B" w:rsidRDefault="00F1227B" w:rsidP="00DF5C7F">
      <w:pPr>
        <w:pStyle w:val="ONUME"/>
      </w:pPr>
      <w:r w:rsidRPr="00282E46">
        <w:t xml:space="preserve">At the said third session, the </w:t>
      </w:r>
      <w:r>
        <w:t>Committee</w:t>
      </w:r>
      <w:r w:rsidRPr="00282E46">
        <w:t xml:space="preserve"> requested the Task Force to present a progress report on the work carried out, including a calendar for the development of new WIPO</w:t>
      </w:r>
      <w:r>
        <w:t> </w:t>
      </w:r>
      <w:r w:rsidRPr="00282E46">
        <w:t>standard(s), for consideration by the CWS at its fourth session.  The progress report and the calendar for the development of new WIPO</w:t>
      </w:r>
      <w:r>
        <w:t> </w:t>
      </w:r>
      <w:r w:rsidRPr="00282E46">
        <w:t xml:space="preserve">standard (s) are presented in </w:t>
      </w:r>
      <w:r>
        <w:t>paragraphs</w:t>
      </w:r>
      <w:r w:rsidR="007C4962">
        <w:t> </w:t>
      </w:r>
      <w:r>
        <w:t>3 to</w:t>
      </w:r>
      <w:r w:rsidR="007C4962">
        <w:t> </w:t>
      </w:r>
      <w:r>
        <w:t>17, below</w:t>
      </w:r>
      <w:r w:rsidRPr="00282E46">
        <w:t>.</w:t>
      </w:r>
    </w:p>
    <w:p w:rsidR="00F1227B" w:rsidRPr="00FA235B" w:rsidRDefault="008D7B00" w:rsidP="00DF5C7F">
      <w:pPr>
        <w:pStyle w:val="Heading2"/>
        <w:keepLines/>
      </w:pPr>
      <w:r>
        <w:rPr>
          <w:caps w:val="0"/>
        </w:rPr>
        <w:lastRenderedPageBreak/>
        <w:t>PROGRESS REPORT</w:t>
      </w:r>
    </w:p>
    <w:p w:rsidR="00F1227B" w:rsidRPr="00282E46" w:rsidRDefault="00F1227B" w:rsidP="00DF5C7F">
      <w:pPr>
        <w:pStyle w:val="ONUME"/>
        <w:keepLines/>
      </w:pPr>
      <w:r>
        <w:t>Following the above-mentioned decision by the CWS, representatives of nine industrial property offices and the International Bureau were nominated to participate in the Task Force in response to the invitation sent by the International Bureau in Circular C. CWS 39 of June 27, 2013.  A Wiki forum was established on the WIPO Wiki for the Task Force discussions.</w:t>
      </w:r>
    </w:p>
    <w:p w:rsidR="00F1227B" w:rsidRDefault="00F1227B" w:rsidP="00DF5C7F">
      <w:pPr>
        <w:pStyle w:val="ONUME"/>
      </w:pPr>
      <w:r>
        <w:t>The International Bureau, as Task Force Leader,</w:t>
      </w:r>
      <w:r w:rsidRPr="007F0FFA">
        <w:t xml:space="preserve"> </w:t>
      </w:r>
      <w:r>
        <w:t>prepared an</w:t>
      </w:r>
      <w:r w:rsidRPr="007F0FFA">
        <w:t xml:space="preserve"> outline of the recommendations for electronic management of</w:t>
      </w:r>
      <w:r>
        <w:t xml:space="preserve"> sound and</w:t>
      </w:r>
      <w:r w:rsidRPr="007F0FFA">
        <w:t xml:space="preserve"> motion </w:t>
      </w:r>
      <w:r>
        <w:t>or</w:t>
      </w:r>
      <w:r w:rsidRPr="007F0FFA">
        <w:t xml:space="preserve"> multimedia marks</w:t>
      </w:r>
      <w:r>
        <w:t>.  These materials were</w:t>
      </w:r>
      <w:r w:rsidRPr="007F0FFA">
        <w:t xml:space="preserve"> based on the results of two surveys carried out by the </w:t>
      </w:r>
      <w:r>
        <w:t>Trademark Standards Task</w:t>
      </w:r>
      <w:r w:rsidR="00B36E6E">
        <w:t> </w:t>
      </w:r>
      <w:r>
        <w:t>Force</w:t>
      </w:r>
      <w:r w:rsidRPr="007F0FFA">
        <w:t xml:space="preserve"> in the year</w:t>
      </w:r>
      <w:r w:rsidR="00B36E6E">
        <w:t> </w:t>
      </w:r>
      <w:r w:rsidRPr="007F0FFA">
        <w:t>2012</w:t>
      </w:r>
      <w:r>
        <w:t>, documents regarding new types of marks and non-traditional marks prepared for the Standing Committee on the Law of Trademarks, Industrial</w:t>
      </w:r>
      <w:r w:rsidR="00B36E6E">
        <w:t> </w:t>
      </w:r>
      <w:r>
        <w:t>Designs and Geographical Indications (SCT) (see documents SCT/16/2, SCT/17/2, SCT/18/2 and SCT/19/2) and the results of the informal Task</w:t>
      </w:r>
      <w:r w:rsidR="00B36E6E">
        <w:t> </w:t>
      </w:r>
      <w:r>
        <w:t>Force meeting held during the third session of the CWS in April 2013</w:t>
      </w:r>
      <w:r w:rsidRPr="007F0FFA">
        <w:t>.</w:t>
      </w:r>
    </w:p>
    <w:p w:rsidR="00F1227B" w:rsidRDefault="00F1227B" w:rsidP="00DF5C7F">
      <w:pPr>
        <w:pStyle w:val="ONUME"/>
      </w:pPr>
      <w:r>
        <w:t>Task Force discussion started in August 2013 and had two rounds for each of the components:  recommendations for sound marks and recommendations for motion or multimedia marks.  The main results of the discussion and the issues considered by the Task</w:t>
      </w:r>
      <w:r w:rsidR="00B36E6E">
        <w:t> </w:t>
      </w:r>
      <w:r>
        <w:t xml:space="preserve">Force are </w:t>
      </w:r>
      <w:r w:rsidR="00AD0416">
        <w:t>referred to below</w:t>
      </w:r>
      <w:r>
        <w:t>.</w:t>
      </w:r>
    </w:p>
    <w:p w:rsidR="00F1227B" w:rsidRDefault="00F1227B" w:rsidP="00DF5C7F">
      <w:pPr>
        <w:pStyle w:val="Heading3"/>
      </w:pPr>
      <w:r>
        <w:t>Sound Marks</w:t>
      </w:r>
    </w:p>
    <w:p w:rsidR="00F1227B" w:rsidRPr="00282E46" w:rsidRDefault="00F1227B" w:rsidP="00DF5C7F">
      <w:pPr>
        <w:pStyle w:val="ONUME"/>
      </w:pPr>
      <w:r>
        <w:t>It was preliminarily agreed by the Task Force that the future standard should provide recommendations on electronic management of the recording of the sound constituting the mark as well as its graphical represe</w:t>
      </w:r>
      <w:r w:rsidR="00AD0416">
        <w:t>ntation and textual description.  Th</w:t>
      </w:r>
      <w:r>
        <w:t xml:space="preserve">e electronic management of the graphical representation should follow </w:t>
      </w:r>
      <w:r w:rsidRPr="00282E46">
        <w:t>relevant recommendations of</w:t>
      </w:r>
      <w:r w:rsidR="00B36E6E">
        <w:t> </w:t>
      </w:r>
      <w:r w:rsidRPr="00282E46">
        <w:t>ST.67.</w:t>
      </w:r>
    </w:p>
    <w:p w:rsidR="00F1227B" w:rsidRDefault="00F1227B" w:rsidP="00DF5C7F">
      <w:pPr>
        <w:pStyle w:val="ONUME"/>
      </w:pPr>
      <w:r>
        <w:t>Task Force members discussed and reached a provisional agreement on the definition of the “sound mark” and certain relevant file formats.  It was also decided to provide recommendations on the publication of sound marks in a separate section.</w:t>
      </w:r>
    </w:p>
    <w:p w:rsidR="00F1227B" w:rsidRDefault="00F1227B" w:rsidP="00DF5C7F">
      <w:pPr>
        <w:pStyle w:val="ONUME"/>
      </w:pPr>
      <w:r>
        <w:t xml:space="preserve">The possibility of </w:t>
      </w:r>
      <w:r w:rsidRPr="004C6112">
        <w:t>provid</w:t>
      </w:r>
      <w:r>
        <w:t>ing</w:t>
      </w:r>
      <w:r w:rsidRPr="004C6112">
        <w:t xml:space="preserve"> recommendations on the conversion of the analog recording to the digital format</w:t>
      </w:r>
      <w:r w:rsidR="00AD0416">
        <w:t xml:space="preserve"> was also considered. </w:t>
      </w:r>
      <w:r>
        <w:t xml:space="preserve"> Task Force members came to the conclusion that it is advisable to recommend that the recording of the sound be filed in digital format.</w:t>
      </w:r>
    </w:p>
    <w:p w:rsidR="00F1227B" w:rsidRDefault="00F1227B" w:rsidP="00DF5C7F">
      <w:pPr>
        <w:pStyle w:val="ONUME"/>
      </w:pPr>
      <w:r>
        <w:t>Inclusion of open source or patent-free file formats is current</w:t>
      </w:r>
      <w:r w:rsidR="00B36E6E">
        <w:t>ly under discussion by the Task </w:t>
      </w:r>
      <w:r>
        <w:t>Force.  Task Force members understand the advantages of including them in the recommendations, but at the same time it seems advisable to minimize the number of recommended formats.</w:t>
      </w:r>
    </w:p>
    <w:p w:rsidR="00F1227B" w:rsidRDefault="00F1227B" w:rsidP="00DF5C7F">
      <w:pPr>
        <w:pStyle w:val="ONUME"/>
      </w:pPr>
      <w:r>
        <w:t>The issue concerning the limitation on the file size and the suggested file</w:t>
      </w:r>
      <w:r w:rsidR="00B36E6E">
        <w:t> </w:t>
      </w:r>
      <w:r>
        <w:t>size is also being discussed by the Task</w:t>
      </w:r>
      <w:r w:rsidR="00B36E6E">
        <w:t> </w:t>
      </w:r>
      <w:r>
        <w:t>Force.</w:t>
      </w:r>
    </w:p>
    <w:p w:rsidR="00F1227B" w:rsidRDefault="00F1227B" w:rsidP="00DF5C7F">
      <w:pPr>
        <w:pStyle w:val="Heading3"/>
      </w:pPr>
      <w:r>
        <w:t>Motion or Multimedia Marks</w:t>
      </w:r>
    </w:p>
    <w:p w:rsidR="00F1227B" w:rsidRPr="00282E46" w:rsidRDefault="00F1227B" w:rsidP="00DF5C7F">
      <w:pPr>
        <w:pStyle w:val="ONUME"/>
      </w:pPr>
      <w:r>
        <w:t>It was preliminarily agreed by the Task</w:t>
      </w:r>
      <w:r w:rsidR="00B36E6E">
        <w:t> </w:t>
      </w:r>
      <w:r>
        <w:t xml:space="preserve">Force that the future standard should provide recommendations on electronic management of the recording of the </w:t>
      </w:r>
      <w:r w:rsidRPr="00BB0A18">
        <w:t xml:space="preserve">movement or multimedia </w:t>
      </w:r>
      <w:r>
        <w:t>constituting the mark as well as its graphical representation and textual description</w:t>
      </w:r>
      <w:r w:rsidR="00AD0416">
        <w:t xml:space="preserve">. </w:t>
      </w:r>
      <w:r>
        <w:t xml:space="preserve"> </w:t>
      </w:r>
      <w:r w:rsidR="00AD0416">
        <w:t>Th</w:t>
      </w:r>
      <w:r>
        <w:t xml:space="preserve">e electronic management of the graphical representation should follow </w:t>
      </w:r>
      <w:r w:rsidRPr="00282E46">
        <w:t>relevant recommendations of</w:t>
      </w:r>
      <w:r w:rsidR="00B36E6E">
        <w:t> </w:t>
      </w:r>
      <w:r w:rsidRPr="00282E46">
        <w:t>ST.67.</w:t>
      </w:r>
    </w:p>
    <w:p w:rsidR="00F1227B" w:rsidRDefault="00F1227B" w:rsidP="00DF5C7F">
      <w:pPr>
        <w:pStyle w:val="ONUME"/>
      </w:pPr>
      <w:r w:rsidRPr="00282E46">
        <w:t>Ta</w:t>
      </w:r>
      <w:r>
        <w:t>sk Force members discussed the scope of the recommendations to be prepared and came to the preliminary agreement that the new standard should cover multimedia marks, understanding by “multimedia” the combination of movement and sound.  However</w:t>
      </w:r>
      <w:r w:rsidR="00AD0416">
        <w:t>,</w:t>
      </w:r>
      <w:r>
        <w:t xml:space="preserve"> the opinion that the scope should be limited to motion marks only was also expressed on the grounds that </w:t>
      </w:r>
      <w:r w:rsidRPr="00720520">
        <w:t xml:space="preserve">the volume of accepted applications for multimedia marks is not sufficiently large to provide </w:t>
      </w:r>
      <w:r>
        <w:t xml:space="preserve">practical </w:t>
      </w:r>
      <w:r w:rsidRPr="00720520">
        <w:t>basis for a new standard</w:t>
      </w:r>
      <w:r>
        <w:t>.</w:t>
      </w:r>
    </w:p>
    <w:p w:rsidR="00F1227B" w:rsidRDefault="00F1227B" w:rsidP="00DF5C7F">
      <w:pPr>
        <w:pStyle w:val="ONUME"/>
      </w:pPr>
      <w:r>
        <w:lastRenderedPageBreak/>
        <w:t>Task Force members discussed and reached a provisional agreement on the definition of the “motion</w:t>
      </w:r>
      <w:r w:rsidR="00A97152">
        <w:t> </w:t>
      </w:r>
      <w:r>
        <w:t xml:space="preserve">mark” and </w:t>
      </w:r>
      <w:r w:rsidRPr="00B80616">
        <w:t>“multimedia</w:t>
      </w:r>
      <w:r w:rsidR="00A97152">
        <w:t> </w:t>
      </w:r>
      <w:r w:rsidRPr="00B80616">
        <w:t>mark”</w:t>
      </w:r>
      <w:r>
        <w:t>,</w:t>
      </w:r>
      <w:r w:rsidRPr="00B80616">
        <w:t xml:space="preserve"> as well as </w:t>
      </w:r>
      <w:r>
        <w:t>certain relevant file</w:t>
      </w:r>
      <w:r w:rsidR="00A97152">
        <w:t> </w:t>
      </w:r>
      <w:r>
        <w:t>formats.  It was also decided to provide recommendations on the publication of motion or multimedia marks in a separate section.</w:t>
      </w:r>
    </w:p>
    <w:p w:rsidR="00F1227B" w:rsidRDefault="00F1227B" w:rsidP="00DF5C7F">
      <w:pPr>
        <w:pStyle w:val="ONUME"/>
      </w:pPr>
      <w:r>
        <w:t xml:space="preserve">Two different approaches </w:t>
      </w:r>
      <w:r w:rsidRPr="00B80616">
        <w:t>for graphical representation of the motion</w:t>
      </w:r>
      <w:r>
        <w:t xml:space="preserve"> are currently under discussion by the Task</w:t>
      </w:r>
      <w:r w:rsidR="00A97152">
        <w:t> </w:t>
      </w:r>
      <w:r>
        <w:t>Force.  First approach recommends that the graphical r</w:t>
      </w:r>
      <w:r w:rsidR="00AD0416">
        <w:t>epresentation of a mark consist</w:t>
      </w:r>
      <w:r>
        <w:t xml:space="preserve"> of </w:t>
      </w:r>
      <w:r w:rsidRPr="00B935A0">
        <w:rPr>
          <w:szCs w:val="22"/>
        </w:rPr>
        <w:t xml:space="preserve">a series </w:t>
      </w:r>
      <w:r w:rsidRPr="00EC2671">
        <w:rPr>
          <w:szCs w:val="22"/>
        </w:rPr>
        <w:t>of selected images that depict the movement</w:t>
      </w:r>
      <w:r>
        <w:rPr>
          <w:szCs w:val="22"/>
        </w:rPr>
        <w:t xml:space="preserve">, whereas the second approach is that one image </w:t>
      </w:r>
      <w:r w:rsidRPr="00710099">
        <w:t>depicting multiple stages of the movement</w:t>
      </w:r>
      <w:r>
        <w:t xml:space="preserve"> </w:t>
      </w:r>
      <w:proofErr w:type="gramStart"/>
      <w:r w:rsidR="00AD0416">
        <w:t>be</w:t>
      </w:r>
      <w:proofErr w:type="gramEnd"/>
      <w:r>
        <w:t xml:space="preserve"> used for its graphical representation.</w:t>
      </w:r>
    </w:p>
    <w:p w:rsidR="00F1227B" w:rsidRDefault="00F1227B" w:rsidP="00DF5C7F">
      <w:pPr>
        <w:pStyle w:val="ONUME"/>
      </w:pPr>
      <w:r>
        <w:t xml:space="preserve">The possibility of </w:t>
      </w:r>
      <w:r w:rsidRPr="004C6112">
        <w:t>provid</w:t>
      </w:r>
      <w:r>
        <w:t>ing</w:t>
      </w:r>
      <w:r w:rsidRPr="004C6112">
        <w:t xml:space="preserve"> recommendations on the conversion of the analog recording to the digital format</w:t>
      </w:r>
      <w:r>
        <w:t xml:space="preserve"> was also considered, but, as in the case of sound marks, Task</w:t>
      </w:r>
      <w:r w:rsidR="00A97152">
        <w:t> </w:t>
      </w:r>
      <w:r>
        <w:t xml:space="preserve">Force members came to the conclusion that it is advisable to recommend that the recording </w:t>
      </w:r>
      <w:r w:rsidRPr="00125CA1">
        <w:t xml:space="preserve">of the movement or multimedia constituting the mark </w:t>
      </w:r>
      <w:r>
        <w:t>be filed in digital format.</w:t>
      </w:r>
    </w:p>
    <w:p w:rsidR="00F1227B" w:rsidRDefault="00F1227B" w:rsidP="00DF5C7F">
      <w:pPr>
        <w:pStyle w:val="ONUME"/>
      </w:pPr>
      <w:r>
        <w:t>Recommendations on file format and size are also being dis</w:t>
      </w:r>
      <w:r w:rsidR="00AD0416">
        <w:t>cussed by the Task Force</w:t>
      </w:r>
      <w:r>
        <w:t>.</w:t>
      </w:r>
    </w:p>
    <w:p w:rsidR="00F1227B" w:rsidRDefault="008D7B00" w:rsidP="00DF5C7F">
      <w:pPr>
        <w:pStyle w:val="Heading2"/>
      </w:pPr>
      <w:r>
        <w:rPr>
          <w:caps w:val="0"/>
        </w:rPr>
        <w:t>CALENDAR</w:t>
      </w:r>
    </w:p>
    <w:p w:rsidR="00F1227B" w:rsidRDefault="00F1227B" w:rsidP="00DF5C7F">
      <w:pPr>
        <w:pStyle w:val="ONUME"/>
      </w:pPr>
      <w:r>
        <w:t>Following the above-mention</w:t>
      </w:r>
      <w:r w:rsidR="00A97152">
        <w:t>ed request by the CWS, the Task </w:t>
      </w:r>
      <w:r>
        <w:t xml:space="preserve">Force has prepared the following calendar </w:t>
      </w:r>
      <w:r w:rsidRPr="00282E46">
        <w:t>for the deve</w:t>
      </w:r>
      <w:r>
        <w:t>lopment of new WIPO  standard(s)</w:t>
      </w:r>
      <w:r w:rsidRPr="00282E46">
        <w:t xml:space="preserve"> for consideration by the </w:t>
      </w:r>
      <w:r>
        <w:t>Committee:</w:t>
      </w:r>
    </w:p>
    <w:tbl>
      <w:tblPr>
        <w:tblStyle w:val="TableGrid"/>
        <w:tblW w:w="9572" w:type="dxa"/>
        <w:tblLook w:val="04A0" w:firstRow="1" w:lastRow="0" w:firstColumn="1" w:lastColumn="0" w:noHBand="0" w:noVBand="1"/>
      </w:tblPr>
      <w:tblGrid>
        <w:gridCol w:w="3190"/>
        <w:gridCol w:w="3191"/>
        <w:gridCol w:w="3191"/>
      </w:tblGrid>
      <w:tr w:rsidR="00F1227B" w:rsidRPr="00C8481B" w:rsidTr="00202518">
        <w:tc>
          <w:tcPr>
            <w:tcW w:w="3190" w:type="dxa"/>
            <w:vAlign w:val="center"/>
          </w:tcPr>
          <w:p w:rsidR="00F1227B" w:rsidRPr="00C8481B" w:rsidRDefault="00F1227B" w:rsidP="00DF5C7F">
            <w:pPr>
              <w:pStyle w:val="ONUME"/>
              <w:numPr>
                <w:ilvl w:val="0"/>
                <w:numId w:val="0"/>
              </w:numPr>
              <w:rPr>
                <w:b/>
              </w:rPr>
            </w:pPr>
            <w:r w:rsidRPr="00C8481B">
              <w:rPr>
                <w:b/>
              </w:rPr>
              <w:t>Action</w:t>
            </w:r>
          </w:p>
        </w:tc>
        <w:tc>
          <w:tcPr>
            <w:tcW w:w="3191" w:type="dxa"/>
            <w:vAlign w:val="center"/>
          </w:tcPr>
          <w:p w:rsidR="00F1227B" w:rsidRPr="00C8481B" w:rsidRDefault="00F1227B" w:rsidP="00DF5C7F">
            <w:pPr>
              <w:pStyle w:val="ONUME"/>
              <w:numPr>
                <w:ilvl w:val="0"/>
                <w:numId w:val="0"/>
              </w:numPr>
              <w:rPr>
                <w:b/>
              </w:rPr>
            </w:pPr>
            <w:r w:rsidRPr="00C8481B">
              <w:rPr>
                <w:b/>
              </w:rPr>
              <w:t>Expected result</w:t>
            </w:r>
          </w:p>
        </w:tc>
        <w:tc>
          <w:tcPr>
            <w:tcW w:w="3191" w:type="dxa"/>
            <w:vAlign w:val="center"/>
          </w:tcPr>
          <w:p w:rsidR="00F1227B" w:rsidRPr="00C8481B" w:rsidRDefault="00F1227B" w:rsidP="00DF5C7F">
            <w:pPr>
              <w:pStyle w:val="ONUME"/>
              <w:numPr>
                <w:ilvl w:val="0"/>
                <w:numId w:val="0"/>
              </w:numPr>
              <w:rPr>
                <w:b/>
              </w:rPr>
            </w:pPr>
            <w:r w:rsidRPr="00C8481B">
              <w:rPr>
                <w:b/>
              </w:rPr>
              <w:t>Planned date</w:t>
            </w:r>
          </w:p>
        </w:tc>
      </w:tr>
      <w:tr w:rsidR="00F1227B" w:rsidTr="00202518">
        <w:tc>
          <w:tcPr>
            <w:tcW w:w="3190" w:type="dxa"/>
          </w:tcPr>
          <w:p w:rsidR="00F1227B" w:rsidRDefault="00F1227B" w:rsidP="00DF5C7F">
            <w:pPr>
              <w:pStyle w:val="ONUME"/>
              <w:numPr>
                <w:ilvl w:val="0"/>
                <w:numId w:val="0"/>
              </w:numPr>
            </w:pPr>
            <w:r w:rsidRPr="00360885">
              <w:t>P</w:t>
            </w:r>
            <w:r>
              <w:t>resenting p</w:t>
            </w:r>
            <w:r w:rsidRPr="00360885">
              <w:t xml:space="preserve">rogress report </w:t>
            </w:r>
            <w:r>
              <w:t>at the fourth session of the CWS</w:t>
            </w:r>
          </w:p>
        </w:tc>
        <w:tc>
          <w:tcPr>
            <w:tcW w:w="3191" w:type="dxa"/>
          </w:tcPr>
          <w:p w:rsidR="00F1227B" w:rsidRDefault="00F1227B" w:rsidP="00DF5C7F">
            <w:pPr>
              <w:pStyle w:val="ONUME"/>
              <w:numPr>
                <w:ilvl w:val="0"/>
                <w:numId w:val="0"/>
              </w:numPr>
            </w:pPr>
            <w:r>
              <w:t>T</w:t>
            </w:r>
            <w:r w:rsidRPr="00360885">
              <w:t>he C</w:t>
            </w:r>
            <w:r>
              <w:t>WS is informed</w:t>
            </w:r>
            <w:r w:rsidRPr="00360885">
              <w:t xml:space="preserve"> on the progress achieved and </w:t>
            </w:r>
            <w:r>
              <w:t xml:space="preserve">the Task Force </w:t>
            </w:r>
            <w:r w:rsidRPr="00360885">
              <w:t>receiv</w:t>
            </w:r>
            <w:r>
              <w:t>es</w:t>
            </w:r>
            <w:r w:rsidRPr="00360885">
              <w:t xml:space="preserve"> eventual additional input</w:t>
            </w:r>
          </w:p>
        </w:tc>
        <w:tc>
          <w:tcPr>
            <w:tcW w:w="3191" w:type="dxa"/>
          </w:tcPr>
          <w:p w:rsidR="00F1227B" w:rsidRDefault="00F1227B" w:rsidP="00DF5C7F">
            <w:pPr>
              <w:pStyle w:val="ONUME"/>
              <w:numPr>
                <w:ilvl w:val="0"/>
                <w:numId w:val="0"/>
              </w:numPr>
            </w:pPr>
            <w:r>
              <w:t>May 2014 (CWS/4)</w:t>
            </w:r>
          </w:p>
        </w:tc>
      </w:tr>
      <w:tr w:rsidR="00F1227B" w:rsidTr="00202518">
        <w:tc>
          <w:tcPr>
            <w:tcW w:w="3190" w:type="dxa"/>
          </w:tcPr>
          <w:p w:rsidR="00F1227B" w:rsidRDefault="00F1227B" w:rsidP="00DF5C7F">
            <w:pPr>
              <w:pStyle w:val="ONUME"/>
              <w:numPr>
                <w:ilvl w:val="0"/>
                <w:numId w:val="0"/>
              </w:numPr>
            </w:pPr>
            <w:r>
              <w:t xml:space="preserve">Informal meeting of the Task Force </w:t>
            </w:r>
          </w:p>
        </w:tc>
        <w:tc>
          <w:tcPr>
            <w:tcW w:w="3191" w:type="dxa"/>
          </w:tcPr>
          <w:p w:rsidR="00F1227B" w:rsidRDefault="00F1227B" w:rsidP="00DF5C7F">
            <w:pPr>
              <w:pStyle w:val="ONUME"/>
              <w:numPr>
                <w:ilvl w:val="0"/>
                <w:numId w:val="0"/>
              </w:numPr>
            </w:pPr>
            <w:r>
              <w:t xml:space="preserve">Common position is defined with respect to the question </w:t>
            </w:r>
            <w:r w:rsidRPr="00360885">
              <w:t>whet</w:t>
            </w:r>
            <w:r w:rsidR="00A97152">
              <w:t>her one single or two separate s</w:t>
            </w:r>
            <w:r w:rsidRPr="00360885">
              <w:t>tandards should be prepared</w:t>
            </w:r>
            <w:r>
              <w:t xml:space="preserve"> and other open issues</w:t>
            </w:r>
          </w:p>
        </w:tc>
        <w:tc>
          <w:tcPr>
            <w:tcW w:w="3191" w:type="dxa"/>
          </w:tcPr>
          <w:p w:rsidR="00F1227B" w:rsidRDefault="00F1227B" w:rsidP="00DF5C7F">
            <w:pPr>
              <w:pStyle w:val="ONUME"/>
              <w:numPr>
                <w:ilvl w:val="0"/>
                <w:numId w:val="0"/>
              </w:numPr>
            </w:pPr>
            <w:r>
              <w:t>May 2014 (during CWS/4)</w:t>
            </w:r>
          </w:p>
        </w:tc>
      </w:tr>
      <w:tr w:rsidR="00F1227B" w:rsidTr="00202518">
        <w:tc>
          <w:tcPr>
            <w:tcW w:w="3190" w:type="dxa"/>
          </w:tcPr>
          <w:p w:rsidR="00F1227B" w:rsidRDefault="00F1227B" w:rsidP="00DF5C7F">
            <w:pPr>
              <w:pStyle w:val="ONUME"/>
              <w:numPr>
                <w:ilvl w:val="0"/>
                <w:numId w:val="0"/>
              </w:numPr>
            </w:pPr>
            <w:r>
              <w:t>Three more rounds of discussion on the Wiki Task Force forum</w:t>
            </w:r>
          </w:p>
        </w:tc>
        <w:tc>
          <w:tcPr>
            <w:tcW w:w="3191" w:type="dxa"/>
          </w:tcPr>
          <w:p w:rsidR="00F1227B" w:rsidRDefault="00F1227B" w:rsidP="00DF5C7F">
            <w:pPr>
              <w:pStyle w:val="ONUME"/>
              <w:numPr>
                <w:ilvl w:val="0"/>
                <w:numId w:val="0"/>
              </w:numPr>
            </w:pPr>
            <w:r>
              <w:t>Preparation of recommendations for consideration and approval by the CWS at its fifth session</w:t>
            </w:r>
          </w:p>
        </w:tc>
        <w:tc>
          <w:tcPr>
            <w:tcW w:w="3191" w:type="dxa"/>
          </w:tcPr>
          <w:p w:rsidR="00F1227B" w:rsidRDefault="00F1227B" w:rsidP="00DF5C7F">
            <w:pPr>
              <w:pStyle w:val="ONUME"/>
              <w:numPr>
                <w:ilvl w:val="0"/>
                <w:numId w:val="0"/>
              </w:numPr>
            </w:pPr>
            <w:r>
              <w:t>By November 2014</w:t>
            </w:r>
          </w:p>
        </w:tc>
      </w:tr>
      <w:tr w:rsidR="00F1227B" w:rsidTr="00202518">
        <w:tc>
          <w:tcPr>
            <w:tcW w:w="3190" w:type="dxa"/>
          </w:tcPr>
          <w:p w:rsidR="00F1227B" w:rsidRDefault="00F1227B" w:rsidP="00DF5C7F">
            <w:pPr>
              <w:pStyle w:val="ONUME"/>
              <w:numPr>
                <w:ilvl w:val="0"/>
                <w:numId w:val="0"/>
              </w:numPr>
            </w:pPr>
            <w:r>
              <w:t>Presenting the proposal for consideration and approval at the fifth session of the CWS</w:t>
            </w:r>
          </w:p>
        </w:tc>
        <w:tc>
          <w:tcPr>
            <w:tcW w:w="3191" w:type="dxa"/>
          </w:tcPr>
          <w:p w:rsidR="00F1227B" w:rsidRDefault="002620E3" w:rsidP="00DF5C7F">
            <w:pPr>
              <w:pStyle w:val="ONUME"/>
              <w:numPr>
                <w:ilvl w:val="0"/>
                <w:numId w:val="0"/>
              </w:numPr>
            </w:pPr>
            <w:r>
              <w:t>New WIPO s</w:t>
            </w:r>
            <w:r w:rsidR="00F1227B">
              <w:t>tandard(s) adopted or guidance is received from the CWS</w:t>
            </w:r>
          </w:p>
        </w:tc>
        <w:tc>
          <w:tcPr>
            <w:tcW w:w="3191" w:type="dxa"/>
          </w:tcPr>
          <w:p w:rsidR="00F1227B" w:rsidRDefault="00F1227B" w:rsidP="00DF5C7F">
            <w:pPr>
              <w:pStyle w:val="ONUME"/>
              <w:numPr>
                <w:ilvl w:val="0"/>
                <w:numId w:val="0"/>
              </w:numPr>
            </w:pPr>
            <w:r>
              <w:t>In 2015 (CWS/5)</w:t>
            </w:r>
          </w:p>
        </w:tc>
      </w:tr>
    </w:tbl>
    <w:p w:rsidR="00F1227B" w:rsidRDefault="00F1227B" w:rsidP="00DF5C7F">
      <w:pPr>
        <w:pStyle w:val="ONUME"/>
        <w:numPr>
          <w:ilvl w:val="0"/>
          <w:numId w:val="0"/>
        </w:numPr>
      </w:pPr>
    </w:p>
    <w:p w:rsidR="00F1227B" w:rsidRDefault="00F1227B" w:rsidP="00DF5C7F">
      <w:pPr>
        <w:pStyle w:val="ONUME"/>
        <w:keepNext/>
        <w:keepLines/>
        <w:ind w:left="5534"/>
        <w:rPr>
          <w:i/>
        </w:rPr>
      </w:pPr>
      <w:r w:rsidRPr="00C8481B">
        <w:rPr>
          <w:i/>
        </w:rPr>
        <w:t>The CWS is invited to</w:t>
      </w:r>
      <w:r>
        <w:rPr>
          <w:i/>
        </w:rPr>
        <w:t>:</w:t>
      </w:r>
    </w:p>
    <w:p w:rsidR="00F1227B" w:rsidRDefault="00F1227B" w:rsidP="00DF5C7F">
      <w:pPr>
        <w:pStyle w:val="ONUME"/>
        <w:numPr>
          <w:ilvl w:val="1"/>
          <w:numId w:val="5"/>
        </w:numPr>
        <w:ind w:left="5534" w:firstLine="771"/>
        <w:rPr>
          <w:i/>
        </w:rPr>
      </w:pPr>
      <w:r>
        <w:rPr>
          <w:i/>
        </w:rPr>
        <w:t>note</w:t>
      </w:r>
      <w:r w:rsidRPr="00C8481B">
        <w:rPr>
          <w:i/>
        </w:rPr>
        <w:t xml:space="preserve"> the </w:t>
      </w:r>
      <w:r>
        <w:rPr>
          <w:i/>
        </w:rPr>
        <w:t>progress report provided in paragraphs 3 to 16, above;  and</w:t>
      </w:r>
    </w:p>
    <w:p w:rsidR="00F1227B" w:rsidRDefault="00F1227B" w:rsidP="00DF5C7F">
      <w:pPr>
        <w:pStyle w:val="ONUME"/>
        <w:keepLines/>
        <w:numPr>
          <w:ilvl w:val="1"/>
          <w:numId w:val="5"/>
        </w:numPr>
        <w:ind w:left="5534" w:firstLine="771"/>
        <w:rPr>
          <w:i/>
        </w:rPr>
      </w:pPr>
      <w:proofErr w:type="gramStart"/>
      <w:r>
        <w:rPr>
          <w:i/>
        </w:rPr>
        <w:lastRenderedPageBreak/>
        <w:t>consider</w:t>
      </w:r>
      <w:proofErr w:type="gramEnd"/>
      <w:r>
        <w:rPr>
          <w:i/>
        </w:rPr>
        <w:t xml:space="preserve"> and approve the calendar </w:t>
      </w:r>
      <w:r w:rsidRPr="00C8481B">
        <w:rPr>
          <w:i/>
        </w:rPr>
        <w:t>f</w:t>
      </w:r>
      <w:r w:rsidR="002620E3">
        <w:rPr>
          <w:i/>
        </w:rPr>
        <w:t>or the development of new WIPO s</w:t>
      </w:r>
      <w:r w:rsidRPr="00C8481B">
        <w:rPr>
          <w:i/>
        </w:rPr>
        <w:t>tandard(s) as reproduced in paragraph 17, above.</w:t>
      </w:r>
    </w:p>
    <w:p w:rsidR="00F1227B" w:rsidRDefault="00F1227B" w:rsidP="00DF5C7F">
      <w:pPr>
        <w:pStyle w:val="Endofdocument-Annex"/>
      </w:pPr>
    </w:p>
    <w:p w:rsidR="00F1227B" w:rsidRDefault="00F1227B" w:rsidP="00DF5C7F">
      <w:pPr>
        <w:pStyle w:val="Endofdocument-Annex"/>
      </w:pPr>
    </w:p>
    <w:p w:rsidR="00F1227B" w:rsidRPr="00C8481B" w:rsidRDefault="00F1227B" w:rsidP="00DF5C7F">
      <w:pPr>
        <w:pStyle w:val="Endofdocument-Annex"/>
      </w:pPr>
      <w:r>
        <w:t>[End of document]</w:t>
      </w:r>
    </w:p>
    <w:p w:rsidR="00C8481B" w:rsidRPr="00C8481B" w:rsidRDefault="00C8481B" w:rsidP="00DF5C7F">
      <w:pPr>
        <w:rPr>
          <w:i/>
        </w:rPr>
      </w:pPr>
    </w:p>
    <w:sectPr w:rsidR="00C8481B" w:rsidRPr="00C8481B" w:rsidSect="00E452B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B17" w:rsidRDefault="00A40B17">
      <w:r>
        <w:separator/>
      </w:r>
    </w:p>
  </w:endnote>
  <w:endnote w:type="continuationSeparator" w:id="0">
    <w:p w:rsidR="00A40B17" w:rsidRDefault="00A40B17" w:rsidP="003B38C1">
      <w:r>
        <w:separator/>
      </w:r>
    </w:p>
    <w:p w:rsidR="00A40B17" w:rsidRPr="003B38C1" w:rsidRDefault="00A40B17" w:rsidP="003B38C1">
      <w:pPr>
        <w:spacing w:after="60"/>
        <w:rPr>
          <w:sz w:val="17"/>
        </w:rPr>
      </w:pPr>
      <w:r>
        <w:rPr>
          <w:sz w:val="17"/>
        </w:rPr>
        <w:t>[Endnote continued from previous page]</w:t>
      </w:r>
    </w:p>
  </w:endnote>
  <w:endnote w:type="continuationNotice" w:id="1">
    <w:p w:rsidR="00A40B17" w:rsidRPr="003B38C1" w:rsidRDefault="00A40B1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lleniaUPC">
    <w:panose1 w:val="02020603050405020304"/>
    <w:charset w:val="00"/>
    <w:family w:val="roman"/>
    <w:pitch w:val="variable"/>
    <w:sig w:usb0="81000027" w:usb1="00000002" w:usb2="00000000" w:usb3="00000000" w:csb0="00010001"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B17" w:rsidRDefault="00A40B17">
      <w:r>
        <w:separator/>
      </w:r>
    </w:p>
  </w:footnote>
  <w:footnote w:type="continuationSeparator" w:id="0">
    <w:p w:rsidR="00A40B17" w:rsidRDefault="00A40B17" w:rsidP="008B60B2">
      <w:r>
        <w:separator/>
      </w:r>
    </w:p>
    <w:p w:rsidR="00A40B17" w:rsidRPr="00ED77FB" w:rsidRDefault="00A40B17" w:rsidP="008B60B2">
      <w:pPr>
        <w:spacing w:after="60"/>
        <w:rPr>
          <w:sz w:val="17"/>
          <w:szCs w:val="17"/>
        </w:rPr>
      </w:pPr>
      <w:r w:rsidRPr="00ED77FB">
        <w:rPr>
          <w:sz w:val="17"/>
          <w:szCs w:val="17"/>
        </w:rPr>
        <w:t>[Footnote continued from previous page]</w:t>
      </w:r>
    </w:p>
  </w:footnote>
  <w:footnote w:type="continuationNotice" w:id="1">
    <w:p w:rsidR="00A40B17" w:rsidRPr="00ED77FB" w:rsidRDefault="00A40B1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E452B8" w:rsidP="00477D6B">
    <w:pPr>
      <w:jc w:val="right"/>
    </w:pPr>
    <w:r>
      <w:t>CWS/4/10</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A30D0C">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650323"/>
    <w:multiLevelType w:val="hybridMultilevel"/>
    <w:tmpl w:val="093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094A71"/>
    <w:multiLevelType w:val="hybridMultilevel"/>
    <w:tmpl w:val="1D7C8072"/>
    <w:lvl w:ilvl="0" w:tplc="64A46148">
      <w:numFmt w:val="bullet"/>
      <w:lvlText w:val=""/>
      <w:lvlJc w:val="left"/>
      <w:pPr>
        <w:tabs>
          <w:tab w:val="num" w:pos="1494"/>
        </w:tabs>
        <w:ind w:left="1494" w:hanging="360"/>
      </w:pPr>
      <w:rPr>
        <w:rFonts w:ascii="Symbol" w:eastAsia="DilleniaUPC" w:hAnsi="Symbol" w:cs="TimesNewRoman" w:hint="default"/>
        <w:color w:val="auto"/>
      </w:rPr>
    </w:lvl>
    <w:lvl w:ilvl="1" w:tplc="04090003" w:tentative="1">
      <w:start w:val="1"/>
      <w:numFmt w:val="bullet"/>
      <w:lvlText w:val="o"/>
      <w:lvlJc w:val="left"/>
      <w:pPr>
        <w:tabs>
          <w:tab w:val="num" w:pos="3348"/>
        </w:tabs>
        <w:ind w:left="3348" w:hanging="360"/>
      </w:pPr>
      <w:rPr>
        <w:rFonts w:ascii="Courier New" w:hAnsi="Courier New" w:cs="Courier New" w:hint="default"/>
      </w:rPr>
    </w:lvl>
    <w:lvl w:ilvl="2" w:tplc="04090005" w:tentative="1">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6">
    <w:nsid w:val="31EA1839"/>
    <w:multiLevelType w:val="multilevel"/>
    <w:tmpl w:val="FCFE3420"/>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7">
    <w:nsid w:val="35F54264"/>
    <w:multiLevelType w:val="hybridMultilevel"/>
    <w:tmpl w:val="6F6A9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8"/>
  </w:num>
  <w:num w:numId="3">
    <w:abstractNumId w:val="0"/>
  </w:num>
  <w:num w:numId="4">
    <w:abstractNumId w:val="9"/>
  </w:num>
  <w:num w:numId="5">
    <w:abstractNumId w:val="1"/>
  </w:num>
  <w:num w:numId="6">
    <w:abstractNumId w:val="4"/>
  </w:num>
  <w:num w:numId="7">
    <w:abstractNumId w:val="3"/>
  </w:num>
  <w:num w:numId="8">
    <w:abstractNumId w:val="7"/>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0"/>
  </w:num>
  <w:num w:numId="22">
    <w:abstractNumId w:val="1"/>
  </w:num>
  <w:num w:numId="23">
    <w:abstractNumId w:val="1"/>
  </w:num>
  <w:num w:numId="24">
    <w:abstractNumId w:val="1"/>
  </w:num>
  <w:num w:numId="25">
    <w:abstractNumId w:val="5"/>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2B8"/>
    <w:rsid w:val="00043CAA"/>
    <w:rsid w:val="00075432"/>
    <w:rsid w:val="000779CB"/>
    <w:rsid w:val="000968ED"/>
    <w:rsid w:val="000C4649"/>
    <w:rsid w:val="000E100D"/>
    <w:rsid w:val="000F5E56"/>
    <w:rsid w:val="001362EE"/>
    <w:rsid w:val="001832A6"/>
    <w:rsid w:val="002620E3"/>
    <w:rsid w:val="002634C4"/>
    <w:rsid w:val="0027346F"/>
    <w:rsid w:val="00282E46"/>
    <w:rsid w:val="002928D3"/>
    <w:rsid w:val="002C12A5"/>
    <w:rsid w:val="002F1FE6"/>
    <w:rsid w:val="002F4E68"/>
    <w:rsid w:val="00312F7F"/>
    <w:rsid w:val="0034605F"/>
    <w:rsid w:val="00360885"/>
    <w:rsid w:val="00361450"/>
    <w:rsid w:val="003673CF"/>
    <w:rsid w:val="003845C1"/>
    <w:rsid w:val="00390F0C"/>
    <w:rsid w:val="003A6F89"/>
    <w:rsid w:val="003B38C1"/>
    <w:rsid w:val="003C253C"/>
    <w:rsid w:val="003D5611"/>
    <w:rsid w:val="00423E3E"/>
    <w:rsid w:val="004251C1"/>
    <w:rsid w:val="00427AF4"/>
    <w:rsid w:val="0046380B"/>
    <w:rsid w:val="004647DA"/>
    <w:rsid w:val="00474062"/>
    <w:rsid w:val="00477D6B"/>
    <w:rsid w:val="004C6112"/>
    <w:rsid w:val="005019FF"/>
    <w:rsid w:val="0053057A"/>
    <w:rsid w:val="00531A77"/>
    <w:rsid w:val="00537A47"/>
    <w:rsid w:val="00560A29"/>
    <w:rsid w:val="005C6649"/>
    <w:rsid w:val="00605827"/>
    <w:rsid w:val="0060793D"/>
    <w:rsid w:val="00646050"/>
    <w:rsid w:val="00662341"/>
    <w:rsid w:val="006713CA"/>
    <w:rsid w:val="00676C5C"/>
    <w:rsid w:val="00720520"/>
    <w:rsid w:val="007270F7"/>
    <w:rsid w:val="00756B5B"/>
    <w:rsid w:val="007653BF"/>
    <w:rsid w:val="007B40D3"/>
    <w:rsid w:val="007B5492"/>
    <w:rsid w:val="007C4962"/>
    <w:rsid w:val="007D1613"/>
    <w:rsid w:val="007E2E0A"/>
    <w:rsid w:val="007F0FFA"/>
    <w:rsid w:val="008A745D"/>
    <w:rsid w:val="008B2CC1"/>
    <w:rsid w:val="008B60B2"/>
    <w:rsid w:val="008D7B00"/>
    <w:rsid w:val="0090731E"/>
    <w:rsid w:val="00916EE2"/>
    <w:rsid w:val="00937362"/>
    <w:rsid w:val="00966A22"/>
    <w:rsid w:val="0096722F"/>
    <w:rsid w:val="00980843"/>
    <w:rsid w:val="009D4244"/>
    <w:rsid w:val="009E2791"/>
    <w:rsid w:val="009E3F6F"/>
    <w:rsid w:val="009F499F"/>
    <w:rsid w:val="00A24D9A"/>
    <w:rsid w:val="00A30D0C"/>
    <w:rsid w:val="00A31644"/>
    <w:rsid w:val="00A40B17"/>
    <w:rsid w:val="00A42DAF"/>
    <w:rsid w:val="00A45BD8"/>
    <w:rsid w:val="00A6399B"/>
    <w:rsid w:val="00A7446D"/>
    <w:rsid w:val="00A77E05"/>
    <w:rsid w:val="00A869B7"/>
    <w:rsid w:val="00A87DA5"/>
    <w:rsid w:val="00A9671E"/>
    <w:rsid w:val="00A97152"/>
    <w:rsid w:val="00AC205C"/>
    <w:rsid w:val="00AD0416"/>
    <w:rsid w:val="00AF0A6B"/>
    <w:rsid w:val="00B05A69"/>
    <w:rsid w:val="00B36E6E"/>
    <w:rsid w:val="00B80616"/>
    <w:rsid w:val="00B9734B"/>
    <w:rsid w:val="00BA3800"/>
    <w:rsid w:val="00C11BFE"/>
    <w:rsid w:val="00C8481B"/>
    <w:rsid w:val="00CF6B94"/>
    <w:rsid w:val="00D45252"/>
    <w:rsid w:val="00D6200B"/>
    <w:rsid w:val="00D64688"/>
    <w:rsid w:val="00D71B4D"/>
    <w:rsid w:val="00D7502A"/>
    <w:rsid w:val="00D93D55"/>
    <w:rsid w:val="00DB72D9"/>
    <w:rsid w:val="00DE209A"/>
    <w:rsid w:val="00DF2CBF"/>
    <w:rsid w:val="00DF5C7F"/>
    <w:rsid w:val="00E335FE"/>
    <w:rsid w:val="00E452B8"/>
    <w:rsid w:val="00E84598"/>
    <w:rsid w:val="00EC4E49"/>
    <w:rsid w:val="00ED77FB"/>
    <w:rsid w:val="00EE45FA"/>
    <w:rsid w:val="00F1227B"/>
    <w:rsid w:val="00F34F14"/>
    <w:rsid w:val="00F66152"/>
    <w:rsid w:val="00F87BB4"/>
    <w:rsid w:val="00FA235B"/>
    <w:rsid w:val="00FE767B"/>
    <w:rsid w:val="00FF52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apple-converted-space">
    <w:name w:val="apple-converted-space"/>
    <w:basedOn w:val="DefaultParagraphFont"/>
    <w:rsid w:val="007F0FFA"/>
  </w:style>
  <w:style w:type="character" w:styleId="Hyperlink">
    <w:name w:val="Hyperlink"/>
    <w:basedOn w:val="DefaultParagraphFont"/>
    <w:uiPriority w:val="99"/>
    <w:unhideWhenUsed/>
    <w:rsid w:val="007F0FFA"/>
    <w:rPr>
      <w:color w:val="0000FF"/>
      <w:u w:val="single"/>
    </w:rPr>
  </w:style>
  <w:style w:type="paragraph" w:styleId="ListParagraph">
    <w:name w:val="List Paragraph"/>
    <w:basedOn w:val="Normal"/>
    <w:uiPriority w:val="34"/>
    <w:qFormat/>
    <w:rsid w:val="000E100D"/>
    <w:pPr>
      <w:ind w:left="720"/>
      <w:contextualSpacing/>
    </w:pPr>
  </w:style>
  <w:style w:type="paragraph" w:styleId="NormalWeb">
    <w:name w:val="Normal (Web)"/>
    <w:basedOn w:val="Normal"/>
    <w:uiPriority w:val="99"/>
    <w:unhideWhenUsed/>
    <w:rsid w:val="004C6112"/>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rsid w:val="003608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C8481B"/>
    <w:rPr>
      <w:rFonts w:ascii="Arial" w:eastAsia="SimSun" w:hAnsi="Arial" w:cs="Arial"/>
      <w:sz w:val="22"/>
      <w:lang w:eastAsia="zh-CN"/>
    </w:rPr>
  </w:style>
  <w:style w:type="character" w:customStyle="1" w:styleId="Heading2Char">
    <w:name w:val="Heading 2 Char"/>
    <w:basedOn w:val="DefaultParagraphFont"/>
    <w:link w:val="Heading2"/>
    <w:rsid w:val="00F1227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F1227B"/>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7B40D3"/>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A9671E"/>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A9671E"/>
    <w:rPr>
      <w:rFonts w:ascii="Tahoma" w:eastAsia="SimSun" w:hAnsi="Tahoma" w:cs="Tahoma"/>
      <w:sz w:val="16"/>
      <w:szCs w:val="16"/>
      <w:lang w:eastAsia="zh-CN"/>
    </w:rPr>
  </w:style>
  <w:style w:type="character" w:customStyle="1" w:styleId="apple-converted-space">
    <w:name w:val="apple-converted-space"/>
    <w:basedOn w:val="DefaultParagraphFont"/>
    <w:rsid w:val="007F0FFA"/>
  </w:style>
  <w:style w:type="character" w:styleId="Hyperlink">
    <w:name w:val="Hyperlink"/>
    <w:basedOn w:val="DefaultParagraphFont"/>
    <w:uiPriority w:val="99"/>
    <w:unhideWhenUsed/>
    <w:rsid w:val="007F0FFA"/>
    <w:rPr>
      <w:color w:val="0000FF"/>
      <w:u w:val="single"/>
    </w:rPr>
  </w:style>
  <w:style w:type="paragraph" w:styleId="ListParagraph">
    <w:name w:val="List Paragraph"/>
    <w:basedOn w:val="Normal"/>
    <w:uiPriority w:val="34"/>
    <w:qFormat/>
    <w:rsid w:val="000E100D"/>
    <w:pPr>
      <w:ind w:left="720"/>
      <w:contextualSpacing/>
    </w:pPr>
  </w:style>
  <w:style w:type="paragraph" w:styleId="NormalWeb">
    <w:name w:val="Normal (Web)"/>
    <w:basedOn w:val="Normal"/>
    <w:uiPriority w:val="99"/>
    <w:unhideWhenUsed/>
    <w:rsid w:val="004C6112"/>
    <w:pPr>
      <w:spacing w:before="100" w:beforeAutospacing="1" w:after="100" w:afterAutospacing="1"/>
    </w:pPr>
    <w:rPr>
      <w:rFonts w:ascii="Times New Roman" w:eastAsia="Times New Roman" w:hAnsi="Times New Roman" w:cs="Times New Roman"/>
      <w:sz w:val="24"/>
      <w:szCs w:val="24"/>
      <w:lang w:eastAsia="en-US"/>
    </w:rPr>
  </w:style>
  <w:style w:type="table" w:styleId="TableGrid">
    <w:name w:val="Table Grid"/>
    <w:basedOn w:val="TableNormal"/>
    <w:rsid w:val="003608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NUMEChar">
    <w:name w:val="ONUM E Char"/>
    <w:basedOn w:val="DefaultParagraphFont"/>
    <w:link w:val="ONUME"/>
    <w:rsid w:val="00C8481B"/>
    <w:rPr>
      <w:rFonts w:ascii="Arial" w:eastAsia="SimSun" w:hAnsi="Arial" w:cs="Arial"/>
      <w:sz w:val="22"/>
      <w:lang w:eastAsia="zh-CN"/>
    </w:rPr>
  </w:style>
  <w:style w:type="character" w:customStyle="1" w:styleId="Heading2Char">
    <w:name w:val="Heading 2 Char"/>
    <w:basedOn w:val="DefaultParagraphFont"/>
    <w:link w:val="Heading2"/>
    <w:rsid w:val="00F1227B"/>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F1227B"/>
    <w:rPr>
      <w:rFonts w:ascii="Arial" w:eastAsia="SimSun" w:hAnsi="Arial" w:cs="Arial"/>
      <w:bCs/>
      <w:sz w:val="22"/>
      <w:szCs w:val="26"/>
      <w:u w:val="single"/>
      <w:lang w:eastAsia="zh-CN"/>
    </w:rPr>
  </w:style>
  <w:style w:type="character" w:customStyle="1" w:styleId="BodyTextChar">
    <w:name w:val="Body Text Char"/>
    <w:basedOn w:val="DefaultParagraphFont"/>
    <w:link w:val="BodyText"/>
    <w:rsid w:val="007B40D3"/>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305283">
      <w:bodyDiv w:val="1"/>
      <w:marLeft w:val="0"/>
      <w:marRight w:val="0"/>
      <w:marTop w:val="0"/>
      <w:marBottom w:val="0"/>
      <w:divBdr>
        <w:top w:val="none" w:sz="0" w:space="0" w:color="auto"/>
        <w:left w:val="none" w:sz="0" w:space="0" w:color="auto"/>
        <w:bottom w:val="none" w:sz="0" w:space="0" w:color="auto"/>
        <w:right w:val="none" w:sz="0" w:space="0" w:color="auto"/>
      </w:divBdr>
    </w:div>
    <w:div w:id="141131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20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 4 (E).dotm</Template>
  <TotalTime>100</TotalTime>
  <Pages>4</Pages>
  <Words>1110</Words>
  <Characters>5861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CWS/4/10 (in English)</vt:lpstr>
    </vt:vector>
  </TitlesOfParts>
  <Company>WIPO</Company>
  <LinksUpToDate>false</LinksUpToDate>
  <CharactersWithSpaces>6958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CWS/4/10 (in English)</dc:title>
  <dc:subject>Status report on the preparation of recommendations for the electronic management of sound marks and motion or multimedia marks for adoption as a WIPO standard(s)</dc:subject>
  <dc:creator>WIPO</dc:creator>
  <cp:lastModifiedBy>Geraldine Rodriguez</cp:lastModifiedBy>
  <cp:revision>20</cp:revision>
  <cp:lastPrinted>2014-02-18T17:10:00Z</cp:lastPrinted>
  <dcterms:created xsi:type="dcterms:W3CDTF">2014-02-18T08:41:00Z</dcterms:created>
  <dcterms:modified xsi:type="dcterms:W3CDTF">2014-03-06T09:10:00Z</dcterms:modified>
</cp:coreProperties>
</file>