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31B32B6">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37AFD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51A1EDDE" w14:textId="299CC2F3" w:rsidR="008B2CC1" w:rsidRPr="001024FE" w:rsidRDefault="000817DB" w:rsidP="001024FE">
      <w:pPr>
        <w:jc w:val="right"/>
        <w:rPr>
          <w:rFonts w:ascii="Arial Black" w:hAnsi="Arial Black"/>
          <w:caps/>
          <w:sz w:val="15"/>
          <w:szCs w:val="15"/>
        </w:rPr>
      </w:pPr>
      <w:r w:rsidRPr="40AE8257">
        <w:rPr>
          <w:rFonts w:ascii="Arial Black" w:hAnsi="Arial Black"/>
          <w:caps/>
          <w:sz w:val="15"/>
          <w:szCs w:val="15"/>
        </w:rPr>
        <w:t>CWS/1</w:t>
      </w:r>
      <w:r w:rsidR="00D07CCD" w:rsidRPr="40AE8257">
        <w:rPr>
          <w:rFonts w:ascii="Arial Black" w:hAnsi="Arial Black"/>
          <w:caps/>
          <w:sz w:val="15"/>
          <w:szCs w:val="15"/>
        </w:rPr>
        <w:t>3</w:t>
      </w:r>
      <w:r w:rsidRPr="00AB5EDC">
        <w:rPr>
          <w:rFonts w:ascii="Arial Black" w:hAnsi="Arial Black"/>
          <w:caps/>
          <w:sz w:val="15"/>
          <w:szCs w:val="15"/>
        </w:rPr>
        <w:t>/</w:t>
      </w:r>
      <w:bookmarkStart w:id="0" w:name="Code"/>
      <w:bookmarkEnd w:id="0"/>
      <w:r w:rsidR="00AB5EDC">
        <w:rPr>
          <w:rFonts w:ascii="Arial Black" w:hAnsi="Arial Black"/>
          <w:caps/>
          <w:sz w:val="15"/>
          <w:szCs w:val="15"/>
        </w:rPr>
        <w:t>4</w:t>
      </w:r>
    </w:p>
    <w:p w14:paraId="4C2F2DD2" w14:textId="38B4B36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48FDB8C4" w14:textId="0E0D8410" w:rsidR="008B2CC1" w:rsidRPr="00CE65D4" w:rsidRDefault="00CE65D4" w:rsidP="00CE65D4">
      <w:pPr>
        <w:spacing w:after="1200"/>
        <w:jc w:val="right"/>
        <w:rPr>
          <w:rFonts w:ascii="Arial Black" w:hAnsi="Arial Black"/>
          <w:caps/>
          <w:sz w:val="15"/>
          <w:szCs w:val="15"/>
        </w:rPr>
      </w:pPr>
      <w:r w:rsidRPr="094ABA30">
        <w:rPr>
          <w:rFonts w:ascii="Arial Black" w:hAnsi="Arial Black"/>
          <w:caps/>
          <w:sz w:val="15"/>
          <w:szCs w:val="15"/>
        </w:rPr>
        <w:t xml:space="preserve">DATE: </w:t>
      </w:r>
      <w:bookmarkStart w:id="2" w:name="Date"/>
      <w:r w:rsidR="4F35E967" w:rsidRPr="094ABA30">
        <w:rPr>
          <w:rFonts w:ascii="Arial Black" w:hAnsi="Arial Black"/>
          <w:caps/>
          <w:sz w:val="15"/>
          <w:szCs w:val="15"/>
        </w:rPr>
        <w:t>September</w:t>
      </w:r>
      <w:r w:rsidR="00D8745D" w:rsidRPr="094ABA30">
        <w:rPr>
          <w:rFonts w:ascii="Arial Black" w:hAnsi="Arial Black"/>
          <w:caps/>
          <w:sz w:val="15"/>
          <w:szCs w:val="15"/>
        </w:rPr>
        <w:t xml:space="preserve"> </w:t>
      </w:r>
      <w:r w:rsidR="4CCCBA2C" w:rsidRPr="094ABA30">
        <w:rPr>
          <w:rFonts w:ascii="Arial Black" w:hAnsi="Arial Black"/>
          <w:caps/>
          <w:sz w:val="15"/>
          <w:szCs w:val="15"/>
        </w:rPr>
        <w:t>22</w:t>
      </w:r>
      <w:r w:rsidR="00B07C3A" w:rsidRPr="094ABA30">
        <w:rPr>
          <w:rFonts w:ascii="Arial Black" w:hAnsi="Arial Black"/>
          <w:caps/>
          <w:sz w:val="15"/>
          <w:szCs w:val="15"/>
        </w:rPr>
        <w:t>, 2025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61476025" w14:textId="6480D4BE"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xml:space="preserve">, </w:t>
      </w:r>
      <w:r w:rsidR="00B7531E" w:rsidRPr="10CF5713">
        <w:rPr>
          <w:b/>
          <w:bCs/>
          <w:sz w:val="24"/>
          <w:szCs w:val="24"/>
        </w:rPr>
        <w:t>202</w:t>
      </w:r>
      <w:r w:rsidR="00B7531E">
        <w:rPr>
          <w:b/>
          <w:bCs/>
          <w:sz w:val="24"/>
          <w:szCs w:val="24"/>
        </w:rPr>
        <w:t>5</w:t>
      </w:r>
    </w:p>
    <w:p w14:paraId="740B0BCE" w14:textId="7A22E5FB" w:rsidR="028559A1" w:rsidRDefault="00DA025B" w:rsidP="006A3906">
      <w:pPr>
        <w:spacing w:after="360"/>
      </w:pPr>
      <w:r w:rsidRPr="00291EEB">
        <w:rPr>
          <w:caps/>
          <w:sz w:val="24"/>
        </w:rPr>
        <w:t xml:space="preserve">Report </w:t>
      </w:r>
      <w:r>
        <w:rPr>
          <w:caps/>
          <w:sz w:val="24"/>
        </w:rPr>
        <w:t xml:space="preserve">on </w:t>
      </w:r>
      <w:r w:rsidRPr="00274B4B">
        <w:rPr>
          <w:caps/>
          <w:sz w:val="24"/>
        </w:rPr>
        <w:t xml:space="preserve">Task No. </w:t>
      </w:r>
      <w:r>
        <w:rPr>
          <w:caps/>
          <w:sz w:val="24"/>
        </w:rPr>
        <w:t xml:space="preserve">47 </w:t>
      </w:r>
      <w:r w:rsidRPr="00291EEB">
        <w:rPr>
          <w:caps/>
          <w:sz w:val="24"/>
        </w:rPr>
        <w:t xml:space="preserve">by </w:t>
      </w:r>
      <w:r w:rsidRPr="00274B4B">
        <w:rPr>
          <w:caps/>
          <w:sz w:val="24"/>
        </w:rPr>
        <w:t xml:space="preserve">the </w:t>
      </w:r>
      <w:r>
        <w:rPr>
          <w:caps/>
          <w:sz w:val="24"/>
        </w:rPr>
        <w:t>Legal Status</w:t>
      </w:r>
      <w:r w:rsidRPr="00274B4B">
        <w:rPr>
          <w:caps/>
          <w:sz w:val="24"/>
        </w:rPr>
        <w:t xml:space="preserve"> Task Force</w:t>
      </w:r>
      <w:bookmarkStart w:id="3" w:name="TitleOfDoc"/>
    </w:p>
    <w:p w14:paraId="64012F87" w14:textId="54B08E77" w:rsidR="008B2CC1" w:rsidRDefault="00B07C3A" w:rsidP="10CF5713">
      <w:pPr>
        <w:spacing w:after="960"/>
        <w:rPr>
          <w:i/>
          <w:iCs/>
        </w:rPr>
      </w:pPr>
      <w:bookmarkStart w:id="4" w:name="Prepared"/>
      <w:bookmarkEnd w:id="3"/>
      <w:r w:rsidRPr="0067326D">
        <w:rPr>
          <w:i/>
          <w:iCs/>
        </w:rPr>
        <w:t xml:space="preserve">Document prepared by the </w:t>
      </w:r>
      <w:r w:rsidR="00575612" w:rsidRPr="0067326D">
        <w:rPr>
          <w:i/>
          <w:iCs/>
        </w:rPr>
        <w:t xml:space="preserve">Legal Status </w:t>
      </w:r>
      <w:r w:rsidR="47A0029F" w:rsidRPr="0067326D">
        <w:rPr>
          <w:i/>
          <w:iCs/>
        </w:rPr>
        <w:t>Task Force Leader</w:t>
      </w:r>
      <w:bookmarkEnd w:id="4"/>
    </w:p>
    <w:p w14:paraId="063B1A2A" w14:textId="77777777" w:rsidR="004418AC" w:rsidRDefault="004418AC" w:rsidP="004418AC">
      <w:pPr>
        <w:pStyle w:val="Heading2"/>
      </w:pPr>
      <w:r>
        <w:t>Summary</w:t>
      </w:r>
    </w:p>
    <w:p w14:paraId="1A4AE62C" w14:textId="23117E3C" w:rsidR="0027235C" w:rsidRDefault="004418AC" w:rsidP="00181ED1">
      <w:pPr>
        <w:spacing w:after="220"/>
      </w:pPr>
      <w:r>
        <w:fldChar w:fldCharType="begin"/>
      </w:r>
      <w:r>
        <w:instrText xml:space="preserve"> AUTONUM  </w:instrText>
      </w:r>
      <w:r>
        <w:fldChar w:fldCharType="end"/>
      </w:r>
      <w:r>
        <w:tab/>
        <w:t xml:space="preserve">The Legal Status Task Force is responsible for the development and revision of the WIPO </w:t>
      </w:r>
      <w:r w:rsidR="00FE76E9">
        <w:t>Standards</w:t>
      </w:r>
      <w:r>
        <w:t xml:space="preserve"> ST.27, ST.61 and ST.87.  </w:t>
      </w:r>
      <w:r w:rsidRPr="0027235C">
        <w:t xml:space="preserve">Since the last session of the Committee on WIPO Standards (CWS), the Task Force has </w:t>
      </w:r>
      <w:r w:rsidR="0027235C">
        <w:t>discuss</w:t>
      </w:r>
      <w:r w:rsidR="00924F1D">
        <w:t>ed</w:t>
      </w:r>
      <w:r w:rsidR="0027235C">
        <w:t xml:space="preserve"> </w:t>
      </w:r>
      <w:r w:rsidR="0027235C" w:rsidRPr="001D08C8">
        <w:rPr>
          <w:iCs/>
        </w:rPr>
        <w:t xml:space="preserve">possible revisions to </w:t>
      </w:r>
      <w:r w:rsidR="00262862">
        <w:rPr>
          <w:iCs/>
        </w:rPr>
        <w:t>those Standards</w:t>
      </w:r>
      <w:r w:rsidR="0027235C" w:rsidRPr="001D08C8">
        <w:rPr>
          <w:iCs/>
        </w:rPr>
        <w:t>, identif</w:t>
      </w:r>
      <w:r w:rsidR="00811617">
        <w:rPr>
          <w:iCs/>
        </w:rPr>
        <w:t>ied</w:t>
      </w:r>
      <w:r w:rsidR="0027235C" w:rsidRPr="001D08C8">
        <w:rPr>
          <w:iCs/>
        </w:rPr>
        <w:t xml:space="preserve"> several areas for potential improvement</w:t>
      </w:r>
      <w:r w:rsidR="00B26765">
        <w:rPr>
          <w:iCs/>
        </w:rPr>
        <w:t xml:space="preserve"> such as </w:t>
      </w:r>
      <w:r w:rsidR="00227434">
        <w:rPr>
          <w:iCs/>
        </w:rPr>
        <w:t xml:space="preserve">the </w:t>
      </w:r>
      <w:r w:rsidR="00B26765" w:rsidRPr="001D08C8">
        <w:rPr>
          <w:iCs/>
        </w:rPr>
        <w:t xml:space="preserve">addition of new events, the merging or removal of existing events, the reclassification of events and refinements to event descriptions or titles. </w:t>
      </w:r>
      <w:r w:rsidR="00B26765">
        <w:rPr>
          <w:iCs/>
        </w:rPr>
        <w:t xml:space="preserve"> </w:t>
      </w:r>
      <w:r w:rsidR="00227434">
        <w:rPr>
          <w:iCs/>
        </w:rPr>
        <w:t>T</w:t>
      </w:r>
      <w:r w:rsidR="001358A2">
        <w:rPr>
          <w:iCs/>
        </w:rPr>
        <w:t xml:space="preserve">he Task Force has </w:t>
      </w:r>
      <w:r w:rsidR="00227434">
        <w:rPr>
          <w:iCs/>
        </w:rPr>
        <w:t>also</w:t>
      </w:r>
      <w:r w:rsidR="001358A2">
        <w:rPr>
          <w:iCs/>
        </w:rPr>
        <w:t xml:space="preserve"> work</w:t>
      </w:r>
      <w:r w:rsidR="00E32055">
        <w:rPr>
          <w:iCs/>
        </w:rPr>
        <w:t>ed</w:t>
      </w:r>
      <w:r w:rsidR="001358A2">
        <w:rPr>
          <w:iCs/>
        </w:rPr>
        <w:t xml:space="preserve"> on </w:t>
      </w:r>
      <w:r w:rsidR="000D2373">
        <w:rPr>
          <w:iCs/>
        </w:rPr>
        <w:t>collecting information o</w:t>
      </w:r>
      <w:r w:rsidR="00227434">
        <w:rPr>
          <w:iCs/>
        </w:rPr>
        <w:t>n</w:t>
      </w:r>
      <w:r w:rsidR="000D2373">
        <w:rPr>
          <w:iCs/>
        </w:rPr>
        <w:t xml:space="preserve"> </w:t>
      </w:r>
      <w:r w:rsidR="00E32055">
        <w:rPr>
          <w:iCs/>
        </w:rPr>
        <w:t xml:space="preserve">the </w:t>
      </w:r>
      <w:r w:rsidR="0067326D">
        <w:rPr>
          <w:iCs/>
        </w:rPr>
        <w:t xml:space="preserve">implementation </w:t>
      </w:r>
      <w:r w:rsidR="00E32055">
        <w:rPr>
          <w:iCs/>
        </w:rPr>
        <w:t xml:space="preserve">of those Standards </w:t>
      </w:r>
      <w:r w:rsidR="00110C97">
        <w:rPr>
          <w:iCs/>
        </w:rPr>
        <w:t>by</w:t>
      </w:r>
      <w:r w:rsidR="0067326D">
        <w:rPr>
          <w:iCs/>
        </w:rPr>
        <w:t xml:space="preserve"> </w:t>
      </w:r>
      <w:r w:rsidR="00147F52">
        <w:rPr>
          <w:iCs/>
        </w:rPr>
        <w:t xml:space="preserve">intellectual property (IP) </w:t>
      </w:r>
      <w:r w:rsidR="00504ABD">
        <w:rPr>
          <w:iCs/>
        </w:rPr>
        <w:t>offices</w:t>
      </w:r>
      <w:r w:rsidR="0067326D">
        <w:rPr>
          <w:iCs/>
        </w:rPr>
        <w:t xml:space="preserve"> and </w:t>
      </w:r>
      <w:r w:rsidR="00446668">
        <w:rPr>
          <w:iCs/>
        </w:rPr>
        <w:t xml:space="preserve">the </w:t>
      </w:r>
      <w:r w:rsidR="0067326D">
        <w:rPr>
          <w:iCs/>
        </w:rPr>
        <w:t>mapping table</w:t>
      </w:r>
      <w:r w:rsidR="00294E7B">
        <w:rPr>
          <w:iCs/>
        </w:rPr>
        <w:t>s</w:t>
      </w:r>
      <w:r w:rsidR="0067326D">
        <w:rPr>
          <w:iCs/>
        </w:rPr>
        <w:t xml:space="preserve"> </w:t>
      </w:r>
      <w:r w:rsidR="0067326D">
        <w:t xml:space="preserve">which </w:t>
      </w:r>
      <w:r w:rsidR="00294E7B">
        <w:t>are</w:t>
      </w:r>
      <w:r w:rsidR="0067326D">
        <w:t xml:space="preserve"> published in </w:t>
      </w:r>
      <w:hyperlink r:id="rId14" w:anchor="p7.13" w:history="1">
        <w:r w:rsidR="0067326D" w:rsidRPr="00E36D35">
          <w:rPr>
            <w:rStyle w:val="Hyperlink"/>
          </w:rPr>
          <w:t>Part 7.13 of the WIPO Handbook</w:t>
        </w:r>
      </w:hyperlink>
      <w:r w:rsidR="005B1299">
        <w:t xml:space="preserve"> on Intellectual Property Information and Documentation</w:t>
      </w:r>
      <w:r w:rsidR="0067326D">
        <w:t>.</w:t>
      </w:r>
    </w:p>
    <w:p w14:paraId="2DA7C1A1" w14:textId="77777777" w:rsidR="004418AC" w:rsidRPr="005C6E4A" w:rsidRDefault="004418AC" w:rsidP="005C6E4A">
      <w:pPr>
        <w:pStyle w:val="Heading2"/>
      </w:pPr>
      <w:r w:rsidRPr="005C6E4A">
        <w:t>BACKGROUND</w:t>
      </w:r>
    </w:p>
    <w:p w14:paraId="21E9B074" w14:textId="0ECCA251" w:rsidR="004418AC" w:rsidRDefault="004418AC" w:rsidP="00181ED1">
      <w:pPr>
        <w:pStyle w:val="ONUMFS"/>
        <w:numPr>
          <w:ilvl w:val="0"/>
          <w:numId w:val="0"/>
        </w:numPr>
      </w:pPr>
      <w:r>
        <w:fldChar w:fldCharType="begin"/>
      </w:r>
      <w:r>
        <w:instrText xml:space="preserve"> AUTONUM  </w:instrText>
      </w:r>
      <w:r>
        <w:fldChar w:fldCharType="end"/>
      </w:r>
      <w:r>
        <w:tab/>
        <w:t xml:space="preserve">At its third session in 2013, </w:t>
      </w:r>
      <w:r w:rsidRPr="003F1994">
        <w:t>the CWS create</w:t>
      </w:r>
      <w:r>
        <w:t>d</w:t>
      </w:r>
      <w:r w:rsidRPr="003F1994">
        <w:t xml:space="preserve"> Task No. 47</w:t>
      </w:r>
      <w:r w:rsidR="00E555B0">
        <w:t xml:space="preserve">, </w:t>
      </w:r>
      <w:r w:rsidR="00EF49C3">
        <w:t xml:space="preserve">the </w:t>
      </w:r>
      <w:r w:rsidR="0014172C">
        <w:t xml:space="preserve">description </w:t>
      </w:r>
      <w:r w:rsidR="00E555B0">
        <w:t>of which reads</w:t>
      </w:r>
      <w:r w:rsidR="00600AF9">
        <w:t xml:space="preserve"> as follows</w:t>
      </w:r>
      <w:r w:rsidRPr="003F1994">
        <w:t xml:space="preserve">: </w:t>
      </w:r>
    </w:p>
    <w:p w14:paraId="66F9A945" w14:textId="1986D110" w:rsidR="004418AC" w:rsidRDefault="004418AC" w:rsidP="00A036D9">
      <w:pPr>
        <w:pStyle w:val="ONUMFS"/>
        <w:numPr>
          <w:ilvl w:val="0"/>
          <w:numId w:val="0"/>
        </w:numPr>
        <w:ind w:firstLine="562"/>
      </w:pPr>
      <w:r w:rsidRPr="003F1994">
        <w:t>“</w:t>
      </w:r>
      <w:r w:rsidRPr="002D4F43">
        <w:rPr>
          <w:i/>
          <w:iCs/>
        </w:rPr>
        <w:t>Prepare a proposal to establish a new WIPO standard for the exchange of patent legal status data by industrial property offices.  Once this task is completed, the corresponding proposal should be extended to trademarks and industrial designs.</w:t>
      </w:r>
      <w:r w:rsidRPr="003F1994">
        <w:t>”</w:t>
      </w:r>
    </w:p>
    <w:p w14:paraId="2AE7C485" w14:textId="7E117DC2" w:rsidR="004418AC" w:rsidRDefault="004418AC" w:rsidP="00181ED1">
      <w:pPr>
        <w:pStyle w:val="ONUMFS"/>
        <w:numPr>
          <w:ilvl w:val="0"/>
          <w:numId w:val="0"/>
        </w:numPr>
      </w:pPr>
      <w:r w:rsidRPr="003F1994">
        <w:t xml:space="preserve">The CWS also established the Legal Status Task Force and designated the International Bureau as the Task </w:t>
      </w:r>
      <w:r w:rsidR="00A77460">
        <w:t xml:space="preserve">Force </w:t>
      </w:r>
      <w:r w:rsidRPr="003F1994">
        <w:t>Leader</w:t>
      </w:r>
      <w:r w:rsidR="00C97EBD">
        <w:t>.</w:t>
      </w:r>
      <w:r w:rsidR="006C134C">
        <w:t xml:space="preserve"> </w:t>
      </w:r>
      <w:r w:rsidRPr="003F1994">
        <w:t xml:space="preserve"> (</w:t>
      </w:r>
      <w:r w:rsidR="00C97EBD">
        <w:t>S</w:t>
      </w:r>
      <w:r w:rsidR="00147F52" w:rsidRPr="003F1994">
        <w:t>ee</w:t>
      </w:r>
      <w:r w:rsidRPr="003F1994">
        <w:t xml:space="preserve"> paragraphs 50 to 54 of document CWS/3/14</w:t>
      </w:r>
      <w:r w:rsidR="00B809BC">
        <w:t>.</w:t>
      </w:r>
      <w:r w:rsidRPr="003F1994">
        <w:t>)</w:t>
      </w:r>
    </w:p>
    <w:p w14:paraId="166FCF67" w14:textId="457D9EAC" w:rsidR="005F324D" w:rsidRDefault="004418AC" w:rsidP="00181ED1">
      <w:pPr>
        <w:pStyle w:val="ONUMFS"/>
        <w:numPr>
          <w:ilvl w:val="0"/>
          <w:numId w:val="0"/>
        </w:numPr>
      </w:pPr>
      <w:r>
        <w:fldChar w:fldCharType="begin"/>
      </w:r>
      <w:r>
        <w:instrText xml:space="preserve"> AUTONUM  </w:instrText>
      </w:r>
      <w:r>
        <w:fldChar w:fldCharType="end"/>
      </w:r>
      <w:r>
        <w:tab/>
        <w:t xml:space="preserve">At its fifth session in 2017, the CWS </w:t>
      </w:r>
      <w:r w:rsidRPr="003F1994">
        <w:t>adopted WIPO Standard ST.27</w:t>
      </w:r>
      <w:r w:rsidR="00294E7B">
        <w:t>,</w:t>
      </w:r>
      <w:r w:rsidRPr="003F1994">
        <w:t xml:space="preserve"> “Recommendation for the exchange of patent legal status data”</w:t>
      </w:r>
      <w:r>
        <w:t xml:space="preserve"> (</w:t>
      </w:r>
      <w:r w:rsidRPr="005C326F">
        <w:t>see paragraphs 50 and 51 of document CWS/5/22)</w:t>
      </w:r>
      <w:r w:rsidRPr="003F1994">
        <w:t>.</w:t>
      </w:r>
      <w:r>
        <w:t xml:space="preserve">  </w:t>
      </w:r>
    </w:p>
    <w:p w14:paraId="4C494C12" w14:textId="44A0C230" w:rsidR="007E18D9" w:rsidRDefault="005F324D" w:rsidP="00181ED1">
      <w:pPr>
        <w:pStyle w:val="ONUMFS"/>
        <w:numPr>
          <w:ilvl w:val="0"/>
          <w:numId w:val="0"/>
        </w:numPr>
      </w:pPr>
      <w:r>
        <w:lastRenderedPageBreak/>
        <w:fldChar w:fldCharType="begin"/>
      </w:r>
      <w:r>
        <w:instrText xml:space="preserve"> AUTONUM  </w:instrText>
      </w:r>
      <w:r>
        <w:fldChar w:fldCharType="end"/>
      </w:r>
      <w:r>
        <w:tab/>
      </w:r>
      <w:r w:rsidR="004418AC">
        <w:t xml:space="preserve">At its sixth session in 2018, the CWS adopted </w:t>
      </w:r>
      <w:r w:rsidR="004418AC" w:rsidRPr="005C326F">
        <w:t>WIPO Standard ST.87</w:t>
      </w:r>
      <w:r w:rsidR="004E15CA">
        <w:t>,</w:t>
      </w:r>
      <w:r w:rsidR="004418AC" w:rsidRPr="005C326F">
        <w:t xml:space="preserve"> </w:t>
      </w:r>
      <w:r w:rsidR="004418AC">
        <w:t>“</w:t>
      </w:r>
      <w:r w:rsidR="004418AC" w:rsidRPr="005C326F">
        <w:t>Recommendation for the exchange of industrial design legal status data”</w:t>
      </w:r>
      <w:r w:rsidR="004418AC">
        <w:t xml:space="preserve"> </w:t>
      </w:r>
      <w:r w:rsidR="004418AC" w:rsidRPr="005C326F">
        <w:t>(</w:t>
      </w:r>
      <w:r w:rsidR="004418AC">
        <w:t>s</w:t>
      </w:r>
      <w:r w:rsidR="004418AC" w:rsidRPr="005C326F">
        <w:t>ee paragraphs 102 to 105 of document CWS/6/34).</w:t>
      </w:r>
    </w:p>
    <w:p w14:paraId="1FEA0A4D" w14:textId="03E45921" w:rsidR="004418AC" w:rsidRDefault="004418AC" w:rsidP="00181ED1">
      <w:pPr>
        <w:pStyle w:val="ONUMFS"/>
        <w:numPr>
          <w:ilvl w:val="0"/>
          <w:numId w:val="0"/>
        </w:numPr>
      </w:pPr>
      <w:r>
        <w:fldChar w:fldCharType="begin"/>
      </w:r>
      <w:r>
        <w:instrText xml:space="preserve"> AUTONUM  </w:instrText>
      </w:r>
      <w:r>
        <w:fldChar w:fldCharType="end"/>
      </w:r>
      <w:r>
        <w:tab/>
        <w:t>At its eighth session in 2020, t</w:t>
      </w:r>
      <w:r w:rsidRPr="0016344D">
        <w:t>he CWS adopted WIPO Standard ST.61</w:t>
      </w:r>
      <w:r w:rsidR="004E15CA">
        <w:t>,</w:t>
      </w:r>
      <w:r w:rsidRPr="0016344D">
        <w:t xml:space="preserve"> </w:t>
      </w:r>
      <w:r w:rsidR="00294E7B">
        <w:t>“</w:t>
      </w:r>
      <w:r w:rsidRPr="0016344D">
        <w:t>Recommendation for the exchange of trademark legal status data</w:t>
      </w:r>
      <w:r w:rsidR="00294E7B">
        <w:t>”</w:t>
      </w:r>
      <w:r>
        <w:t xml:space="preserve"> (see paragraphs 26 to 28 of document CWS/8/24).  At </w:t>
      </w:r>
      <w:r w:rsidR="00294E7B">
        <w:t>that</w:t>
      </w:r>
      <w:r>
        <w:t xml:space="preserve"> same session, the CWS revised Task No. 47</w:t>
      </w:r>
      <w:r w:rsidR="00600AF9">
        <w:t>,</w:t>
      </w:r>
      <w:r>
        <w:t xml:space="preserve"> whose updated description read</w:t>
      </w:r>
      <w:r w:rsidR="00600AF9">
        <w:t>s</w:t>
      </w:r>
      <w:r w:rsidR="00294E7B">
        <w:t xml:space="preserve"> as follows</w:t>
      </w:r>
      <w:r w:rsidRPr="0016344D">
        <w:t xml:space="preserve">: </w:t>
      </w:r>
    </w:p>
    <w:p w14:paraId="5B6B8172" w14:textId="55C1310F" w:rsidR="004418AC" w:rsidRDefault="00294E7B" w:rsidP="00A036D9">
      <w:pPr>
        <w:pStyle w:val="ONUMFS"/>
        <w:numPr>
          <w:ilvl w:val="0"/>
          <w:numId w:val="0"/>
        </w:numPr>
        <w:ind w:firstLine="562"/>
      </w:pPr>
      <w:r>
        <w:t>“</w:t>
      </w:r>
      <w:r w:rsidR="004418AC" w:rsidRPr="00E96CA8">
        <w:rPr>
          <w:i/>
          <w:iCs/>
        </w:rPr>
        <w:t xml:space="preserve">Ensure the necessary revisions and updates of WIPO Standards ST.27, ST.87, and ST.61; </w:t>
      </w:r>
      <w:r w:rsidR="004A11E9">
        <w:rPr>
          <w:i/>
          <w:iCs/>
        </w:rPr>
        <w:t xml:space="preserve"> </w:t>
      </w:r>
      <w:r w:rsidR="004418AC" w:rsidRPr="00E96CA8">
        <w:rPr>
          <w:i/>
          <w:iCs/>
        </w:rPr>
        <w:t xml:space="preserve">prepare supporting materials to assist the use of those Standards in IP community; </w:t>
      </w:r>
      <w:r w:rsidR="004A11E9">
        <w:rPr>
          <w:i/>
          <w:iCs/>
        </w:rPr>
        <w:t xml:space="preserve"> </w:t>
      </w:r>
      <w:r w:rsidR="004418AC" w:rsidRPr="00E96CA8">
        <w:rPr>
          <w:i/>
          <w:iCs/>
        </w:rPr>
        <w:t xml:space="preserve">analyze the potential of merging the three standards ST.27, ST.87, and ST.61; </w:t>
      </w:r>
      <w:r w:rsidR="004A11E9">
        <w:rPr>
          <w:i/>
          <w:iCs/>
        </w:rPr>
        <w:t xml:space="preserve"> </w:t>
      </w:r>
      <w:r w:rsidR="004418AC" w:rsidRPr="00E96CA8">
        <w:rPr>
          <w:i/>
          <w:iCs/>
        </w:rPr>
        <w:t>and support the XML4IP Task Force to develop XML components for legal status event data.</w:t>
      </w:r>
      <w:r>
        <w:t>”</w:t>
      </w:r>
    </w:p>
    <w:p w14:paraId="4E23881C" w14:textId="5492E83C" w:rsidR="004418AC" w:rsidRDefault="004418AC" w:rsidP="00B10986">
      <w:pPr>
        <w:pStyle w:val="ONUMFS"/>
        <w:numPr>
          <w:ilvl w:val="0"/>
          <w:numId w:val="0"/>
        </w:numPr>
        <w:ind w:firstLine="562"/>
      </w:pPr>
      <w:r>
        <w:t>(See paragraphs 114 to 117 of document CWS/8/24.)</w:t>
      </w:r>
    </w:p>
    <w:p w14:paraId="04013807" w14:textId="1A943270" w:rsidR="004418AC" w:rsidRDefault="004418AC" w:rsidP="00181ED1">
      <w:pPr>
        <w:pStyle w:val="ONUMFS"/>
        <w:numPr>
          <w:ilvl w:val="0"/>
          <w:numId w:val="0"/>
        </w:numPr>
      </w:pPr>
      <w:r>
        <w:fldChar w:fldCharType="begin"/>
      </w:r>
      <w:r>
        <w:instrText xml:space="preserve"> AUTONUM  </w:instrText>
      </w:r>
      <w:r>
        <w:fldChar w:fldCharType="end"/>
      </w:r>
      <w:r>
        <w:tab/>
        <w:t xml:space="preserve">At its ninth session in 2021, the CWS approved a revision to WIPO ST.27 </w:t>
      </w:r>
      <w:r w:rsidR="008B0342">
        <w:t>to add</w:t>
      </w:r>
      <w:r>
        <w:t xml:space="preserve"> </w:t>
      </w:r>
      <w:r w:rsidR="00294E7B">
        <w:t>“</w:t>
      </w:r>
      <w:r>
        <w:t>event indicators</w:t>
      </w:r>
      <w:r w:rsidR="00294E7B">
        <w:t>”</w:t>
      </w:r>
      <w:r>
        <w:t xml:space="preserve">.  </w:t>
      </w:r>
      <w:r w:rsidRPr="007B4FBF">
        <w:t>The CWS</w:t>
      </w:r>
      <w:r>
        <w:t xml:space="preserve"> also</w:t>
      </w:r>
      <w:r w:rsidRPr="007B4FBF">
        <w:t xml:space="preserve"> requested the Legal Status Task Force to study how to adapt </w:t>
      </w:r>
      <w:r w:rsidR="00066B11">
        <w:t xml:space="preserve">the </w:t>
      </w:r>
      <w:r w:rsidRPr="007B4FBF">
        <w:t xml:space="preserve">event indicators and </w:t>
      </w:r>
      <w:r w:rsidR="00723566">
        <w:t>“</w:t>
      </w:r>
      <w:r w:rsidRPr="007B4FBF">
        <w:t>procedure indicators</w:t>
      </w:r>
      <w:r w:rsidR="00723566">
        <w:t>”</w:t>
      </w:r>
      <w:r w:rsidRPr="007B4FBF">
        <w:t xml:space="preserve"> for </w:t>
      </w:r>
      <w:r>
        <w:t xml:space="preserve">WIPO </w:t>
      </w:r>
      <w:r w:rsidRPr="007B4FBF">
        <w:t xml:space="preserve">ST.61 and </w:t>
      </w:r>
      <w:r>
        <w:t xml:space="preserve">WIPO </w:t>
      </w:r>
      <w:r w:rsidRPr="007B4FBF">
        <w:t xml:space="preserve">ST.87 </w:t>
      </w:r>
      <w:r>
        <w:t>(</w:t>
      </w:r>
      <w:r w:rsidR="00066B11">
        <w:t>s</w:t>
      </w:r>
      <w:r>
        <w:t>ee paragraphs 45 to 53 of document CWS/9/25).</w:t>
      </w:r>
    </w:p>
    <w:p w14:paraId="3DCF0B22" w14:textId="62CD08F3" w:rsidR="004418AC" w:rsidRDefault="004418AC" w:rsidP="00181ED1">
      <w:pPr>
        <w:pStyle w:val="ONUMFS"/>
        <w:numPr>
          <w:ilvl w:val="0"/>
          <w:numId w:val="0"/>
        </w:numPr>
      </w:pPr>
      <w:r>
        <w:fldChar w:fldCharType="begin"/>
      </w:r>
      <w:r>
        <w:instrText xml:space="preserve"> AUTONUM  </w:instrText>
      </w:r>
      <w:r>
        <w:fldChar w:fldCharType="end"/>
      </w:r>
      <w:r>
        <w:tab/>
        <w:t xml:space="preserve">At its tenth session in 2022, the CWS noted the suggestion by the Legal Status Task Force to </w:t>
      </w:r>
      <w:r w:rsidRPr="00041B23">
        <w:t>discontin</w:t>
      </w:r>
      <w:r>
        <w:t>ue</w:t>
      </w:r>
      <w:r w:rsidRPr="00041B23">
        <w:t xml:space="preserve"> the merger work</w:t>
      </w:r>
      <w:r>
        <w:t xml:space="preserve"> and </w:t>
      </w:r>
      <w:r w:rsidRPr="00D85517">
        <w:t xml:space="preserve">approved the </w:t>
      </w:r>
      <w:r>
        <w:t xml:space="preserve">resulting </w:t>
      </w:r>
      <w:r w:rsidRPr="00D85517">
        <w:t>revision of Task No. 47</w:t>
      </w:r>
      <w:r w:rsidR="00723566">
        <w:t>,</w:t>
      </w:r>
      <w:r w:rsidRPr="00D85517">
        <w:t xml:space="preserve"> </w:t>
      </w:r>
      <w:r w:rsidR="00723566">
        <w:t>the</w:t>
      </w:r>
      <w:r>
        <w:t xml:space="preserve"> updated description </w:t>
      </w:r>
      <w:r w:rsidR="00723566">
        <w:t xml:space="preserve">of which </w:t>
      </w:r>
      <w:r>
        <w:t xml:space="preserve">now </w:t>
      </w:r>
      <w:r w:rsidRPr="00D85517">
        <w:t>reads</w:t>
      </w:r>
      <w:r w:rsidR="00723566">
        <w:t xml:space="preserve"> as follows</w:t>
      </w:r>
      <w:r w:rsidRPr="00D85517">
        <w:t xml:space="preserve">: </w:t>
      </w:r>
    </w:p>
    <w:p w14:paraId="2F95F49B" w14:textId="32F91A5A" w:rsidR="004418AC" w:rsidRDefault="004418AC" w:rsidP="00A036D9">
      <w:pPr>
        <w:pStyle w:val="ONUMFS"/>
        <w:numPr>
          <w:ilvl w:val="0"/>
          <w:numId w:val="0"/>
        </w:numPr>
        <w:ind w:firstLine="562"/>
      </w:pPr>
      <w:r w:rsidRPr="00D85517">
        <w:t>“</w:t>
      </w:r>
      <w:r w:rsidRPr="00E96CA8">
        <w:rPr>
          <w:i/>
          <w:iCs/>
        </w:rPr>
        <w:t xml:space="preserve">Ensure the necessary revisions and updates of WIPO Standards ST.27, ST.87, and ST.61; </w:t>
      </w:r>
      <w:r w:rsidR="004A11E9">
        <w:rPr>
          <w:i/>
          <w:iCs/>
        </w:rPr>
        <w:t xml:space="preserve"> </w:t>
      </w:r>
      <w:r w:rsidRPr="00E96CA8">
        <w:rPr>
          <w:i/>
          <w:iCs/>
        </w:rPr>
        <w:t>prepare supporting materials to assist the use of those Standards in the IP community;  and support the XML4IP Task Force to develop XML components for legal status event data.</w:t>
      </w:r>
      <w:r w:rsidRPr="00D85517">
        <w:t>”</w:t>
      </w:r>
      <w:r>
        <w:t xml:space="preserve"> </w:t>
      </w:r>
    </w:p>
    <w:p w14:paraId="70203A4F" w14:textId="35FA9191" w:rsidR="004418AC" w:rsidRDefault="004418AC" w:rsidP="00B10986">
      <w:pPr>
        <w:pStyle w:val="ONUMFS"/>
        <w:numPr>
          <w:ilvl w:val="0"/>
          <w:numId w:val="0"/>
        </w:numPr>
        <w:ind w:firstLine="562"/>
      </w:pPr>
      <w:r>
        <w:t>(See paragraphs 75 and 76 of document CWS/10/22.)</w:t>
      </w:r>
    </w:p>
    <w:p w14:paraId="3D385651" w14:textId="1FB5A1F5" w:rsidR="004418AC" w:rsidRPr="00084955" w:rsidRDefault="004418AC" w:rsidP="00181ED1">
      <w:pPr>
        <w:pStyle w:val="ONUMFS"/>
        <w:numPr>
          <w:ilvl w:val="0"/>
          <w:numId w:val="0"/>
        </w:numPr>
      </w:pPr>
      <w:r>
        <w:fldChar w:fldCharType="begin"/>
      </w:r>
      <w:r>
        <w:instrText xml:space="preserve"> AUTONUM  </w:instrText>
      </w:r>
      <w:r>
        <w:fldChar w:fldCharType="end"/>
      </w:r>
      <w:r>
        <w:tab/>
        <w:t>At its eleventh session in 2023, the CWS approved the proposed revision to Annex II of WIPO Standard ST.61.  The CWS was invited to provide specific feedback on whether the balance of the number of detailed and key events is appropriate (</w:t>
      </w:r>
      <w:r w:rsidR="00723566">
        <w:t>s</w:t>
      </w:r>
      <w:r>
        <w:t>ee paragraphs 122 and 146 of document CWS/11/28).  At th</w:t>
      </w:r>
      <w:r w:rsidR="00723566">
        <w:t>at</w:t>
      </w:r>
      <w:r>
        <w:t xml:space="preserve"> same session, the Legal Status Task Force encouraged IP </w:t>
      </w:r>
      <w:r w:rsidR="007E18D9">
        <w:t>offices</w:t>
      </w:r>
      <w:r>
        <w:t xml:space="preserve"> to provide their mapping table or update their mapping table</w:t>
      </w:r>
      <w:r w:rsidR="00723566">
        <w:t>s</w:t>
      </w:r>
      <w:r>
        <w:t xml:space="preserve"> which </w:t>
      </w:r>
      <w:r w:rsidR="00723566">
        <w:t>are</w:t>
      </w:r>
      <w:r>
        <w:t xml:space="preserve"> published in </w:t>
      </w:r>
      <w:hyperlink r:id="rId15" w:anchor="p7.13" w:history="1">
        <w:r w:rsidRPr="00E36D35">
          <w:rPr>
            <w:rStyle w:val="Hyperlink"/>
          </w:rPr>
          <w:t>Part 7.13 of the WIPO Handbook</w:t>
        </w:r>
      </w:hyperlink>
      <w:r>
        <w:t>.</w:t>
      </w:r>
    </w:p>
    <w:p w14:paraId="67706EA7" w14:textId="63A18C48" w:rsidR="00141C2C" w:rsidRDefault="001B6682" w:rsidP="00181ED1">
      <w:pPr>
        <w:spacing w:after="220"/>
      </w:pPr>
      <w:r w:rsidRPr="00CF28FC">
        <w:fldChar w:fldCharType="begin"/>
      </w:r>
      <w:r w:rsidRPr="00CF28FC">
        <w:instrText xml:space="preserve"> AUTONUM  </w:instrText>
      </w:r>
      <w:r w:rsidRPr="00CF28FC">
        <w:fldChar w:fldCharType="end"/>
      </w:r>
      <w:r w:rsidRPr="00CF28FC">
        <w:tab/>
        <w:t>At its twelfth session in 2024,</w:t>
      </w:r>
      <w:r w:rsidR="00FA51E7" w:rsidRPr="00CF28FC">
        <w:t xml:space="preserve"> the</w:t>
      </w:r>
      <w:r w:rsidR="00FA51E7">
        <w:t xml:space="preserve"> CWS approved the proposed revision </w:t>
      </w:r>
      <w:r w:rsidR="00723566">
        <w:t>of</w:t>
      </w:r>
      <w:r w:rsidR="00FA51E7">
        <w:t xml:space="preserve"> </w:t>
      </w:r>
      <w:r w:rsidR="00B92B15">
        <w:t xml:space="preserve">WIPO </w:t>
      </w:r>
      <w:r w:rsidR="00A0129B">
        <w:t>s</w:t>
      </w:r>
      <w:r w:rsidR="00B92B15">
        <w:t xml:space="preserve">tandards ST.27, ST.61 and ST.87, which were related to legal status events.  The revision to WIPO ST.87 expanded the supplementary data that is captured in Annex II to the Standard.  The other revisions </w:t>
      </w:r>
      <w:r w:rsidR="00CF28FC">
        <w:t>were</w:t>
      </w:r>
      <w:r w:rsidR="00B92B15">
        <w:t xml:space="preserve"> </w:t>
      </w:r>
      <w:r w:rsidR="00723566">
        <w:t xml:space="preserve">intended </w:t>
      </w:r>
      <w:r w:rsidR="00B92B15">
        <w:t>to ensure that the three Standards remain aligned.</w:t>
      </w:r>
      <w:r w:rsidR="00CF28FC">
        <w:t xml:space="preserve"> </w:t>
      </w:r>
    </w:p>
    <w:p w14:paraId="5C4AD430" w14:textId="77777777" w:rsidR="00360A36" w:rsidRPr="005C6E4A" w:rsidRDefault="00360A36" w:rsidP="005C6E4A">
      <w:pPr>
        <w:pStyle w:val="Heading2"/>
      </w:pPr>
      <w:r w:rsidRPr="005C6E4A">
        <w:t>PROGRESS REPORT ON TASK No. 47</w:t>
      </w:r>
    </w:p>
    <w:p w14:paraId="3DBB0DC7" w14:textId="77777777" w:rsidR="00360A36" w:rsidRPr="005C6E4A" w:rsidRDefault="00360A36" w:rsidP="005C6E4A">
      <w:pPr>
        <w:pStyle w:val="Heading3"/>
      </w:pPr>
      <w:r w:rsidRPr="005C6E4A">
        <w:t>Objectives</w:t>
      </w:r>
    </w:p>
    <w:p w14:paraId="3C165519" w14:textId="375E94E0" w:rsidR="00FF05F4" w:rsidRPr="00FF05F4" w:rsidRDefault="00493B7E" w:rsidP="00830E12">
      <w:pPr>
        <w:pStyle w:val="ONUMFS"/>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FF05F4" w:rsidRPr="00FF05F4">
        <w:rPr>
          <w:lang w:eastAsia="en-US"/>
        </w:rPr>
        <w:t>Under the framework of Task No. 47, as revised at the tenth session of the CWS, the Legal Status Task Force has identified the following objectives:</w:t>
      </w:r>
    </w:p>
    <w:p w14:paraId="4A0BF67D" w14:textId="74FF8215" w:rsidR="001B532B" w:rsidRDefault="00FF05F4" w:rsidP="00830E12">
      <w:pPr>
        <w:pStyle w:val="ONUMFS"/>
        <w:numPr>
          <w:ilvl w:val="0"/>
          <w:numId w:val="16"/>
        </w:numPr>
        <w:rPr>
          <w:lang w:eastAsia="en-US"/>
        </w:rPr>
      </w:pPr>
      <w:r w:rsidRPr="00FF05F4">
        <w:rPr>
          <w:lang w:eastAsia="en-US"/>
        </w:rPr>
        <w:t>To improve WIPO Standards ST.27, ST.87 and ST.61 as necessary;</w:t>
      </w:r>
    </w:p>
    <w:p w14:paraId="5F93AA26" w14:textId="092E4D41" w:rsidR="001B532B" w:rsidRDefault="00FF05F4" w:rsidP="00830E12">
      <w:pPr>
        <w:pStyle w:val="ONUMFS"/>
        <w:numPr>
          <w:ilvl w:val="0"/>
          <w:numId w:val="16"/>
        </w:numPr>
        <w:rPr>
          <w:lang w:eastAsia="en-US"/>
        </w:rPr>
      </w:pPr>
      <w:r w:rsidRPr="00FF05F4">
        <w:rPr>
          <w:lang w:eastAsia="en-US"/>
        </w:rPr>
        <w:t xml:space="preserve">To encourage and support </w:t>
      </w:r>
      <w:r w:rsidR="00F8699D">
        <w:t>IP offices</w:t>
      </w:r>
      <w:r w:rsidRPr="00FF05F4">
        <w:rPr>
          <w:lang w:eastAsia="en-US"/>
        </w:rPr>
        <w:t xml:space="preserve"> in the implementation of WIPO Standards ST.27, ST.87, and ST.61;</w:t>
      </w:r>
    </w:p>
    <w:p w14:paraId="44DC556A" w14:textId="50566033" w:rsidR="001B532B" w:rsidRDefault="00FF05F4" w:rsidP="00830E12">
      <w:pPr>
        <w:pStyle w:val="ONUMFS"/>
        <w:numPr>
          <w:ilvl w:val="0"/>
          <w:numId w:val="16"/>
        </w:numPr>
        <w:rPr>
          <w:lang w:eastAsia="en-US"/>
        </w:rPr>
      </w:pPr>
      <w:r w:rsidRPr="00FF05F4">
        <w:rPr>
          <w:lang w:eastAsia="en-US"/>
        </w:rPr>
        <w:t xml:space="preserve">To collaborate with </w:t>
      </w:r>
      <w:r w:rsidR="00F8699D">
        <w:t>IP offices</w:t>
      </w:r>
      <w:r w:rsidRPr="00FF05F4">
        <w:rPr>
          <w:lang w:eastAsia="en-US"/>
        </w:rPr>
        <w:t xml:space="preserve"> in maintaining up-to-date mapping tables of legal status events aligned with the events defined in Standards ST.27, ST.61, and ST.87;</w:t>
      </w:r>
    </w:p>
    <w:p w14:paraId="5E2A7504" w14:textId="77777777" w:rsidR="001B532B" w:rsidRDefault="00FF05F4" w:rsidP="00830E12">
      <w:pPr>
        <w:pStyle w:val="ONUMFS"/>
        <w:numPr>
          <w:ilvl w:val="0"/>
          <w:numId w:val="16"/>
        </w:numPr>
        <w:rPr>
          <w:lang w:eastAsia="en-US"/>
        </w:rPr>
      </w:pPr>
      <w:r w:rsidRPr="00FF05F4">
        <w:rPr>
          <w:lang w:eastAsia="en-US"/>
        </w:rPr>
        <w:t>To work jointly with the XML4IP Task Force in the development of XML schemas designed to capture trademark and industrial design legal status data;</w:t>
      </w:r>
    </w:p>
    <w:p w14:paraId="49D9C45A" w14:textId="1CB5571A" w:rsidR="001B532B" w:rsidRDefault="00FF05F4" w:rsidP="00830E12">
      <w:pPr>
        <w:pStyle w:val="ONUMFS"/>
        <w:numPr>
          <w:ilvl w:val="0"/>
          <w:numId w:val="16"/>
        </w:numPr>
        <w:rPr>
          <w:lang w:eastAsia="en-US"/>
        </w:rPr>
      </w:pPr>
      <w:r w:rsidRPr="00FF05F4">
        <w:rPr>
          <w:lang w:eastAsia="en-US"/>
        </w:rPr>
        <w:t xml:space="preserve">To monitor </w:t>
      </w:r>
      <w:r w:rsidR="00F8699D">
        <w:t>IP offices</w:t>
      </w:r>
      <w:r w:rsidRPr="00FF05F4">
        <w:rPr>
          <w:lang w:eastAsia="en-US"/>
        </w:rPr>
        <w:t xml:space="preserve"> needs for the addition of event indicators within WIPO Standards ST.27, ST.61, and ST.87; </w:t>
      </w:r>
      <w:r w:rsidR="004A11E9">
        <w:rPr>
          <w:lang w:eastAsia="en-US"/>
        </w:rPr>
        <w:t xml:space="preserve"> </w:t>
      </w:r>
      <w:r w:rsidRPr="00FF05F4">
        <w:rPr>
          <w:lang w:eastAsia="en-US"/>
        </w:rPr>
        <w:t>and</w:t>
      </w:r>
    </w:p>
    <w:p w14:paraId="45A0B395" w14:textId="2BF4B026" w:rsidR="00493B7E" w:rsidRDefault="00FF05F4" w:rsidP="007B2B5E">
      <w:pPr>
        <w:pStyle w:val="ONUMFS"/>
        <w:numPr>
          <w:ilvl w:val="0"/>
          <w:numId w:val="16"/>
        </w:numPr>
        <w:rPr>
          <w:lang w:eastAsia="en-US"/>
        </w:rPr>
      </w:pPr>
      <w:r w:rsidRPr="00FF05F4">
        <w:rPr>
          <w:lang w:eastAsia="en-US"/>
        </w:rPr>
        <w:t>To consider outstanding proposals within the Task Force concerning event and category revisions in WIPO Standard ST.27.</w:t>
      </w:r>
    </w:p>
    <w:p w14:paraId="6BE488DE" w14:textId="60B564CE" w:rsidR="005E5F8A" w:rsidRDefault="005E5F8A" w:rsidP="007A6395">
      <w:pPr>
        <w:pStyle w:val="Heading3"/>
      </w:pPr>
      <w:r w:rsidRPr="00C7202A">
        <w:t>Relevant actions for 202</w:t>
      </w:r>
      <w:r>
        <w:t>5</w:t>
      </w:r>
    </w:p>
    <w:p w14:paraId="39F8B98E" w14:textId="66380120" w:rsidR="00A36598" w:rsidRPr="00A36598" w:rsidRDefault="00A36598" w:rsidP="00830E12">
      <w:pPr>
        <w:pStyle w:val="ONUMFS"/>
        <w:numPr>
          <w:ilvl w:val="0"/>
          <w:numId w:val="0"/>
        </w:numPr>
        <w:rPr>
          <w:iCs/>
        </w:rPr>
      </w:pPr>
      <w:r>
        <w:rPr>
          <w:iCs/>
        </w:rPr>
        <w:fldChar w:fldCharType="begin"/>
      </w:r>
      <w:r>
        <w:rPr>
          <w:iCs/>
        </w:rPr>
        <w:instrText xml:space="preserve"> AUTONUM  </w:instrText>
      </w:r>
      <w:r>
        <w:rPr>
          <w:iCs/>
        </w:rPr>
        <w:fldChar w:fldCharType="end"/>
      </w:r>
      <w:r>
        <w:rPr>
          <w:iCs/>
        </w:rPr>
        <w:tab/>
      </w:r>
      <w:r w:rsidRPr="00A36598">
        <w:rPr>
          <w:iCs/>
        </w:rPr>
        <w:t>To achieve these objectives, the Legal Status Task Force has planned the following activities for 202</w:t>
      </w:r>
      <w:r>
        <w:rPr>
          <w:iCs/>
        </w:rPr>
        <w:t>5</w:t>
      </w:r>
      <w:r w:rsidRPr="00A36598">
        <w:rPr>
          <w:iCs/>
        </w:rPr>
        <w:t>:</w:t>
      </w:r>
    </w:p>
    <w:p w14:paraId="725CE6C1" w14:textId="77777777" w:rsidR="000F36EF" w:rsidRDefault="00A36598" w:rsidP="00830E12">
      <w:pPr>
        <w:pStyle w:val="ONUMFS"/>
        <w:numPr>
          <w:ilvl w:val="0"/>
          <w:numId w:val="21"/>
        </w:numPr>
        <w:rPr>
          <w:iCs/>
        </w:rPr>
      </w:pPr>
      <w:r w:rsidRPr="00A36598">
        <w:rPr>
          <w:iCs/>
        </w:rPr>
        <w:t>Continue discussions on revising WIPO Standards ST.27, ST.61, and ST.87 as necessary;</w:t>
      </w:r>
    </w:p>
    <w:p w14:paraId="25DAC5B4" w14:textId="0012819A" w:rsidR="000F36EF" w:rsidRDefault="00A36598" w:rsidP="00830E12">
      <w:pPr>
        <w:pStyle w:val="ONUMFS"/>
        <w:numPr>
          <w:ilvl w:val="0"/>
          <w:numId w:val="21"/>
        </w:numPr>
        <w:rPr>
          <w:iCs/>
        </w:rPr>
      </w:pPr>
      <w:r w:rsidRPr="00A36598">
        <w:rPr>
          <w:iCs/>
        </w:rPr>
        <w:t xml:space="preserve">Provide training on legal status standards upon request from </w:t>
      </w:r>
      <w:r w:rsidR="00F8699D">
        <w:t>IP offices</w:t>
      </w:r>
      <w:r w:rsidRPr="00A36598">
        <w:rPr>
          <w:iCs/>
        </w:rPr>
        <w:t>;</w:t>
      </w:r>
    </w:p>
    <w:p w14:paraId="5687AA5B" w14:textId="3C5AEB49" w:rsidR="000F36EF" w:rsidRDefault="00A36598" w:rsidP="00830E12">
      <w:pPr>
        <w:pStyle w:val="ONUMFS"/>
        <w:numPr>
          <w:ilvl w:val="0"/>
          <w:numId w:val="21"/>
        </w:numPr>
        <w:rPr>
          <w:iCs/>
        </w:rPr>
      </w:pPr>
      <w:r w:rsidRPr="00A36598">
        <w:rPr>
          <w:iCs/>
        </w:rPr>
        <w:t>Facilitate the sharing of implementation experiences and intentions via the Task Force’s wiki;  and</w:t>
      </w:r>
    </w:p>
    <w:p w14:paraId="044B7AF4" w14:textId="512C90A6" w:rsidR="00A36598" w:rsidRPr="00A36598" w:rsidRDefault="00A36598" w:rsidP="000F36EF">
      <w:pPr>
        <w:pStyle w:val="ONUMFS"/>
        <w:numPr>
          <w:ilvl w:val="0"/>
          <w:numId w:val="21"/>
        </w:numPr>
        <w:rPr>
          <w:iCs/>
        </w:rPr>
      </w:pPr>
      <w:r w:rsidRPr="00A36598">
        <w:rPr>
          <w:iCs/>
        </w:rPr>
        <w:t xml:space="preserve">Encourage </w:t>
      </w:r>
      <w:r w:rsidR="00F8699D">
        <w:t>IP offices</w:t>
      </w:r>
      <w:r w:rsidRPr="00A36598">
        <w:rPr>
          <w:iCs/>
        </w:rPr>
        <w:t xml:space="preserve"> to regularly update their mapping tables for Standards ST.27, ST.61 and ST.87.</w:t>
      </w:r>
    </w:p>
    <w:p w14:paraId="1C8F168F" w14:textId="25F03C5D" w:rsidR="00391200" w:rsidRDefault="00391200" w:rsidP="005C6E4A">
      <w:pPr>
        <w:pStyle w:val="Heading3"/>
      </w:pPr>
      <w:r w:rsidRPr="00C7202A">
        <w:t xml:space="preserve">Potential </w:t>
      </w:r>
      <w:r w:rsidR="00723566">
        <w:t>c</w:t>
      </w:r>
      <w:r w:rsidRPr="00C7202A">
        <w:t xml:space="preserve">hallenges or </w:t>
      </w:r>
      <w:r w:rsidR="00723566">
        <w:t>d</w:t>
      </w:r>
      <w:r w:rsidRPr="00C7202A">
        <w:t>ependencies</w:t>
      </w:r>
    </w:p>
    <w:p w14:paraId="11151494" w14:textId="5026F4F0" w:rsidR="0068556D" w:rsidRPr="0068556D" w:rsidRDefault="0068556D" w:rsidP="00830E12">
      <w:pPr>
        <w:pStyle w:val="ONUMFS"/>
        <w:numPr>
          <w:ilvl w:val="0"/>
          <w:numId w:val="0"/>
        </w:numPr>
      </w:pPr>
      <w:r>
        <w:fldChar w:fldCharType="begin"/>
      </w:r>
      <w:r>
        <w:instrText xml:space="preserve"> AUTONUM  </w:instrText>
      </w:r>
      <w:r>
        <w:fldChar w:fldCharType="end"/>
      </w:r>
      <w:r>
        <w:tab/>
      </w:r>
      <w:r w:rsidRPr="0068556D">
        <w:t>The Task Force has identified several challenges and dependencies that may affect its ability to carry out its work:</w:t>
      </w:r>
    </w:p>
    <w:p w14:paraId="21420E50" w14:textId="35B6001B" w:rsidR="00B01BEF" w:rsidRDefault="0068556D" w:rsidP="00830E12">
      <w:pPr>
        <w:pStyle w:val="ONUMFS"/>
        <w:numPr>
          <w:ilvl w:val="0"/>
          <w:numId w:val="23"/>
        </w:numPr>
      </w:pPr>
      <w:r w:rsidRPr="0068556D">
        <w:t xml:space="preserve">The active participation and contributions of </w:t>
      </w:r>
      <w:r w:rsidR="00F8699D">
        <w:t>IP offices</w:t>
      </w:r>
      <w:r w:rsidRPr="0068556D">
        <w:t xml:space="preserve"> in improving </w:t>
      </w:r>
      <w:r w:rsidR="00125464" w:rsidRPr="0068556D">
        <w:t xml:space="preserve">legal status-related </w:t>
      </w:r>
      <w:r w:rsidRPr="0068556D">
        <w:t xml:space="preserve">WIPO </w:t>
      </w:r>
      <w:r>
        <w:t>Standards</w:t>
      </w:r>
      <w:r w:rsidRPr="0068556D">
        <w:t>;</w:t>
      </w:r>
    </w:p>
    <w:p w14:paraId="113BED9D" w14:textId="222ED072" w:rsidR="00B01BEF" w:rsidRDefault="00B01BEF" w:rsidP="00830E12">
      <w:pPr>
        <w:pStyle w:val="ONUMFS"/>
        <w:numPr>
          <w:ilvl w:val="0"/>
          <w:numId w:val="23"/>
        </w:numPr>
      </w:pPr>
      <w:r w:rsidRPr="0068556D">
        <w:t>Prioritization</w:t>
      </w:r>
      <w:r w:rsidR="0068556D" w:rsidRPr="0068556D">
        <w:t xml:space="preserve"> by </w:t>
      </w:r>
      <w:r w:rsidR="00F8699D">
        <w:t>IP offices</w:t>
      </w:r>
      <w:r w:rsidR="0068556D" w:rsidRPr="0068556D">
        <w:t xml:space="preserve"> of the implementation of legal status-related WIPO Standards; </w:t>
      </w:r>
      <w:r w:rsidR="004A11E9">
        <w:t xml:space="preserve"> </w:t>
      </w:r>
      <w:r w:rsidR="0068556D" w:rsidRPr="0068556D">
        <w:t>and</w:t>
      </w:r>
    </w:p>
    <w:p w14:paraId="62654E38" w14:textId="78FF6793" w:rsidR="0068556D" w:rsidRPr="0068556D" w:rsidRDefault="0068556D" w:rsidP="00B01BEF">
      <w:pPr>
        <w:pStyle w:val="ONUMFS"/>
        <w:numPr>
          <w:ilvl w:val="0"/>
          <w:numId w:val="23"/>
        </w:numPr>
      </w:pPr>
      <w:r w:rsidRPr="0068556D">
        <w:t xml:space="preserve">The level of engagement of IP information users, including official observers of the CWS, in the implementation and revision processes of these standards. </w:t>
      </w:r>
      <w:r w:rsidR="00B01BEF">
        <w:t xml:space="preserve"> </w:t>
      </w:r>
      <w:r w:rsidRPr="0068556D">
        <w:t xml:space="preserve">Such feedback is considered essential by </w:t>
      </w:r>
      <w:r w:rsidR="00F8699D">
        <w:t xml:space="preserve">IP offices </w:t>
      </w:r>
      <w:r w:rsidRPr="0068556D">
        <w:t>when determining the priority for implementing the standards.</w:t>
      </w:r>
    </w:p>
    <w:p w14:paraId="47ABE300" w14:textId="63769933" w:rsidR="009B149C" w:rsidRPr="00C7202A" w:rsidRDefault="009B149C" w:rsidP="00495D14">
      <w:pPr>
        <w:pStyle w:val="Heading2"/>
      </w:pPr>
      <w:r w:rsidRPr="00C7202A">
        <w:t>Progress evaluation</w:t>
      </w:r>
    </w:p>
    <w:p w14:paraId="67D47501" w14:textId="4DF74049" w:rsidR="006C2C56" w:rsidRDefault="009B149C" w:rsidP="006E3E4E">
      <w:pPr>
        <w:pStyle w:val="ONUMFS"/>
        <w:numPr>
          <w:ilvl w:val="0"/>
          <w:numId w:val="0"/>
        </w:numPr>
        <w:rPr>
          <w:iCs/>
        </w:rPr>
      </w:pPr>
      <w:r w:rsidDel="001E687D">
        <w:rPr>
          <w:iCs/>
        </w:rPr>
        <w:fldChar w:fldCharType="begin"/>
      </w:r>
      <w:r w:rsidDel="001E687D">
        <w:rPr>
          <w:iCs/>
        </w:rPr>
        <w:instrText xml:space="preserve"> AUTONUM  </w:instrText>
      </w:r>
      <w:r w:rsidDel="001E687D">
        <w:rPr>
          <w:iCs/>
        </w:rPr>
        <w:fldChar w:fldCharType="end"/>
      </w:r>
      <w:r w:rsidDel="001E687D">
        <w:rPr>
          <w:iCs/>
        </w:rPr>
        <w:tab/>
      </w:r>
      <w:r w:rsidR="00F012AA" w:rsidRPr="00F012AA">
        <w:rPr>
          <w:iCs/>
        </w:rPr>
        <w:t xml:space="preserve">Since the </w:t>
      </w:r>
      <w:r w:rsidR="00F012AA">
        <w:rPr>
          <w:iCs/>
        </w:rPr>
        <w:t>last</w:t>
      </w:r>
      <w:r w:rsidR="00F012AA" w:rsidRPr="00F012AA">
        <w:rPr>
          <w:iCs/>
        </w:rPr>
        <w:t xml:space="preserve"> session</w:t>
      </w:r>
      <w:r w:rsidR="00F012AA">
        <w:rPr>
          <w:iCs/>
        </w:rPr>
        <w:t xml:space="preserve"> of the CWS</w:t>
      </w:r>
      <w:r w:rsidR="00F012AA" w:rsidRPr="00F012AA">
        <w:rPr>
          <w:iCs/>
        </w:rPr>
        <w:t xml:space="preserve">, the Legal Status Task Force convened an online meeting on May </w:t>
      </w:r>
      <w:r w:rsidR="003239CF">
        <w:rPr>
          <w:iCs/>
        </w:rPr>
        <w:t>27,</w:t>
      </w:r>
      <w:r w:rsidR="00AC2CF4">
        <w:rPr>
          <w:iCs/>
        </w:rPr>
        <w:t xml:space="preserve"> </w:t>
      </w:r>
      <w:r w:rsidR="00914963" w:rsidRPr="00F012AA">
        <w:rPr>
          <w:iCs/>
        </w:rPr>
        <w:t>2025</w:t>
      </w:r>
      <w:r w:rsidR="00F012AA" w:rsidRPr="00F012AA">
        <w:rPr>
          <w:iCs/>
        </w:rPr>
        <w:t xml:space="preserve"> to discuss the implementation of and potential revisions to WIPO Standards ST.27, ST.61 and ST.87.</w:t>
      </w:r>
      <w:r w:rsidR="00F012AA">
        <w:rPr>
          <w:iCs/>
        </w:rPr>
        <w:t xml:space="preserve"> </w:t>
      </w:r>
      <w:r w:rsidR="00026BDA">
        <w:rPr>
          <w:iCs/>
        </w:rPr>
        <w:t>With regard</w:t>
      </w:r>
      <w:r w:rsidR="000E4E83" w:rsidRPr="000E4E83" w:rsidDel="00EC12EE">
        <w:rPr>
          <w:iCs/>
        </w:rPr>
        <w:t xml:space="preserve"> to </w:t>
      </w:r>
      <w:r w:rsidR="00026BDA">
        <w:rPr>
          <w:iCs/>
        </w:rPr>
        <w:t>the</w:t>
      </w:r>
      <w:r w:rsidR="000E4E83" w:rsidRPr="000E4E83" w:rsidDel="00EC12EE">
        <w:rPr>
          <w:iCs/>
        </w:rPr>
        <w:t xml:space="preserve"> </w:t>
      </w:r>
      <w:r w:rsidR="000E4E83" w:rsidRPr="000E4E83">
        <w:rPr>
          <w:iCs/>
        </w:rPr>
        <w:t xml:space="preserve">potential revisions to WIPO Standard ST.27, </w:t>
      </w:r>
      <w:r w:rsidR="006913EB">
        <w:rPr>
          <w:iCs/>
        </w:rPr>
        <w:t>the Task Force discussed</w:t>
      </w:r>
      <w:r w:rsidR="000E4E83" w:rsidRPr="000E4E83">
        <w:rPr>
          <w:iCs/>
        </w:rPr>
        <w:t xml:space="preserve"> the addition of new events, the consolidation or removal of existing events, the reclassification of certain events, and refinements to event descriptions and titles</w:t>
      </w:r>
      <w:r w:rsidR="006E3E4E">
        <w:rPr>
          <w:iCs/>
        </w:rPr>
        <w:t xml:space="preserve">.  </w:t>
      </w:r>
      <w:r w:rsidR="000E4E83" w:rsidRPr="000E4E83">
        <w:rPr>
          <w:iCs/>
        </w:rPr>
        <w:t xml:space="preserve">However, the </w:t>
      </w:r>
      <w:r w:rsidR="00EC12EE">
        <w:rPr>
          <w:iCs/>
        </w:rPr>
        <w:t>Task Force</w:t>
      </w:r>
      <w:r w:rsidR="000E4E83" w:rsidRPr="000E4E83">
        <w:rPr>
          <w:iCs/>
        </w:rPr>
        <w:t xml:space="preserve"> noted that no formal proposals have been </w:t>
      </w:r>
      <w:r w:rsidR="00D5333F">
        <w:rPr>
          <w:iCs/>
        </w:rPr>
        <w:t>made</w:t>
      </w:r>
      <w:r w:rsidR="00D5333F" w:rsidRPr="000E4E83">
        <w:rPr>
          <w:iCs/>
        </w:rPr>
        <w:t xml:space="preserve"> </w:t>
      </w:r>
      <w:r w:rsidR="000E4E83" w:rsidRPr="000E4E83">
        <w:rPr>
          <w:iCs/>
        </w:rPr>
        <w:t>to date.</w:t>
      </w:r>
    </w:p>
    <w:p w14:paraId="0BAD432A" w14:textId="3E398B99" w:rsidR="00AA026A" w:rsidRDefault="0092752F" w:rsidP="0044429A">
      <w:pPr>
        <w:pStyle w:val="ONUMFS"/>
        <w:numPr>
          <w:ilvl w:val="0"/>
          <w:numId w:val="0"/>
        </w:numPr>
        <w:rPr>
          <w:iCs/>
        </w:rPr>
      </w:pPr>
      <w:r w:rsidDel="001E687D">
        <w:rPr>
          <w:iCs/>
        </w:rPr>
        <w:fldChar w:fldCharType="begin"/>
      </w:r>
      <w:r w:rsidDel="001E687D">
        <w:rPr>
          <w:iCs/>
        </w:rPr>
        <w:instrText xml:space="preserve"> AUTONUM  </w:instrText>
      </w:r>
      <w:r w:rsidDel="001E687D">
        <w:rPr>
          <w:iCs/>
        </w:rPr>
        <w:fldChar w:fldCharType="end"/>
      </w:r>
      <w:r w:rsidDel="001E687D">
        <w:rPr>
          <w:iCs/>
        </w:rPr>
        <w:tab/>
      </w:r>
      <w:r w:rsidR="00CE2CC4" w:rsidRPr="00CE2CC4" w:rsidDel="00DE7693">
        <w:rPr>
          <w:iCs/>
        </w:rPr>
        <w:t xml:space="preserve">The </w:t>
      </w:r>
      <w:r w:rsidR="00DE7693">
        <w:rPr>
          <w:iCs/>
        </w:rPr>
        <w:t>Task Force</w:t>
      </w:r>
      <w:r w:rsidR="00CE2CC4" w:rsidRPr="00CE2CC4">
        <w:rPr>
          <w:iCs/>
        </w:rPr>
        <w:t xml:space="preserve"> </w:t>
      </w:r>
      <w:r w:rsidR="00533956">
        <w:rPr>
          <w:iCs/>
        </w:rPr>
        <w:t>agreed</w:t>
      </w:r>
      <w:r w:rsidR="00DE7693" w:rsidRPr="00CE2CC4">
        <w:rPr>
          <w:iCs/>
        </w:rPr>
        <w:t xml:space="preserve"> </w:t>
      </w:r>
      <w:r w:rsidR="00CE2CC4" w:rsidRPr="00CE2CC4">
        <w:rPr>
          <w:iCs/>
        </w:rPr>
        <w:t xml:space="preserve">on the update of </w:t>
      </w:r>
      <w:r w:rsidR="00AC6E16">
        <w:rPr>
          <w:iCs/>
        </w:rPr>
        <w:t xml:space="preserve">WIPO Handbook </w:t>
      </w:r>
      <w:r w:rsidR="00CE2CC4" w:rsidRPr="00CE2CC4">
        <w:rPr>
          <w:iCs/>
        </w:rPr>
        <w:t xml:space="preserve">Parts 7.13.1, 7.13.2 and 7.13.3, with the objective of incorporating an indication of the most recent update provided by each </w:t>
      </w:r>
      <w:r w:rsidR="00CE2CC4">
        <w:t>IP</w:t>
      </w:r>
      <w:r w:rsidR="00DE7693">
        <w:rPr>
          <w:iCs/>
        </w:rPr>
        <w:t xml:space="preserve"> </w:t>
      </w:r>
      <w:r w:rsidR="00DA0B0D">
        <w:rPr>
          <w:iCs/>
        </w:rPr>
        <w:t>o</w:t>
      </w:r>
      <w:r w:rsidR="00DE7693">
        <w:rPr>
          <w:iCs/>
        </w:rPr>
        <w:t>ffice</w:t>
      </w:r>
      <w:r w:rsidR="00CE2CC4" w:rsidRPr="00CE2CC4">
        <w:rPr>
          <w:iCs/>
        </w:rPr>
        <w:t xml:space="preserve">. </w:t>
      </w:r>
      <w:r>
        <w:rPr>
          <w:iCs/>
        </w:rPr>
        <w:t xml:space="preserve"> </w:t>
      </w:r>
      <w:r w:rsidR="00CE2CC4" w:rsidRPr="00CE2CC4">
        <w:rPr>
          <w:iCs/>
        </w:rPr>
        <w:t xml:space="preserve">The </w:t>
      </w:r>
      <w:r w:rsidR="00E23F31">
        <w:rPr>
          <w:iCs/>
        </w:rPr>
        <w:t xml:space="preserve">Task Force noted that the </w:t>
      </w:r>
      <w:r w:rsidR="00CE2CC4" w:rsidRPr="00CE2CC4">
        <w:rPr>
          <w:iCs/>
        </w:rPr>
        <w:t xml:space="preserve">International Bureau will coordinate with the </w:t>
      </w:r>
      <w:r w:rsidR="00E23F31" w:rsidRPr="00CE2CC4">
        <w:rPr>
          <w:iCs/>
        </w:rPr>
        <w:t>IP</w:t>
      </w:r>
      <w:r w:rsidR="00E23F31">
        <w:rPr>
          <w:iCs/>
        </w:rPr>
        <w:t xml:space="preserve"> offices </w:t>
      </w:r>
      <w:r w:rsidR="00CE2CC4" w:rsidRPr="00CE2CC4">
        <w:rPr>
          <w:iCs/>
        </w:rPr>
        <w:t>whose legal status mappings are published in the mapping tables to confirm the dates of their latest updates and to ensure their timely publication.</w:t>
      </w:r>
    </w:p>
    <w:p w14:paraId="3DE1C8F8" w14:textId="77777777" w:rsidR="00BA575A" w:rsidRDefault="009E0912" w:rsidP="0094261A">
      <w:pPr>
        <w:pStyle w:val="Heading3"/>
      </w:pPr>
      <w:r w:rsidRPr="009E0912">
        <w:t>Proposal for Revision to Task No. 47</w:t>
      </w:r>
    </w:p>
    <w:p w14:paraId="6FB06CE8" w14:textId="7276D93B" w:rsidR="00361889" w:rsidRPr="00585159" w:rsidRDefault="00585159" w:rsidP="00BA575A">
      <w:pPr>
        <w:spacing w:after="220"/>
      </w:pPr>
      <w:r>
        <w:fldChar w:fldCharType="begin"/>
      </w:r>
      <w:r>
        <w:instrText xml:space="preserve"> AUTONUM  </w:instrText>
      </w:r>
      <w:r>
        <w:fldChar w:fldCharType="end"/>
      </w:r>
      <w:r>
        <w:tab/>
      </w:r>
      <w:r w:rsidR="009E0912" w:rsidRPr="00585159">
        <w:t>Taking into account that legal status schemas for industrial designs and trademarks have been developed and incorporated into WIPO Standard ST.96</w:t>
      </w:r>
      <w:r w:rsidR="00AC465E">
        <w:t>,</w:t>
      </w:r>
      <w:r w:rsidR="009E0912" w:rsidRPr="00585159">
        <w:t xml:space="preserve"> </w:t>
      </w:r>
      <w:r w:rsidR="009D6256">
        <w:t>v</w:t>
      </w:r>
      <w:r w:rsidR="009E0912" w:rsidRPr="00585159">
        <w:t xml:space="preserve">ersion 8.0, which was published on November </w:t>
      </w:r>
      <w:r w:rsidR="009D2EE7">
        <w:t xml:space="preserve">1, </w:t>
      </w:r>
      <w:r w:rsidR="009E0912" w:rsidRPr="00585159">
        <w:t>2024, the</w:t>
      </w:r>
      <w:r>
        <w:t xml:space="preserve"> Legal Status</w:t>
      </w:r>
      <w:r w:rsidR="009E0912" w:rsidRPr="00585159">
        <w:t xml:space="preserve"> Task Force proposes </w:t>
      </w:r>
      <w:r w:rsidR="00467477">
        <w:t xml:space="preserve">to </w:t>
      </w:r>
      <w:r w:rsidR="009E0912" w:rsidRPr="00585159">
        <w:t>revis</w:t>
      </w:r>
      <w:r w:rsidR="00467477">
        <w:t>e</w:t>
      </w:r>
      <w:r w:rsidR="009E0912" w:rsidRPr="00585159">
        <w:t xml:space="preserve"> the description of Task No. 47 as follows:</w:t>
      </w:r>
    </w:p>
    <w:p w14:paraId="6385E2DB" w14:textId="536D4FF1" w:rsidR="009E0912" w:rsidRPr="009E0912" w:rsidRDefault="009E0912" w:rsidP="00BA575A">
      <w:pPr>
        <w:spacing w:after="220"/>
        <w:ind w:firstLine="567"/>
        <w:rPr>
          <w:i/>
          <w:iCs/>
        </w:rPr>
      </w:pPr>
      <w:r w:rsidRPr="009E0912">
        <w:rPr>
          <w:i/>
          <w:iCs/>
        </w:rPr>
        <w:t xml:space="preserve">“Ensure the necessary revisions and updates of WIPO Standards ST.27, ST.87, and ST.61; prepare supporting materials to assist the use of those Standards in the IP community; and support the XML4IP </w:t>
      </w:r>
      <w:r w:rsidR="00E750A5">
        <w:rPr>
          <w:i/>
          <w:iCs/>
        </w:rPr>
        <w:t xml:space="preserve">and API </w:t>
      </w:r>
      <w:r w:rsidRPr="009E0912">
        <w:rPr>
          <w:i/>
          <w:iCs/>
        </w:rPr>
        <w:t>Task Force</w:t>
      </w:r>
      <w:r w:rsidR="00E750A5">
        <w:rPr>
          <w:i/>
          <w:iCs/>
        </w:rPr>
        <w:t>s</w:t>
      </w:r>
      <w:r w:rsidRPr="009E0912">
        <w:rPr>
          <w:i/>
          <w:iCs/>
        </w:rPr>
        <w:t xml:space="preserve"> to improve existing XML</w:t>
      </w:r>
      <w:r w:rsidR="0044260F">
        <w:rPr>
          <w:i/>
          <w:iCs/>
        </w:rPr>
        <w:t xml:space="preserve"> </w:t>
      </w:r>
      <w:r w:rsidR="00A02EDD">
        <w:rPr>
          <w:i/>
          <w:iCs/>
        </w:rPr>
        <w:t xml:space="preserve">components </w:t>
      </w:r>
      <w:r w:rsidR="0044260F">
        <w:rPr>
          <w:i/>
          <w:iCs/>
        </w:rPr>
        <w:t xml:space="preserve">and </w:t>
      </w:r>
      <w:r w:rsidR="00A02EDD">
        <w:rPr>
          <w:i/>
          <w:iCs/>
        </w:rPr>
        <w:t>to de</w:t>
      </w:r>
      <w:r w:rsidR="00846CE8">
        <w:rPr>
          <w:i/>
          <w:iCs/>
        </w:rPr>
        <w:t>velop</w:t>
      </w:r>
      <w:r w:rsidR="0044260F">
        <w:rPr>
          <w:i/>
          <w:iCs/>
        </w:rPr>
        <w:t xml:space="preserve"> JSON</w:t>
      </w:r>
      <w:r w:rsidRPr="009E0912">
        <w:rPr>
          <w:i/>
          <w:iCs/>
        </w:rPr>
        <w:t xml:space="preserve"> component</w:t>
      </w:r>
      <w:r w:rsidR="00D5706A">
        <w:rPr>
          <w:i/>
          <w:iCs/>
        </w:rPr>
        <w:t xml:space="preserve">s </w:t>
      </w:r>
      <w:r w:rsidR="00846CE8">
        <w:rPr>
          <w:i/>
          <w:iCs/>
        </w:rPr>
        <w:t xml:space="preserve">respectively </w:t>
      </w:r>
      <w:r w:rsidR="00D5706A">
        <w:rPr>
          <w:i/>
          <w:iCs/>
        </w:rPr>
        <w:t>for le</w:t>
      </w:r>
      <w:r w:rsidR="00D10989">
        <w:rPr>
          <w:i/>
          <w:iCs/>
        </w:rPr>
        <w:t>gal statuses</w:t>
      </w:r>
      <w:r w:rsidRPr="009E0912">
        <w:rPr>
          <w:i/>
          <w:iCs/>
        </w:rPr>
        <w:t>, where necessary.”</w:t>
      </w:r>
    </w:p>
    <w:p w14:paraId="5C7FAA34" w14:textId="77777777" w:rsidR="00276DD9" w:rsidRPr="00C7202A" w:rsidRDefault="00276DD9" w:rsidP="00830E12">
      <w:pPr>
        <w:pStyle w:val="Heading2"/>
      </w:pPr>
      <w:r w:rsidRPr="00C7202A">
        <w:t>WORK PLAN</w:t>
      </w:r>
    </w:p>
    <w:p w14:paraId="3AE10D09" w14:textId="6EAA915A" w:rsidR="00276DD9" w:rsidRDefault="00276DD9" w:rsidP="0044429A">
      <w:pPr>
        <w:keepLines/>
        <w:spacing w:after="220"/>
      </w:pPr>
      <w:r w:rsidRPr="00BF38EA" w:rsidDel="001E687D">
        <w:rPr>
          <w:lang w:eastAsia="en-US"/>
        </w:rPr>
        <w:fldChar w:fldCharType="begin"/>
      </w:r>
      <w:r w:rsidRPr="00BF38EA" w:rsidDel="001E687D">
        <w:rPr>
          <w:lang w:eastAsia="en-US"/>
        </w:rPr>
        <w:instrText xml:space="preserve"> AUTONUM  </w:instrText>
      </w:r>
      <w:r w:rsidRPr="00BF38EA" w:rsidDel="001E687D">
        <w:rPr>
          <w:lang w:eastAsia="en-US"/>
        </w:rPr>
        <w:fldChar w:fldCharType="end"/>
      </w:r>
      <w:r w:rsidRPr="00BF38EA" w:rsidDel="001E687D">
        <w:rPr>
          <w:lang w:eastAsia="en-US"/>
        </w:rPr>
        <w:tab/>
      </w:r>
      <w:r>
        <w:t>The Legal Status Task Force will continue to work together with the XML4IP Task Force</w:t>
      </w:r>
      <w:r w:rsidR="00204A3C">
        <w:t xml:space="preserve">, if </w:t>
      </w:r>
      <w:r w:rsidR="000F3924">
        <w:t>necessary</w:t>
      </w:r>
      <w:r w:rsidR="00204A3C">
        <w:t>,</w:t>
      </w:r>
      <w:r>
        <w:t xml:space="preserve"> to develop or improve XML components for legal status events </w:t>
      </w:r>
      <w:r w:rsidR="00CC5EBE">
        <w:t>based on</w:t>
      </w:r>
      <w:r>
        <w:t xml:space="preserve"> WIPO Standards ST.27, ST.61 and ST.87.</w:t>
      </w:r>
      <w:r w:rsidR="00CC5EBE">
        <w:t xml:space="preserve">  </w:t>
      </w:r>
      <w:r w:rsidR="008E27E0" w:rsidRPr="00FD085F">
        <w:t xml:space="preserve">Legal status components have already been incorporated into </w:t>
      </w:r>
      <w:r w:rsidR="000F3924">
        <w:t xml:space="preserve">Standard </w:t>
      </w:r>
      <w:r w:rsidR="008E27E0" w:rsidRPr="00FD085F">
        <w:t>ST.96, and work may begin on the associated JSON-based standard, ST.97</w:t>
      </w:r>
      <w:r w:rsidR="000F3924">
        <w:t>,</w:t>
      </w:r>
      <w:r w:rsidR="009C5670">
        <w:t xml:space="preserve"> in cooperation with </w:t>
      </w:r>
      <w:r w:rsidR="000F3924">
        <w:t xml:space="preserve">the </w:t>
      </w:r>
      <w:r w:rsidR="009C5670">
        <w:t>API Task Force</w:t>
      </w:r>
      <w:r w:rsidR="008E27E0">
        <w:t>.</w:t>
      </w:r>
      <w:r>
        <w:t xml:space="preserve"> </w:t>
      </w:r>
    </w:p>
    <w:p w14:paraId="4DABCC72" w14:textId="6F8EDC9C" w:rsidR="00C06C3E" w:rsidRDefault="00276DD9" w:rsidP="005F0E37">
      <w:pPr>
        <w:spacing w:after="220"/>
      </w:pPr>
      <w:r w:rsidDel="001E687D">
        <w:fldChar w:fldCharType="begin"/>
      </w:r>
      <w:r w:rsidDel="001E687D">
        <w:instrText xml:space="preserve"> AUTONUM  </w:instrText>
      </w:r>
      <w:r w:rsidDel="001E687D">
        <w:fldChar w:fldCharType="end"/>
      </w:r>
      <w:r w:rsidDel="001E687D">
        <w:tab/>
      </w:r>
      <w:r>
        <w:t xml:space="preserve">The Legal Status Task Force encourages </w:t>
      </w:r>
      <w:r w:rsidR="00F8699D">
        <w:t xml:space="preserve">IP offices </w:t>
      </w:r>
      <w:r>
        <w:t>to provide their mapping table</w:t>
      </w:r>
      <w:r w:rsidR="000F3924">
        <w:t>s</w:t>
      </w:r>
      <w:r>
        <w:t xml:space="preserve"> or update existing mapping table</w:t>
      </w:r>
      <w:r w:rsidR="000F3924">
        <w:t>s</w:t>
      </w:r>
      <w:r>
        <w:t xml:space="preserve"> published in </w:t>
      </w:r>
      <w:hyperlink r:id="rId16" w:anchor="p7.13">
        <w:r w:rsidRPr="15616B9C">
          <w:rPr>
            <w:rStyle w:val="Hyperlink"/>
          </w:rPr>
          <w:t>Part 7.13 of the WIPO Handbook</w:t>
        </w:r>
      </w:hyperlink>
      <w:r>
        <w:t xml:space="preserve">.  The Task Force will continue to work on other outstanding actions </w:t>
      </w:r>
      <w:r w:rsidR="000F3924">
        <w:t>mentioned</w:t>
      </w:r>
      <w:r>
        <w:t xml:space="preserve"> in paragraph </w:t>
      </w:r>
      <w:r w:rsidR="00132484">
        <w:t>10</w:t>
      </w:r>
      <w:r>
        <w:t>.</w:t>
      </w:r>
    </w:p>
    <w:p w14:paraId="51CBACEF" w14:textId="4F4513C8" w:rsidR="00590288" w:rsidRPr="009B6726" w:rsidRDefault="00DD70C2" w:rsidP="005F0E37">
      <w:pPr>
        <w:spacing w:after="220"/>
      </w:pPr>
      <w:r w:rsidDel="00EC4B6B">
        <w:fldChar w:fldCharType="begin"/>
      </w:r>
      <w:r w:rsidDel="00EC4B6B">
        <w:instrText xml:space="preserve"> AUTONUM  </w:instrText>
      </w:r>
      <w:r w:rsidDel="00EC4B6B">
        <w:fldChar w:fldCharType="end"/>
      </w:r>
      <w:r>
        <w:tab/>
      </w:r>
      <w:r w:rsidR="00590288" w:rsidRPr="00590288">
        <w:t xml:space="preserve">In parallel with its ongoing efforts to collect implementation experiences and best practices, the Task Force notes that the International Bureau has adopted a more flexible approach to the provision of support. </w:t>
      </w:r>
      <w:r w:rsidR="00CD65BA">
        <w:t xml:space="preserve"> </w:t>
      </w:r>
      <w:r w:rsidR="00590288" w:rsidRPr="00590288">
        <w:t xml:space="preserve">This includes the possibility of arranging bilateral meetings or group sessions to facilitate the implementation of, or </w:t>
      </w:r>
      <w:r w:rsidR="000F3924">
        <w:t xml:space="preserve">to </w:t>
      </w:r>
      <w:r w:rsidR="00590288" w:rsidRPr="00590288">
        <w:t xml:space="preserve">conduct mapping exercises related to, WIPO </w:t>
      </w:r>
      <w:r w:rsidR="000F3924">
        <w:t>s</w:t>
      </w:r>
      <w:r w:rsidR="00590288" w:rsidRPr="00590288">
        <w:t xml:space="preserve">tandards ST.27, ST.61 and ST.87. </w:t>
      </w:r>
      <w:r w:rsidR="00CD65BA">
        <w:t xml:space="preserve"> </w:t>
      </w:r>
      <w:r w:rsidR="00F8699D">
        <w:t>IP offices</w:t>
      </w:r>
      <w:r w:rsidR="00590288" w:rsidRPr="00590288" w:rsidDel="00F8699D">
        <w:t xml:space="preserve"> </w:t>
      </w:r>
      <w:r w:rsidR="00590288" w:rsidRPr="00590288">
        <w:t>requiring such assistance are invited to contact the International Bureau.</w:t>
      </w:r>
    </w:p>
    <w:p w14:paraId="0DD384B9" w14:textId="77777777" w:rsidR="006B00E1" w:rsidRDefault="00246E7F" w:rsidP="006B00E1">
      <w:pPr>
        <w:pStyle w:val="ONUMFS"/>
        <w:numPr>
          <w:ilvl w:val="0"/>
          <w:numId w:val="0"/>
        </w:numPr>
        <w:ind w:left="5533"/>
        <w:rPr>
          <w:i/>
        </w:rPr>
      </w:pPr>
      <w:r w:rsidRPr="00A2300E">
        <w:rPr>
          <w:i/>
          <w:szCs w:val="22"/>
        </w:rPr>
        <w:fldChar w:fldCharType="begin"/>
      </w:r>
      <w:r w:rsidRPr="00A2300E">
        <w:rPr>
          <w:i/>
          <w:szCs w:val="22"/>
        </w:rPr>
        <w:instrText xml:space="preserve"> AUTONUM  </w:instrText>
      </w:r>
      <w:r w:rsidRPr="00A2300E">
        <w:rPr>
          <w:i/>
          <w:szCs w:val="22"/>
        </w:rPr>
        <w:fldChar w:fldCharType="end"/>
      </w:r>
      <w:r w:rsidRPr="00A2300E">
        <w:rPr>
          <w:i/>
          <w:szCs w:val="22"/>
        </w:rPr>
        <w:tab/>
        <w:t>Th</w:t>
      </w:r>
      <w:r w:rsidRPr="00A2300E">
        <w:rPr>
          <w:i/>
        </w:rPr>
        <w:t>e CWS is invited to</w:t>
      </w:r>
      <w:r w:rsidR="006B00E1">
        <w:rPr>
          <w:i/>
        </w:rPr>
        <w:t>:</w:t>
      </w:r>
    </w:p>
    <w:p w14:paraId="53828B2F" w14:textId="6CE99988" w:rsidR="00723F79" w:rsidRPr="00723F79" w:rsidRDefault="00246E7F" w:rsidP="0055362A">
      <w:pPr>
        <w:pStyle w:val="ListParagraph"/>
        <w:numPr>
          <w:ilvl w:val="0"/>
          <w:numId w:val="24"/>
        </w:numPr>
        <w:spacing w:after="240"/>
        <w:ind w:left="5528" w:firstLine="680"/>
        <w:contextualSpacing w:val="0"/>
        <w:rPr>
          <w:i/>
          <w:iCs/>
        </w:rPr>
      </w:pPr>
      <w:r w:rsidRPr="0055362A">
        <w:rPr>
          <w:i/>
          <w:szCs w:val="22"/>
        </w:rPr>
        <w:t xml:space="preserve">note the content of this document, </w:t>
      </w:r>
      <w:r w:rsidR="000F3924" w:rsidRPr="0055362A">
        <w:rPr>
          <w:i/>
          <w:szCs w:val="22"/>
        </w:rPr>
        <w:t xml:space="preserve">in </w:t>
      </w:r>
      <w:r w:rsidRPr="0055362A">
        <w:rPr>
          <w:i/>
          <w:szCs w:val="22"/>
        </w:rPr>
        <w:t xml:space="preserve">particular the work plan </w:t>
      </w:r>
      <w:r w:rsidR="00213533" w:rsidRPr="0055362A">
        <w:rPr>
          <w:i/>
          <w:szCs w:val="22"/>
        </w:rPr>
        <w:t>as referred to</w:t>
      </w:r>
      <w:r w:rsidRPr="0055362A">
        <w:rPr>
          <w:i/>
          <w:szCs w:val="22"/>
        </w:rPr>
        <w:t xml:space="preserve"> in paragraphs </w:t>
      </w:r>
      <w:r w:rsidR="00CD15C1" w:rsidRPr="0055362A">
        <w:rPr>
          <w:i/>
          <w:szCs w:val="22"/>
        </w:rPr>
        <w:t>1</w:t>
      </w:r>
      <w:r w:rsidR="00570E29">
        <w:rPr>
          <w:i/>
          <w:szCs w:val="22"/>
        </w:rPr>
        <w:t>6</w:t>
      </w:r>
      <w:r w:rsidR="00CD15C1" w:rsidRPr="0055362A">
        <w:rPr>
          <w:i/>
          <w:szCs w:val="22"/>
        </w:rPr>
        <w:t xml:space="preserve"> </w:t>
      </w:r>
      <w:r w:rsidR="00723DBB" w:rsidRPr="0055362A">
        <w:rPr>
          <w:i/>
          <w:szCs w:val="22"/>
        </w:rPr>
        <w:t>to 1</w:t>
      </w:r>
      <w:r w:rsidR="00570E29">
        <w:rPr>
          <w:i/>
          <w:szCs w:val="22"/>
        </w:rPr>
        <w:t>8</w:t>
      </w:r>
      <w:r w:rsidRPr="0055362A">
        <w:rPr>
          <w:i/>
          <w:szCs w:val="22"/>
        </w:rPr>
        <w:t xml:space="preserve"> above</w:t>
      </w:r>
      <w:r w:rsidR="009C655E">
        <w:rPr>
          <w:i/>
          <w:szCs w:val="22"/>
        </w:rPr>
        <w:t>; and</w:t>
      </w:r>
    </w:p>
    <w:p w14:paraId="7319269E" w14:textId="58B3F6FB" w:rsidR="00246E7F" w:rsidRPr="0055362A" w:rsidRDefault="00723F79" w:rsidP="0055362A">
      <w:pPr>
        <w:pStyle w:val="ListParagraph"/>
        <w:numPr>
          <w:ilvl w:val="0"/>
          <w:numId w:val="24"/>
        </w:numPr>
        <w:spacing w:after="240"/>
        <w:ind w:left="5528" w:firstLine="680"/>
        <w:contextualSpacing w:val="0"/>
        <w:rPr>
          <w:i/>
          <w:iCs/>
        </w:rPr>
      </w:pPr>
      <w:r w:rsidRPr="0099538B">
        <w:rPr>
          <w:i/>
          <w:szCs w:val="22"/>
        </w:rPr>
        <w:t xml:space="preserve">approve the proposed revision to the description of Task No. </w:t>
      </w:r>
      <w:r>
        <w:rPr>
          <w:i/>
          <w:szCs w:val="22"/>
        </w:rPr>
        <w:t>47</w:t>
      </w:r>
      <w:r w:rsidRPr="0099538B">
        <w:rPr>
          <w:i/>
          <w:szCs w:val="22"/>
        </w:rPr>
        <w:t xml:space="preserve"> as referred to in paragraph 1</w:t>
      </w:r>
      <w:r>
        <w:rPr>
          <w:i/>
          <w:szCs w:val="22"/>
        </w:rPr>
        <w:t>5</w:t>
      </w:r>
      <w:r w:rsidRPr="0099538B">
        <w:rPr>
          <w:i/>
          <w:szCs w:val="22"/>
        </w:rPr>
        <w:t xml:space="preserve"> above</w:t>
      </w:r>
      <w:r>
        <w:rPr>
          <w:i/>
          <w:szCs w:val="22"/>
        </w:rPr>
        <w:t>.</w:t>
      </w:r>
      <w:r w:rsidR="00246E7F" w:rsidRPr="0055362A">
        <w:rPr>
          <w:i/>
          <w:szCs w:val="22"/>
        </w:rPr>
        <w:t xml:space="preserve"> </w:t>
      </w:r>
    </w:p>
    <w:p w14:paraId="69A111FA" w14:textId="77777777" w:rsidR="00181ED1" w:rsidRPr="00C3377C" w:rsidRDefault="00181ED1" w:rsidP="00181ED1">
      <w:pPr>
        <w:ind w:left="5533"/>
        <w:rPr>
          <w:i/>
        </w:rPr>
      </w:pPr>
    </w:p>
    <w:p w14:paraId="633B94BC" w14:textId="77777777" w:rsidR="00181ED1" w:rsidRDefault="00181ED1" w:rsidP="00181ED1">
      <w:pPr>
        <w:ind w:left="5533"/>
        <w:rPr>
          <w:i/>
        </w:rPr>
      </w:pPr>
    </w:p>
    <w:p w14:paraId="7FC5E63B" w14:textId="77777777" w:rsidR="00181ED1" w:rsidRPr="00C3377C" w:rsidRDefault="00181ED1" w:rsidP="00181ED1">
      <w:pPr>
        <w:ind w:left="5533"/>
        <w:rPr>
          <w:i/>
          <w:iCs/>
        </w:rPr>
      </w:pPr>
    </w:p>
    <w:p w14:paraId="2ECFC449" w14:textId="77777777" w:rsidR="00246E7F" w:rsidRPr="003A593A" w:rsidRDefault="00246E7F" w:rsidP="003A593A">
      <w:pPr>
        <w:pStyle w:val="ONUMFS"/>
        <w:numPr>
          <w:ilvl w:val="0"/>
          <w:numId w:val="0"/>
        </w:numPr>
        <w:ind w:left="5533"/>
        <w:jc w:val="center"/>
        <w:rPr>
          <w:iCs/>
        </w:rPr>
      </w:pPr>
      <w:r w:rsidRPr="003A593A">
        <w:rPr>
          <w:iCs/>
          <w:szCs w:val="22"/>
        </w:rPr>
        <w:t>[End of document]</w:t>
      </w:r>
    </w:p>
    <w:p w14:paraId="268E3B9F" w14:textId="77777777" w:rsidR="00764B84" w:rsidRPr="004418AC" w:rsidRDefault="00764B84" w:rsidP="10CF5713">
      <w:pPr>
        <w:spacing w:after="960"/>
      </w:pPr>
    </w:p>
    <w:sectPr w:rsidR="00764B84" w:rsidRPr="004418AC" w:rsidSect="00B07C3A">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3BDF" w14:textId="77777777" w:rsidR="000433A2" w:rsidRDefault="000433A2">
      <w:r>
        <w:separator/>
      </w:r>
    </w:p>
  </w:endnote>
  <w:endnote w:type="continuationSeparator" w:id="0">
    <w:p w14:paraId="0B938F32" w14:textId="77777777" w:rsidR="000433A2" w:rsidRDefault="000433A2" w:rsidP="003B38C1">
      <w:r>
        <w:separator/>
      </w:r>
    </w:p>
    <w:p w14:paraId="36E923AB" w14:textId="77777777" w:rsidR="000433A2" w:rsidRPr="003B38C1" w:rsidRDefault="000433A2" w:rsidP="003B38C1">
      <w:pPr>
        <w:spacing w:after="60"/>
        <w:rPr>
          <w:sz w:val="17"/>
        </w:rPr>
      </w:pPr>
      <w:r>
        <w:rPr>
          <w:sz w:val="17"/>
        </w:rPr>
        <w:t>[Endnote continued from previous page]</w:t>
      </w:r>
    </w:p>
  </w:endnote>
  <w:endnote w:type="continuationNotice" w:id="1">
    <w:p w14:paraId="03B80511" w14:textId="77777777" w:rsidR="000433A2" w:rsidRPr="003B38C1" w:rsidRDefault="000433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5857" w14:textId="77777777" w:rsidR="000433A2" w:rsidRDefault="000433A2">
      <w:r>
        <w:separator/>
      </w:r>
    </w:p>
  </w:footnote>
  <w:footnote w:type="continuationSeparator" w:id="0">
    <w:p w14:paraId="050A106A" w14:textId="77777777" w:rsidR="000433A2" w:rsidRDefault="000433A2" w:rsidP="008B60B2">
      <w:r>
        <w:separator/>
      </w:r>
    </w:p>
    <w:p w14:paraId="6E2476C4" w14:textId="77777777" w:rsidR="000433A2" w:rsidRPr="00ED77FB" w:rsidRDefault="000433A2" w:rsidP="008B60B2">
      <w:pPr>
        <w:spacing w:after="60"/>
        <w:rPr>
          <w:sz w:val="17"/>
          <w:szCs w:val="17"/>
        </w:rPr>
      </w:pPr>
      <w:r w:rsidRPr="00ED77FB">
        <w:rPr>
          <w:sz w:val="17"/>
          <w:szCs w:val="17"/>
        </w:rPr>
        <w:t>[Footnote continued from previous page]</w:t>
      </w:r>
    </w:p>
  </w:footnote>
  <w:footnote w:type="continuationNotice" w:id="1">
    <w:p w14:paraId="30545365" w14:textId="77777777" w:rsidR="000433A2" w:rsidRPr="00ED77FB" w:rsidRDefault="000433A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049BAA28" w:rsidR="00EC4E49" w:rsidRDefault="00B07C3A" w:rsidP="00477D6B">
    <w:pPr>
      <w:jc w:val="right"/>
    </w:pPr>
    <w:bookmarkStart w:id="5" w:name="Code2"/>
    <w:bookmarkEnd w:id="5"/>
    <w:r>
      <w:t>CWS/13/</w:t>
    </w:r>
    <w:r w:rsidR="001B6682">
      <w:t>4</w:t>
    </w:r>
  </w:p>
  <w:p w14:paraId="1628877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8D48E4"/>
    <w:multiLevelType w:val="hybridMultilevel"/>
    <w:tmpl w:val="76483CDA"/>
    <w:lvl w:ilvl="0" w:tplc="33800C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34F60AB"/>
    <w:multiLevelType w:val="multilevel"/>
    <w:tmpl w:val="AF421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BF07875"/>
    <w:multiLevelType w:val="hybridMultilevel"/>
    <w:tmpl w:val="B3A42224"/>
    <w:lvl w:ilvl="0" w:tplc="BE485ECE">
      <w:start w:val="1"/>
      <w:numFmt w:val="bullet"/>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0F12DB"/>
    <w:multiLevelType w:val="multilevel"/>
    <w:tmpl w:val="1732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159CC"/>
    <w:multiLevelType w:val="multilevel"/>
    <w:tmpl w:val="4BC2A7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58E174A9"/>
    <w:multiLevelType w:val="hybridMultilevel"/>
    <w:tmpl w:val="AB30D502"/>
    <w:lvl w:ilvl="0" w:tplc="BE485EC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66E23CAC"/>
    <w:multiLevelType w:val="hybridMultilevel"/>
    <w:tmpl w:val="3BB28E02"/>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8" w15:restartNumberingAfterBreak="0">
    <w:nsid w:val="6B766604"/>
    <w:multiLevelType w:val="hybridMultilevel"/>
    <w:tmpl w:val="EC2E36AA"/>
    <w:lvl w:ilvl="0" w:tplc="BE485EC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EAD31CB"/>
    <w:multiLevelType w:val="multilevel"/>
    <w:tmpl w:val="FEF6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9413EE"/>
    <w:multiLevelType w:val="hybridMultilevel"/>
    <w:tmpl w:val="A802E3C6"/>
    <w:lvl w:ilvl="0" w:tplc="BE485EC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72602B1D"/>
    <w:multiLevelType w:val="multilevel"/>
    <w:tmpl w:val="7FE866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146139"/>
    <w:multiLevelType w:val="multilevel"/>
    <w:tmpl w:val="2B2C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D50B3"/>
    <w:multiLevelType w:val="multilevel"/>
    <w:tmpl w:val="4DB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242770">
    <w:abstractNumId w:val="5"/>
  </w:num>
  <w:num w:numId="2" w16cid:durableId="1707562677">
    <w:abstractNumId w:val="12"/>
  </w:num>
  <w:num w:numId="3" w16cid:durableId="488402972">
    <w:abstractNumId w:val="0"/>
  </w:num>
  <w:num w:numId="4" w16cid:durableId="1646352287">
    <w:abstractNumId w:val="13"/>
  </w:num>
  <w:num w:numId="5" w16cid:durableId="656806783">
    <w:abstractNumId w:val="3"/>
  </w:num>
  <w:num w:numId="6" w16cid:durableId="222833342">
    <w:abstractNumId w:val="7"/>
  </w:num>
  <w:num w:numId="7" w16cid:durableId="320819985">
    <w:abstractNumId w:val="11"/>
  </w:num>
  <w:num w:numId="8" w16cid:durableId="1012142412">
    <w:abstractNumId w:val="14"/>
  </w:num>
  <w:num w:numId="9" w16cid:durableId="1069696050">
    <w:abstractNumId w:val="17"/>
  </w:num>
  <w:num w:numId="10" w16cid:durableId="672034078">
    <w:abstractNumId w:val="2"/>
  </w:num>
  <w:num w:numId="11" w16cid:durableId="2126271230">
    <w:abstractNumId w:val="6"/>
  </w:num>
  <w:num w:numId="12" w16cid:durableId="851335836">
    <w:abstractNumId w:val="16"/>
  </w:num>
  <w:num w:numId="13" w16cid:durableId="408691666">
    <w:abstractNumId w:val="9"/>
  </w:num>
  <w:num w:numId="14" w16cid:durableId="1918050718">
    <w:abstractNumId w:val="4"/>
  </w:num>
  <w:num w:numId="15" w16cid:durableId="243102640">
    <w:abstractNumId w:val="22"/>
  </w:num>
  <w:num w:numId="16" w16cid:durableId="1694572725">
    <w:abstractNumId w:val="18"/>
  </w:num>
  <w:num w:numId="17" w16cid:durableId="905727021">
    <w:abstractNumId w:val="10"/>
  </w:num>
  <w:num w:numId="18" w16cid:durableId="1120103058">
    <w:abstractNumId w:val="8"/>
  </w:num>
  <w:num w:numId="19" w16cid:durableId="57560538">
    <w:abstractNumId w:val="21"/>
  </w:num>
  <w:num w:numId="20" w16cid:durableId="878662889">
    <w:abstractNumId w:val="23"/>
  </w:num>
  <w:num w:numId="21" w16cid:durableId="2060006158">
    <w:abstractNumId w:val="15"/>
  </w:num>
  <w:num w:numId="22" w16cid:durableId="34428941">
    <w:abstractNumId w:val="19"/>
  </w:num>
  <w:num w:numId="23" w16cid:durableId="1548182807">
    <w:abstractNumId w:val="20"/>
  </w:num>
  <w:num w:numId="24" w16cid:durableId="106614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21FE"/>
    <w:rsid w:val="00013FCA"/>
    <w:rsid w:val="0001647B"/>
    <w:rsid w:val="00021928"/>
    <w:rsid w:val="000269DE"/>
    <w:rsid w:val="00026BDA"/>
    <w:rsid w:val="00027705"/>
    <w:rsid w:val="00033DA2"/>
    <w:rsid w:val="0004293E"/>
    <w:rsid w:val="000433A2"/>
    <w:rsid w:val="00043CAA"/>
    <w:rsid w:val="000474DC"/>
    <w:rsid w:val="00047783"/>
    <w:rsid w:val="00050EE4"/>
    <w:rsid w:val="000527D2"/>
    <w:rsid w:val="00057414"/>
    <w:rsid w:val="00061B65"/>
    <w:rsid w:val="00066B11"/>
    <w:rsid w:val="00067B2F"/>
    <w:rsid w:val="00073748"/>
    <w:rsid w:val="00075432"/>
    <w:rsid w:val="000817DB"/>
    <w:rsid w:val="00081E39"/>
    <w:rsid w:val="0008484E"/>
    <w:rsid w:val="00094016"/>
    <w:rsid w:val="000968ED"/>
    <w:rsid w:val="00096D64"/>
    <w:rsid w:val="000A763C"/>
    <w:rsid w:val="000B231E"/>
    <w:rsid w:val="000C1D6C"/>
    <w:rsid w:val="000D2373"/>
    <w:rsid w:val="000D654A"/>
    <w:rsid w:val="000D66E4"/>
    <w:rsid w:val="000D6E71"/>
    <w:rsid w:val="000E1D2B"/>
    <w:rsid w:val="000E4E83"/>
    <w:rsid w:val="000F36EF"/>
    <w:rsid w:val="000F3924"/>
    <w:rsid w:val="000F5E56"/>
    <w:rsid w:val="000F79A0"/>
    <w:rsid w:val="001016F6"/>
    <w:rsid w:val="001024FE"/>
    <w:rsid w:val="00110C97"/>
    <w:rsid w:val="00112FC0"/>
    <w:rsid w:val="00116E22"/>
    <w:rsid w:val="001172B9"/>
    <w:rsid w:val="001174B9"/>
    <w:rsid w:val="001237D6"/>
    <w:rsid w:val="001242D8"/>
    <w:rsid w:val="00125464"/>
    <w:rsid w:val="00132484"/>
    <w:rsid w:val="00133EC3"/>
    <w:rsid w:val="001358A2"/>
    <w:rsid w:val="001362EE"/>
    <w:rsid w:val="0013689B"/>
    <w:rsid w:val="0014172C"/>
    <w:rsid w:val="00141C2C"/>
    <w:rsid w:val="00142868"/>
    <w:rsid w:val="001463E1"/>
    <w:rsid w:val="00147F52"/>
    <w:rsid w:val="001609F6"/>
    <w:rsid w:val="001622F6"/>
    <w:rsid w:val="0016233D"/>
    <w:rsid w:val="00163CA0"/>
    <w:rsid w:val="0016430A"/>
    <w:rsid w:val="001648F7"/>
    <w:rsid w:val="00164D1C"/>
    <w:rsid w:val="00175397"/>
    <w:rsid w:val="0017730D"/>
    <w:rsid w:val="001778F6"/>
    <w:rsid w:val="00181ED1"/>
    <w:rsid w:val="001832A6"/>
    <w:rsid w:val="0018363B"/>
    <w:rsid w:val="001A2E40"/>
    <w:rsid w:val="001A7052"/>
    <w:rsid w:val="001A789C"/>
    <w:rsid w:val="001B165A"/>
    <w:rsid w:val="001B532B"/>
    <w:rsid w:val="001B551B"/>
    <w:rsid w:val="001B6682"/>
    <w:rsid w:val="001B7D55"/>
    <w:rsid w:val="001C572E"/>
    <w:rsid w:val="001C6628"/>
    <w:rsid w:val="001C6808"/>
    <w:rsid w:val="001C6940"/>
    <w:rsid w:val="001D08C8"/>
    <w:rsid w:val="001E1FA1"/>
    <w:rsid w:val="001E406C"/>
    <w:rsid w:val="001E687D"/>
    <w:rsid w:val="001F343B"/>
    <w:rsid w:val="00203EEB"/>
    <w:rsid w:val="00204A3C"/>
    <w:rsid w:val="00204E42"/>
    <w:rsid w:val="002121FA"/>
    <w:rsid w:val="00213533"/>
    <w:rsid w:val="0021398C"/>
    <w:rsid w:val="00227434"/>
    <w:rsid w:val="0023140D"/>
    <w:rsid w:val="00243DF2"/>
    <w:rsid w:val="00246B7A"/>
    <w:rsid w:val="00246E7F"/>
    <w:rsid w:val="002500B3"/>
    <w:rsid w:val="002535F6"/>
    <w:rsid w:val="00256E05"/>
    <w:rsid w:val="00262862"/>
    <w:rsid w:val="002634C4"/>
    <w:rsid w:val="00265A84"/>
    <w:rsid w:val="002664B1"/>
    <w:rsid w:val="0027014C"/>
    <w:rsid w:val="0027205E"/>
    <w:rsid w:val="0027235C"/>
    <w:rsid w:val="00276DD9"/>
    <w:rsid w:val="002928D3"/>
    <w:rsid w:val="00294E7B"/>
    <w:rsid w:val="002A0334"/>
    <w:rsid w:val="002B0843"/>
    <w:rsid w:val="002B1E64"/>
    <w:rsid w:val="002B52CA"/>
    <w:rsid w:val="002B750E"/>
    <w:rsid w:val="002C3E25"/>
    <w:rsid w:val="002E5CDB"/>
    <w:rsid w:val="002F01F8"/>
    <w:rsid w:val="002F1FE6"/>
    <w:rsid w:val="002F4E68"/>
    <w:rsid w:val="002F5682"/>
    <w:rsid w:val="00303BF6"/>
    <w:rsid w:val="003076AA"/>
    <w:rsid w:val="003104FA"/>
    <w:rsid w:val="003124FF"/>
    <w:rsid w:val="00312C1C"/>
    <w:rsid w:val="00312CAE"/>
    <w:rsid w:val="00312F7F"/>
    <w:rsid w:val="0032272A"/>
    <w:rsid w:val="003228B7"/>
    <w:rsid w:val="003239CF"/>
    <w:rsid w:val="003373E2"/>
    <w:rsid w:val="003413B6"/>
    <w:rsid w:val="0034622D"/>
    <w:rsid w:val="003508A3"/>
    <w:rsid w:val="00351A82"/>
    <w:rsid w:val="0035299E"/>
    <w:rsid w:val="00354676"/>
    <w:rsid w:val="00360A36"/>
    <w:rsid w:val="00361005"/>
    <w:rsid w:val="00361889"/>
    <w:rsid w:val="003673CF"/>
    <w:rsid w:val="00370991"/>
    <w:rsid w:val="0037335D"/>
    <w:rsid w:val="003845C1"/>
    <w:rsid w:val="00391200"/>
    <w:rsid w:val="00393930"/>
    <w:rsid w:val="00397C62"/>
    <w:rsid w:val="003A0E07"/>
    <w:rsid w:val="003A593A"/>
    <w:rsid w:val="003A6F89"/>
    <w:rsid w:val="003A781E"/>
    <w:rsid w:val="003B38C1"/>
    <w:rsid w:val="003C289A"/>
    <w:rsid w:val="003C7495"/>
    <w:rsid w:val="003D352A"/>
    <w:rsid w:val="003D58D1"/>
    <w:rsid w:val="003D6E91"/>
    <w:rsid w:val="003E6845"/>
    <w:rsid w:val="003F2393"/>
    <w:rsid w:val="003F408B"/>
    <w:rsid w:val="003F6B24"/>
    <w:rsid w:val="003F7CF8"/>
    <w:rsid w:val="00400BE5"/>
    <w:rsid w:val="004018BD"/>
    <w:rsid w:val="00411F5D"/>
    <w:rsid w:val="00423E3E"/>
    <w:rsid w:val="00427AF4"/>
    <w:rsid w:val="00433DF1"/>
    <w:rsid w:val="004400E2"/>
    <w:rsid w:val="004418AC"/>
    <w:rsid w:val="0044260F"/>
    <w:rsid w:val="0044429A"/>
    <w:rsid w:val="00446668"/>
    <w:rsid w:val="00461632"/>
    <w:rsid w:val="004647DA"/>
    <w:rsid w:val="004653DC"/>
    <w:rsid w:val="00467477"/>
    <w:rsid w:val="0047143F"/>
    <w:rsid w:val="00474062"/>
    <w:rsid w:val="004770F9"/>
    <w:rsid w:val="00477D6B"/>
    <w:rsid w:val="00480009"/>
    <w:rsid w:val="00480D97"/>
    <w:rsid w:val="0049209E"/>
    <w:rsid w:val="00493B7E"/>
    <w:rsid w:val="00495C10"/>
    <w:rsid w:val="00495D14"/>
    <w:rsid w:val="004A11E9"/>
    <w:rsid w:val="004A395E"/>
    <w:rsid w:val="004A6C09"/>
    <w:rsid w:val="004B0695"/>
    <w:rsid w:val="004B212B"/>
    <w:rsid w:val="004B49AD"/>
    <w:rsid w:val="004B4FC5"/>
    <w:rsid w:val="004C37EC"/>
    <w:rsid w:val="004C7112"/>
    <w:rsid w:val="004D3155"/>
    <w:rsid w:val="004D39C4"/>
    <w:rsid w:val="004D51E9"/>
    <w:rsid w:val="004E021A"/>
    <w:rsid w:val="004E15CA"/>
    <w:rsid w:val="004E64E7"/>
    <w:rsid w:val="004F231E"/>
    <w:rsid w:val="004F2591"/>
    <w:rsid w:val="005025C9"/>
    <w:rsid w:val="00504ABD"/>
    <w:rsid w:val="0050706C"/>
    <w:rsid w:val="005260F6"/>
    <w:rsid w:val="0053057A"/>
    <w:rsid w:val="00530F06"/>
    <w:rsid w:val="00533956"/>
    <w:rsid w:val="00536743"/>
    <w:rsid w:val="0054282C"/>
    <w:rsid w:val="00545CF4"/>
    <w:rsid w:val="005469ED"/>
    <w:rsid w:val="00547CCF"/>
    <w:rsid w:val="0055362A"/>
    <w:rsid w:val="00554D33"/>
    <w:rsid w:val="00554F78"/>
    <w:rsid w:val="00560A29"/>
    <w:rsid w:val="00562FA8"/>
    <w:rsid w:val="00570E29"/>
    <w:rsid w:val="00575612"/>
    <w:rsid w:val="005819FE"/>
    <w:rsid w:val="00581D78"/>
    <w:rsid w:val="00582296"/>
    <w:rsid w:val="00582BCD"/>
    <w:rsid w:val="00585159"/>
    <w:rsid w:val="00590288"/>
    <w:rsid w:val="00594D27"/>
    <w:rsid w:val="005A0DF9"/>
    <w:rsid w:val="005A1925"/>
    <w:rsid w:val="005A7FAB"/>
    <w:rsid w:val="005B01F8"/>
    <w:rsid w:val="005B06F9"/>
    <w:rsid w:val="005B1299"/>
    <w:rsid w:val="005B68DB"/>
    <w:rsid w:val="005C6E4A"/>
    <w:rsid w:val="005D101F"/>
    <w:rsid w:val="005D5110"/>
    <w:rsid w:val="005D6FF6"/>
    <w:rsid w:val="005E4F86"/>
    <w:rsid w:val="005E5F8A"/>
    <w:rsid w:val="005F038B"/>
    <w:rsid w:val="005F0E37"/>
    <w:rsid w:val="005F324D"/>
    <w:rsid w:val="00600AF9"/>
    <w:rsid w:val="006014AD"/>
    <w:rsid w:val="00601760"/>
    <w:rsid w:val="00604CBF"/>
    <w:rsid w:val="00605827"/>
    <w:rsid w:val="006146D8"/>
    <w:rsid w:val="00616AB5"/>
    <w:rsid w:val="00620937"/>
    <w:rsid w:val="00621F4C"/>
    <w:rsid w:val="00622164"/>
    <w:rsid w:val="00623EB7"/>
    <w:rsid w:val="0062594D"/>
    <w:rsid w:val="0062711C"/>
    <w:rsid w:val="00633F1E"/>
    <w:rsid w:val="00635965"/>
    <w:rsid w:val="00642163"/>
    <w:rsid w:val="006455FB"/>
    <w:rsid w:val="00646050"/>
    <w:rsid w:val="006504AB"/>
    <w:rsid w:val="00660A45"/>
    <w:rsid w:val="00670403"/>
    <w:rsid w:val="006713CA"/>
    <w:rsid w:val="0067326D"/>
    <w:rsid w:val="00676C5C"/>
    <w:rsid w:val="006778B5"/>
    <w:rsid w:val="00680C64"/>
    <w:rsid w:val="0068556D"/>
    <w:rsid w:val="006913EB"/>
    <w:rsid w:val="00695558"/>
    <w:rsid w:val="006A3906"/>
    <w:rsid w:val="006A3F4C"/>
    <w:rsid w:val="006B00E1"/>
    <w:rsid w:val="006B2427"/>
    <w:rsid w:val="006B4422"/>
    <w:rsid w:val="006B6D70"/>
    <w:rsid w:val="006C134C"/>
    <w:rsid w:val="006C2C56"/>
    <w:rsid w:val="006C39DA"/>
    <w:rsid w:val="006C526A"/>
    <w:rsid w:val="006C54A6"/>
    <w:rsid w:val="006C6AA3"/>
    <w:rsid w:val="006D5E0F"/>
    <w:rsid w:val="006D728A"/>
    <w:rsid w:val="006E3E4E"/>
    <w:rsid w:val="006E68F6"/>
    <w:rsid w:val="006F278F"/>
    <w:rsid w:val="006F3027"/>
    <w:rsid w:val="0070028D"/>
    <w:rsid w:val="00705883"/>
    <w:rsid w:val="007058FB"/>
    <w:rsid w:val="00717F67"/>
    <w:rsid w:val="00723566"/>
    <w:rsid w:val="00723DBB"/>
    <w:rsid w:val="00723F79"/>
    <w:rsid w:val="00730B53"/>
    <w:rsid w:val="0073132E"/>
    <w:rsid w:val="00735D49"/>
    <w:rsid w:val="00737579"/>
    <w:rsid w:val="007430E1"/>
    <w:rsid w:val="00745D33"/>
    <w:rsid w:val="0074722C"/>
    <w:rsid w:val="00752243"/>
    <w:rsid w:val="00754F61"/>
    <w:rsid w:val="0075672C"/>
    <w:rsid w:val="00764B84"/>
    <w:rsid w:val="00770F4D"/>
    <w:rsid w:val="00771D6C"/>
    <w:rsid w:val="007729D3"/>
    <w:rsid w:val="007747E9"/>
    <w:rsid w:val="007803AA"/>
    <w:rsid w:val="00781F68"/>
    <w:rsid w:val="00797B89"/>
    <w:rsid w:val="007A4900"/>
    <w:rsid w:val="007A6395"/>
    <w:rsid w:val="007B0608"/>
    <w:rsid w:val="007B2B5E"/>
    <w:rsid w:val="007B6A58"/>
    <w:rsid w:val="007C1194"/>
    <w:rsid w:val="007D0C87"/>
    <w:rsid w:val="007D1613"/>
    <w:rsid w:val="007E046B"/>
    <w:rsid w:val="007E18D9"/>
    <w:rsid w:val="007F1B32"/>
    <w:rsid w:val="007F3669"/>
    <w:rsid w:val="007F6603"/>
    <w:rsid w:val="00801954"/>
    <w:rsid w:val="0080254E"/>
    <w:rsid w:val="00804896"/>
    <w:rsid w:val="008064FC"/>
    <w:rsid w:val="00810C53"/>
    <w:rsid w:val="00811617"/>
    <w:rsid w:val="008120D6"/>
    <w:rsid w:val="00814A32"/>
    <w:rsid w:val="00817700"/>
    <w:rsid w:val="008238F1"/>
    <w:rsid w:val="00825ACB"/>
    <w:rsid w:val="00827413"/>
    <w:rsid w:val="00830E12"/>
    <w:rsid w:val="00835CA9"/>
    <w:rsid w:val="00837563"/>
    <w:rsid w:val="008466BB"/>
    <w:rsid w:val="00846CE8"/>
    <w:rsid w:val="00854E5D"/>
    <w:rsid w:val="00867AEA"/>
    <w:rsid w:val="00872D6E"/>
    <w:rsid w:val="00873EE5"/>
    <w:rsid w:val="008807FE"/>
    <w:rsid w:val="00885CBB"/>
    <w:rsid w:val="00890495"/>
    <w:rsid w:val="00894538"/>
    <w:rsid w:val="008A0E43"/>
    <w:rsid w:val="008A11B2"/>
    <w:rsid w:val="008A1F58"/>
    <w:rsid w:val="008B0342"/>
    <w:rsid w:val="008B2CC1"/>
    <w:rsid w:val="008B4B5E"/>
    <w:rsid w:val="008B60B2"/>
    <w:rsid w:val="008C5486"/>
    <w:rsid w:val="008D25BC"/>
    <w:rsid w:val="008E27E0"/>
    <w:rsid w:val="008F2DA5"/>
    <w:rsid w:val="008F38E5"/>
    <w:rsid w:val="00902467"/>
    <w:rsid w:val="0090731E"/>
    <w:rsid w:val="00912334"/>
    <w:rsid w:val="00912957"/>
    <w:rsid w:val="00914963"/>
    <w:rsid w:val="00916EE2"/>
    <w:rsid w:val="00924F1D"/>
    <w:rsid w:val="0092752F"/>
    <w:rsid w:val="00932D7D"/>
    <w:rsid w:val="00933290"/>
    <w:rsid w:val="00936008"/>
    <w:rsid w:val="0094261A"/>
    <w:rsid w:val="00950E06"/>
    <w:rsid w:val="00955EF6"/>
    <w:rsid w:val="00962466"/>
    <w:rsid w:val="0096324C"/>
    <w:rsid w:val="00966A22"/>
    <w:rsid w:val="0096722F"/>
    <w:rsid w:val="009677BE"/>
    <w:rsid w:val="00970D4F"/>
    <w:rsid w:val="00980843"/>
    <w:rsid w:val="00981568"/>
    <w:rsid w:val="00984082"/>
    <w:rsid w:val="00986FF9"/>
    <w:rsid w:val="0099538B"/>
    <w:rsid w:val="009A00AD"/>
    <w:rsid w:val="009A4E3D"/>
    <w:rsid w:val="009A50BB"/>
    <w:rsid w:val="009A64BD"/>
    <w:rsid w:val="009B149C"/>
    <w:rsid w:val="009B6726"/>
    <w:rsid w:val="009C31B4"/>
    <w:rsid w:val="009C5068"/>
    <w:rsid w:val="009C5670"/>
    <w:rsid w:val="009C655E"/>
    <w:rsid w:val="009D05D3"/>
    <w:rsid w:val="009D25DA"/>
    <w:rsid w:val="009D2EE7"/>
    <w:rsid w:val="009D6256"/>
    <w:rsid w:val="009E08A7"/>
    <w:rsid w:val="009E0912"/>
    <w:rsid w:val="009E15D9"/>
    <w:rsid w:val="009E1F7F"/>
    <w:rsid w:val="009E2791"/>
    <w:rsid w:val="009E315C"/>
    <w:rsid w:val="009E33D5"/>
    <w:rsid w:val="009E3F6F"/>
    <w:rsid w:val="009E54F4"/>
    <w:rsid w:val="009F3BF9"/>
    <w:rsid w:val="009F499F"/>
    <w:rsid w:val="00A0129B"/>
    <w:rsid w:val="00A02EDD"/>
    <w:rsid w:val="00A036D9"/>
    <w:rsid w:val="00A103CD"/>
    <w:rsid w:val="00A11800"/>
    <w:rsid w:val="00A2300E"/>
    <w:rsid w:val="00A36598"/>
    <w:rsid w:val="00A41EF5"/>
    <w:rsid w:val="00A42DAF"/>
    <w:rsid w:val="00A44C87"/>
    <w:rsid w:val="00A45BD8"/>
    <w:rsid w:val="00A511B8"/>
    <w:rsid w:val="00A647F3"/>
    <w:rsid w:val="00A77460"/>
    <w:rsid w:val="00A778BF"/>
    <w:rsid w:val="00A85B8E"/>
    <w:rsid w:val="00A879AD"/>
    <w:rsid w:val="00AA026A"/>
    <w:rsid w:val="00AA60A8"/>
    <w:rsid w:val="00AA70CA"/>
    <w:rsid w:val="00AA7C0C"/>
    <w:rsid w:val="00AB158B"/>
    <w:rsid w:val="00AB5324"/>
    <w:rsid w:val="00AB5EDC"/>
    <w:rsid w:val="00AC0648"/>
    <w:rsid w:val="00AC205C"/>
    <w:rsid w:val="00AC293C"/>
    <w:rsid w:val="00AC2CF4"/>
    <w:rsid w:val="00AC465E"/>
    <w:rsid w:val="00AC557E"/>
    <w:rsid w:val="00AC6E16"/>
    <w:rsid w:val="00AD5FE4"/>
    <w:rsid w:val="00AE48AD"/>
    <w:rsid w:val="00AF5C73"/>
    <w:rsid w:val="00AF5F69"/>
    <w:rsid w:val="00B01BEF"/>
    <w:rsid w:val="00B0519B"/>
    <w:rsid w:val="00B05A69"/>
    <w:rsid w:val="00B07C3A"/>
    <w:rsid w:val="00B10986"/>
    <w:rsid w:val="00B14099"/>
    <w:rsid w:val="00B2607B"/>
    <w:rsid w:val="00B26765"/>
    <w:rsid w:val="00B30207"/>
    <w:rsid w:val="00B3129A"/>
    <w:rsid w:val="00B34A17"/>
    <w:rsid w:val="00B37E4F"/>
    <w:rsid w:val="00B40598"/>
    <w:rsid w:val="00B44CF8"/>
    <w:rsid w:val="00B50603"/>
    <w:rsid w:val="00B50B99"/>
    <w:rsid w:val="00B53CE0"/>
    <w:rsid w:val="00B54F4F"/>
    <w:rsid w:val="00B62CD9"/>
    <w:rsid w:val="00B70C9E"/>
    <w:rsid w:val="00B718BC"/>
    <w:rsid w:val="00B7531E"/>
    <w:rsid w:val="00B809BC"/>
    <w:rsid w:val="00B84A49"/>
    <w:rsid w:val="00B87234"/>
    <w:rsid w:val="00B92B15"/>
    <w:rsid w:val="00B9734B"/>
    <w:rsid w:val="00BA575A"/>
    <w:rsid w:val="00BA6251"/>
    <w:rsid w:val="00BB24F9"/>
    <w:rsid w:val="00BB4F8C"/>
    <w:rsid w:val="00BC1095"/>
    <w:rsid w:val="00BD40B3"/>
    <w:rsid w:val="00BE6150"/>
    <w:rsid w:val="00C012B9"/>
    <w:rsid w:val="00C04A2B"/>
    <w:rsid w:val="00C06C3E"/>
    <w:rsid w:val="00C11BFE"/>
    <w:rsid w:val="00C153F5"/>
    <w:rsid w:val="00C20A83"/>
    <w:rsid w:val="00C2221D"/>
    <w:rsid w:val="00C246D0"/>
    <w:rsid w:val="00C308D8"/>
    <w:rsid w:val="00C33763"/>
    <w:rsid w:val="00C35A22"/>
    <w:rsid w:val="00C35AA0"/>
    <w:rsid w:val="00C402E3"/>
    <w:rsid w:val="00C43F72"/>
    <w:rsid w:val="00C46BB8"/>
    <w:rsid w:val="00C55A66"/>
    <w:rsid w:val="00C573BE"/>
    <w:rsid w:val="00C71E05"/>
    <w:rsid w:val="00C84295"/>
    <w:rsid w:val="00C94629"/>
    <w:rsid w:val="00C966C7"/>
    <w:rsid w:val="00C97EBD"/>
    <w:rsid w:val="00CA436D"/>
    <w:rsid w:val="00CA7BA2"/>
    <w:rsid w:val="00CC5EBE"/>
    <w:rsid w:val="00CD15C1"/>
    <w:rsid w:val="00CD65BA"/>
    <w:rsid w:val="00CD7EEC"/>
    <w:rsid w:val="00CE01F4"/>
    <w:rsid w:val="00CE2CC4"/>
    <w:rsid w:val="00CE30B0"/>
    <w:rsid w:val="00CE6434"/>
    <w:rsid w:val="00CE65D4"/>
    <w:rsid w:val="00CF28FC"/>
    <w:rsid w:val="00CF71B0"/>
    <w:rsid w:val="00D07CCD"/>
    <w:rsid w:val="00D10989"/>
    <w:rsid w:val="00D10F1C"/>
    <w:rsid w:val="00D143E4"/>
    <w:rsid w:val="00D30723"/>
    <w:rsid w:val="00D35A0C"/>
    <w:rsid w:val="00D40EAD"/>
    <w:rsid w:val="00D45252"/>
    <w:rsid w:val="00D5333F"/>
    <w:rsid w:val="00D53875"/>
    <w:rsid w:val="00D54B5F"/>
    <w:rsid w:val="00D5706A"/>
    <w:rsid w:val="00D608E1"/>
    <w:rsid w:val="00D6563B"/>
    <w:rsid w:val="00D71B4D"/>
    <w:rsid w:val="00D75819"/>
    <w:rsid w:val="00D8745D"/>
    <w:rsid w:val="00D904C0"/>
    <w:rsid w:val="00D90F77"/>
    <w:rsid w:val="00D92B18"/>
    <w:rsid w:val="00D93D55"/>
    <w:rsid w:val="00DA025B"/>
    <w:rsid w:val="00DA0B0D"/>
    <w:rsid w:val="00DA77C7"/>
    <w:rsid w:val="00DB152B"/>
    <w:rsid w:val="00DC3D8A"/>
    <w:rsid w:val="00DD1641"/>
    <w:rsid w:val="00DD70C2"/>
    <w:rsid w:val="00DE0BD3"/>
    <w:rsid w:val="00DE7693"/>
    <w:rsid w:val="00DF56EB"/>
    <w:rsid w:val="00DF7859"/>
    <w:rsid w:val="00E02688"/>
    <w:rsid w:val="00E05AA7"/>
    <w:rsid w:val="00E161A2"/>
    <w:rsid w:val="00E23F31"/>
    <w:rsid w:val="00E32055"/>
    <w:rsid w:val="00E335FE"/>
    <w:rsid w:val="00E33D94"/>
    <w:rsid w:val="00E360FC"/>
    <w:rsid w:val="00E419BD"/>
    <w:rsid w:val="00E42151"/>
    <w:rsid w:val="00E45776"/>
    <w:rsid w:val="00E45A18"/>
    <w:rsid w:val="00E46A0D"/>
    <w:rsid w:val="00E47312"/>
    <w:rsid w:val="00E5021F"/>
    <w:rsid w:val="00E554BA"/>
    <w:rsid w:val="00E555B0"/>
    <w:rsid w:val="00E61E8B"/>
    <w:rsid w:val="00E671A6"/>
    <w:rsid w:val="00E750A5"/>
    <w:rsid w:val="00E816FB"/>
    <w:rsid w:val="00E87A19"/>
    <w:rsid w:val="00E96913"/>
    <w:rsid w:val="00EA2E02"/>
    <w:rsid w:val="00EA3049"/>
    <w:rsid w:val="00EA356B"/>
    <w:rsid w:val="00EB4DB4"/>
    <w:rsid w:val="00EC12EE"/>
    <w:rsid w:val="00EC44E1"/>
    <w:rsid w:val="00EC4B6B"/>
    <w:rsid w:val="00EC4E49"/>
    <w:rsid w:val="00EC521D"/>
    <w:rsid w:val="00ED1886"/>
    <w:rsid w:val="00ED61CA"/>
    <w:rsid w:val="00ED6D57"/>
    <w:rsid w:val="00ED77FB"/>
    <w:rsid w:val="00EF3635"/>
    <w:rsid w:val="00EF49C3"/>
    <w:rsid w:val="00F012AA"/>
    <w:rsid w:val="00F01C97"/>
    <w:rsid w:val="00F021A6"/>
    <w:rsid w:val="00F0567D"/>
    <w:rsid w:val="00F06222"/>
    <w:rsid w:val="00F11D94"/>
    <w:rsid w:val="00F2476A"/>
    <w:rsid w:val="00F27DA5"/>
    <w:rsid w:val="00F310B7"/>
    <w:rsid w:val="00F40B58"/>
    <w:rsid w:val="00F52E28"/>
    <w:rsid w:val="00F53122"/>
    <w:rsid w:val="00F56C9E"/>
    <w:rsid w:val="00F622F6"/>
    <w:rsid w:val="00F66152"/>
    <w:rsid w:val="00F672C1"/>
    <w:rsid w:val="00F72D3F"/>
    <w:rsid w:val="00F84507"/>
    <w:rsid w:val="00F84547"/>
    <w:rsid w:val="00F8699D"/>
    <w:rsid w:val="00F90750"/>
    <w:rsid w:val="00F95392"/>
    <w:rsid w:val="00FA51E7"/>
    <w:rsid w:val="00FB00DA"/>
    <w:rsid w:val="00FC7BE4"/>
    <w:rsid w:val="00FD085F"/>
    <w:rsid w:val="00FD1348"/>
    <w:rsid w:val="00FD1F26"/>
    <w:rsid w:val="00FD2609"/>
    <w:rsid w:val="00FE32F5"/>
    <w:rsid w:val="00FE76E9"/>
    <w:rsid w:val="00FF05F4"/>
    <w:rsid w:val="00FF2BCA"/>
    <w:rsid w:val="01ED4160"/>
    <w:rsid w:val="028559A1"/>
    <w:rsid w:val="094ABA30"/>
    <w:rsid w:val="0C83A265"/>
    <w:rsid w:val="10CF5713"/>
    <w:rsid w:val="15616B9C"/>
    <w:rsid w:val="40AE8257"/>
    <w:rsid w:val="47A0029F"/>
    <w:rsid w:val="4CCCBA2C"/>
    <w:rsid w:val="4F35E967"/>
    <w:rsid w:val="5CEDEE8A"/>
    <w:rsid w:val="6E016A0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AF0FD808-0992-4A18-9F9F-C54B7BEF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Hyperlink">
    <w:name w:val="Hyperlink"/>
    <w:uiPriority w:val="99"/>
    <w:unhideWhenUsed/>
    <w:rsid w:val="004418AC"/>
    <w:rPr>
      <w:color w:val="0000FF"/>
      <w:u w:val="single"/>
    </w:rPr>
  </w:style>
  <w:style w:type="character" w:customStyle="1" w:styleId="Heading2Char">
    <w:name w:val="Heading 2 Char"/>
    <w:basedOn w:val="DefaultParagraphFont"/>
    <w:link w:val="Heading2"/>
    <w:rsid w:val="004418AC"/>
    <w:rPr>
      <w:rFonts w:ascii="Arial" w:eastAsia="SimSun" w:hAnsi="Arial" w:cs="Arial"/>
      <w:bCs/>
      <w:iCs/>
      <w:caps/>
      <w:sz w:val="22"/>
      <w:szCs w:val="28"/>
      <w:lang w:val="en-US" w:eastAsia="zh-CN"/>
    </w:rPr>
  </w:style>
  <w:style w:type="character" w:styleId="UnresolvedMention">
    <w:name w:val="Unresolved Mention"/>
    <w:basedOn w:val="DefaultParagraphFont"/>
    <w:uiPriority w:val="99"/>
    <w:semiHidden/>
    <w:unhideWhenUsed/>
    <w:rsid w:val="006C2C56"/>
    <w:rPr>
      <w:color w:val="605E5C"/>
      <w:shd w:val="clear" w:color="auto" w:fill="E1DFDD"/>
    </w:rPr>
  </w:style>
  <w:style w:type="paragraph" w:styleId="NormalWeb">
    <w:name w:val="Normal (Web)"/>
    <w:basedOn w:val="Normal"/>
    <w:semiHidden/>
    <w:unhideWhenUsed/>
    <w:rsid w:val="00FD085F"/>
    <w:rPr>
      <w:rFonts w:ascii="Times New Roman" w:hAnsi="Times New Roman" w:cs="Times New Roman"/>
      <w:sz w:val="24"/>
      <w:szCs w:val="24"/>
    </w:rPr>
  </w:style>
  <w:style w:type="paragraph" w:styleId="Revision">
    <w:name w:val="Revision"/>
    <w:hidden/>
    <w:uiPriority w:val="99"/>
    <w:semiHidden/>
    <w:rsid w:val="00680C64"/>
    <w:rPr>
      <w:rFonts w:ascii="Arial" w:eastAsia="SimSun" w:hAnsi="Arial" w:cs="Arial"/>
      <w:sz w:val="22"/>
      <w:lang w:val="en-US" w:eastAsia="zh-CN"/>
    </w:rPr>
  </w:style>
  <w:style w:type="character" w:styleId="FollowedHyperlink">
    <w:name w:val="FollowedHyperlink"/>
    <w:basedOn w:val="DefaultParagraphFont"/>
    <w:semiHidden/>
    <w:unhideWhenUsed/>
    <w:rsid w:val="00680C64"/>
    <w:rPr>
      <w:color w:val="800080" w:themeColor="followedHyperlink"/>
      <w:u w:val="single"/>
    </w:rPr>
  </w:style>
  <w:style w:type="character" w:styleId="CommentReference">
    <w:name w:val="annotation reference"/>
    <w:basedOn w:val="DefaultParagraphFont"/>
    <w:semiHidden/>
    <w:unhideWhenUsed/>
    <w:rsid w:val="00680C64"/>
    <w:rPr>
      <w:sz w:val="16"/>
      <w:szCs w:val="16"/>
    </w:rPr>
  </w:style>
  <w:style w:type="paragraph" w:styleId="CommentSubject">
    <w:name w:val="annotation subject"/>
    <w:basedOn w:val="CommentText"/>
    <w:next w:val="CommentText"/>
    <w:link w:val="CommentSubjectChar"/>
    <w:semiHidden/>
    <w:unhideWhenUsed/>
    <w:rsid w:val="00680C64"/>
    <w:rPr>
      <w:b/>
      <w:bCs/>
      <w:sz w:val="20"/>
    </w:rPr>
  </w:style>
  <w:style w:type="character" w:customStyle="1" w:styleId="CommentTextChar">
    <w:name w:val="Comment Text Char"/>
    <w:basedOn w:val="DefaultParagraphFont"/>
    <w:link w:val="CommentText"/>
    <w:semiHidden/>
    <w:rsid w:val="00680C6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80C6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4857">
      <w:bodyDiv w:val="1"/>
      <w:marLeft w:val="0"/>
      <w:marRight w:val="0"/>
      <w:marTop w:val="0"/>
      <w:marBottom w:val="0"/>
      <w:divBdr>
        <w:top w:val="none" w:sz="0" w:space="0" w:color="auto"/>
        <w:left w:val="none" w:sz="0" w:space="0" w:color="auto"/>
        <w:bottom w:val="none" w:sz="0" w:space="0" w:color="auto"/>
        <w:right w:val="none" w:sz="0" w:space="0" w:color="auto"/>
      </w:divBdr>
    </w:div>
    <w:div w:id="180441713">
      <w:bodyDiv w:val="1"/>
      <w:marLeft w:val="0"/>
      <w:marRight w:val="0"/>
      <w:marTop w:val="0"/>
      <w:marBottom w:val="0"/>
      <w:divBdr>
        <w:top w:val="none" w:sz="0" w:space="0" w:color="auto"/>
        <w:left w:val="none" w:sz="0" w:space="0" w:color="auto"/>
        <w:bottom w:val="none" w:sz="0" w:space="0" w:color="auto"/>
        <w:right w:val="none" w:sz="0" w:space="0" w:color="auto"/>
      </w:divBdr>
    </w:div>
    <w:div w:id="400718000">
      <w:bodyDiv w:val="1"/>
      <w:marLeft w:val="0"/>
      <w:marRight w:val="0"/>
      <w:marTop w:val="0"/>
      <w:marBottom w:val="0"/>
      <w:divBdr>
        <w:top w:val="none" w:sz="0" w:space="0" w:color="auto"/>
        <w:left w:val="none" w:sz="0" w:space="0" w:color="auto"/>
        <w:bottom w:val="none" w:sz="0" w:space="0" w:color="auto"/>
        <w:right w:val="none" w:sz="0" w:space="0" w:color="auto"/>
      </w:divBdr>
    </w:div>
    <w:div w:id="491877547">
      <w:bodyDiv w:val="1"/>
      <w:marLeft w:val="0"/>
      <w:marRight w:val="0"/>
      <w:marTop w:val="0"/>
      <w:marBottom w:val="0"/>
      <w:divBdr>
        <w:top w:val="none" w:sz="0" w:space="0" w:color="auto"/>
        <w:left w:val="none" w:sz="0" w:space="0" w:color="auto"/>
        <w:bottom w:val="none" w:sz="0" w:space="0" w:color="auto"/>
        <w:right w:val="none" w:sz="0" w:space="0" w:color="auto"/>
      </w:divBdr>
    </w:div>
    <w:div w:id="551818367">
      <w:bodyDiv w:val="1"/>
      <w:marLeft w:val="0"/>
      <w:marRight w:val="0"/>
      <w:marTop w:val="0"/>
      <w:marBottom w:val="0"/>
      <w:divBdr>
        <w:top w:val="none" w:sz="0" w:space="0" w:color="auto"/>
        <w:left w:val="none" w:sz="0" w:space="0" w:color="auto"/>
        <w:bottom w:val="none" w:sz="0" w:space="0" w:color="auto"/>
        <w:right w:val="none" w:sz="0" w:space="0" w:color="auto"/>
      </w:divBdr>
      <w:divsChild>
        <w:div w:id="945380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972613">
      <w:bodyDiv w:val="1"/>
      <w:marLeft w:val="0"/>
      <w:marRight w:val="0"/>
      <w:marTop w:val="0"/>
      <w:marBottom w:val="0"/>
      <w:divBdr>
        <w:top w:val="none" w:sz="0" w:space="0" w:color="auto"/>
        <w:left w:val="none" w:sz="0" w:space="0" w:color="auto"/>
        <w:bottom w:val="none" w:sz="0" w:space="0" w:color="auto"/>
        <w:right w:val="none" w:sz="0" w:space="0" w:color="auto"/>
      </w:divBdr>
    </w:div>
    <w:div w:id="857281139">
      <w:bodyDiv w:val="1"/>
      <w:marLeft w:val="0"/>
      <w:marRight w:val="0"/>
      <w:marTop w:val="0"/>
      <w:marBottom w:val="0"/>
      <w:divBdr>
        <w:top w:val="none" w:sz="0" w:space="0" w:color="auto"/>
        <w:left w:val="none" w:sz="0" w:space="0" w:color="auto"/>
        <w:bottom w:val="none" w:sz="0" w:space="0" w:color="auto"/>
        <w:right w:val="none" w:sz="0" w:space="0" w:color="auto"/>
      </w:divBdr>
    </w:div>
    <w:div w:id="1014042221">
      <w:bodyDiv w:val="1"/>
      <w:marLeft w:val="0"/>
      <w:marRight w:val="0"/>
      <w:marTop w:val="0"/>
      <w:marBottom w:val="0"/>
      <w:divBdr>
        <w:top w:val="none" w:sz="0" w:space="0" w:color="auto"/>
        <w:left w:val="none" w:sz="0" w:space="0" w:color="auto"/>
        <w:bottom w:val="none" w:sz="0" w:space="0" w:color="auto"/>
        <w:right w:val="none" w:sz="0" w:space="0" w:color="auto"/>
      </w:divBdr>
    </w:div>
    <w:div w:id="1017150597">
      <w:bodyDiv w:val="1"/>
      <w:marLeft w:val="0"/>
      <w:marRight w:val="0"/>
      <w:marTop w:val="0"/>
      <w:marBottom w:val="0"/>
      <w:divBdr>
        <w:top w:val="none" w:sz="0" w:space="0" w:color="auto"/>
        <w:left w:val="none" w:sz="0" w:space="0" w:color="auto"/>
        <w:bottom w:val="none" w:sz="0" w:space="0" w:color="auto"/>
        <w:right w:val="none" w:sz="0" w:space="0" w:color="auto"/>
      </w:divBdr>
    </w:div>
    <w:div w:id="1040980142">
      <w:bodyDiv w:val="1"/>
      <w:marLeft w:val="0"/>
      <w:marRight w:val="0"/>
      <w:marTop w:val="0"/>
      <w:marBottom w:val="0"/>
      <w:divBdr>
        <w:top w:val="none" w:sz="0" w:space="0" w:color="auto"/>
        <w:left w:val="none" w:sz="0" w:space="0" w:color="auto"/>
        <w:bottom w:val="none" w:sz="0" w:space="0" w:color="auto"/>
        <w:right w:val="none" w:sz="0" w:space="0" w:color="auto"/>
      </w:divBdr>
    </w:div>
    <w:div w:id="1056977029">
      <w:bodyDiv w:val="1"/>
      <w:marLeft w:val="0"/>
      <w:marRight w:val="0"/>
      <w:marTop w:val="0"/>
      <w:marBottom w:val="0"/>
      <w:divBdr>
        <w:top w:val="none" w:sz="0" w:space="0" w:color="auto"/>
        <w:left w:val="none" w:sz="0" w:space="0" w:color="auto"/>
        <w:bottom w:val="none" w:sz="0" w:space="0" w:color="auto"/>
        <w:right w:val="none" w:sz="0" w:space="0" w:color="auto"/>
      </w:divBdr>
    </w:div>
    <w:div w:id="1195146050">
      <w:bodyDiv w:val="1"/>
      <w:marLeft w:val="0"/>
      <w:marRight w:val="0"/>
      <w:marTop w:val="0"/>
      <w:marBottom w:val="0"/>
      <w:divBdr>
        <w:top w:val="none" w:sz="0" w:space="0" w:color="auto"/>
        <w:left w:val="none" w:sz="0" w:space="0" w:color="auto"/>
        <w:bottom w:val="none" w:sz="0" w:space="0" w:color="auto"/>
        <w:right w:val="none" w:sz="0" w:space="0" w:color="auto"/>
      </w:divBdr>
    </w:div>
    <w:div w:id="1396007642">
      <w:bodyDiv w:val="1"/>
      <w:marLeft w:val="0"/>
      <w:marRight w:val="0"/>
      <w:marTop w:val="0"/>
      <w:marBottom w:val="0"/>
      <w:divBdr>
        <w:top w:val="none" w:sz="0" w:space="0" w:color="auto"/>
        <w:left w:val="none" w:sz="0" w:space="0" w:color="auto"/>
        <w:bottom w:val="none" w:sz="0" w:space="0" w:color="auto"/>
        <w:right w:val="none" w:sz="0" w:space="0" w:color="auto"/>
      </w:divBdr>
    </w:div>
    <w:div w:id="1445924063">
      <w:bodyDiv w:val="1"/>
      <w:marLeft w:val="0"/>
      <w:marRight w:val="0"/>
      <w:marTop w:val="0"/>
      <w:marBottom w:val="0"/>
      <w:divBdr>
        <w:top w:val="none" w:sz="0" w:space="0" w:color="auto"/>
        <w:left w:val="none" w:sz="0" w:space="0" w:color="auto"/>
        <w:bottom w:val="none" w:sz="0" w:space="0" w:color="auto"/>
        <w:right w:val="none" w:sz="0" w:space="0" w:color="auto"/>
      </w:divBdr>
    </w:div>
    <w:div w:id="1474178551">
      <w:bodyDiv w:val="1"/>
      <w:marLeft w:val="0"/>
      <w:marRight w:val="0"/>
      <w:marTop w:val="0"/>
      <w:marBottom w:val="0"/>
      <w:divBdr>
        <w:top w:val="none" w:sz="0" w:space="0" w:color="auto"/>
        <w:left w:val="none" w:sz="0" w:space="0" w:color="auto"/>
        <w:bottom w:val="none" w:sz="0" w:space="0" w:color="auto"/>
        <w:right w:val="none" w:sz="0" w:space="0" w:color="auto"/>
      </w:divBdr>
    </w:div>
    <w:div w:id="1498879860">
      <w:bodyDiv w:val="1"/>
      <w:marLeft w:val="0"/>
      <w:marRight w:val="0"/>
      <w:marTop w:val="0"/>
      <w:marBottom w:val="0"/>
      <w:divBdr>
        <w:top w:val="none" w:sz="0" w:space="0" w:color="auto"/>
        <w:left w:val="none" w:sz="0" w:space="0" w:color="auto"/>
        <w:bottom w:val="none" w:sz="0" w:space="0" w:color="auto"/>
        <w:right w:val="none" w:sz="0" w:space="0" w:color="auto"/>
      </w:divBdr>
    </w:div>
    <w:div w:id="1599020310">
      <w:bodyDiv w:val="1"/>
      <w:marLeft w:val="0"/>
      <w:marRight w:val="0"/>
      <w:marTop w:val="0"/>
      <w:marBottom w:val="0"/>
      <w:divBdr>
        <w:top w:val="none" w:sz="0" w:space="0" w:color="auto"/>
        <w:left w:val="none" w:sz="0" w:space="0" w:color="auto"/>
        <w:bottom w:val="none" w:sz="0" w:space="0" w:color="auto"/>
        <w:right w:val="none" w:sz="0" w:space="0" w:color="auto"/>
      </w:divBdr>
    </w:div>
    <w:div w:id="1711955278">
      <w:bodyDiv w:val="1"/>
      <w:marLeft w:val="0"/>
      <w:marRight w:val="0"/>
      <w:marTop w:val="0"/>
      <w:marBottom w:val="0"/>
      <w:divBdr>
        <w:top w:val="none" w:sz="0" w:space="0" w:color="auto"/>
        <w:left w:val="none" w:sz="0" w:space="0" w:color="auto"/>
        <w:bottom w:val="none" w:sz="0" w:space="0" w:color="auto"/>
        <w:right w:val="none" w:sz="0" w:space="0" w:color="auto"/>
      </w:divBdr>
    </w:div>
    <w:div w:id="1856187129">
      <w:bodyDiv w:val="1"/>
      <w:marLeft w:val="0"/>
      <w:marRight w:val="0"/>
      <w:marTop w:val="0"/>
      <w:marBottom w:val="0"/>
      <w:divBdr>
        <w:top w:val="none" w:sz="0" w:space="0" w:color="auto"/>
        <w:left w:val="none" w:sz="0" w:space="0" w:color="auto"/>
        <w:bottom w:val="none" w:sz="0" w:space="0" w:color="auto"/>
        <w:right w:val="none" w:sz="0" w:space="0" w:color="auto"/>
      </w:divBdr>
    </w:div>
    <w:div w:id="1951816711">
      <w:bodyDiv w:val="1"/>
      <w:marLeft w:val="0"/>
      <w:marRight w:val="0"/>
      <w:marTop w:val="0"/>
      <w:marBottom w:val="0"/>
      <w:divBdr>
        <w:top w:val="none" w:sz="0" w:space="0" w:color="auto"/>
        <w:left w:val="none" w:sz="0" w:space="0" w:color="auto"/>
        <w:bottom w:val="none" w:sz="0" w:space="0" w:color="auto"/>
        <w:right w:val="none" w:sz="0" w:space="0" w:color="auto"/>
      </w:divBdr>
      <w:divsChild>
        <w:div w:id="194827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en/web/standards/part_0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n/web/standards/part_07"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n/web/standards/part_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86" ma:contentTypeDescription="" ma:contentTypeScope="" ma:versionID="7c0e7123dc93220dedd55e70fc732cd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ICSDBFP-360348501-19442</_dlc_DocId>
    <_dlc_DocIdUrl xmlns="ec94eb93-2160-433d-bc9d-10bdc50beb83">
      <Url>https://wipoprod.sharepoint.com/sites/SPS-INT-BFP-ICSD-CWS/_layouts/15/DocIdRedir.aspx?ID=ICSDBFP-360348501-19442</Url>
      <Description>ICSDBFP-360348501-19442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A119E-445C-4283-86DD-99A1C2BDC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4.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5.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6.xml><?xml version="1.0" encoding="utf-8"?>
<ds:datastoreItem xmlns:ds="http://schemas.openxmlformats.org/officeDocument/2006/customXml" ds:itemID="{CBA9A3C7-CD84-4A38-8A7D-D9C44FFB0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CWS_13 (E).dotm</Template>
  <TotalTime>11</TotalTime>
  <Pages>1</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CWS/13/4 (English)</vt:lpstr>
    </vt:vector>
  </TitlesOfParts>
  <Company>WIPO</Company>
  <LinksUpToDate>false</LinksUpToDate>
  <CharactersWithSpaces>9767</CharactersWithSpaces>
  <SharedDoc>false</SharedDoc>
  <HLinks>
    <vt:vector size="18" baseType="variant">
      <vt:variant>
        <vt:i4>4194343</vt:i4>
      </vt:variant>
      <vt:variant>
        <vt:i4>40</vt:i4>
      </vt:variant>
      <vt:variant>
        <vt:i4>0</vt:i4>
      </vt:variant>
      <vt:variant>
        <vt:i4>5</vt:i4>
      </vt:variant>
      <vt:variant>
        <vt:lpwstr>https://www.wipo.int/en/web/standards/part_07</vt:lpwstr>
      </vt:variant>
      <vt:variant>
        <vt:lpwstr>p7.13</vt:lpwstr>
      </vt:variant>
      <vt:variant>
        <vt:i4>4194343</vt:i4>
      </vt:variant>
      <vt:variant>
        <vt:i4>19</vt:i4>
      </vt:variant>
      <vt:variant>
        <vt:i4>0</vt:i4>
      </vt:variant>
      <vt:variant>
        <vt:i4>5</vt:i4>
      </vt:variant>
      <vt:variant>
        <vt:lpwstr>https://www.wipo.int/en/web/standards/part_07</vt:lpwstr>
      </vt:variant>
      <vt:variant>
        <vt:lpwstr>p7.13</vt:lpwstr>
      </vt:variant>
      <vt:variant>
        <vt:i4>4194343</vt:i4>
      </vt:variant>
      <vt:variant>
        <vt:i4>2</vt:i4>
      </vt:variant>
      <vt:variant>
        <vt:i4>0</vt:i4>
      </vt:variant>
      <vt:variant>
        <vt:i4>5</vt:i4>
      </vt:variant>
      <vt:variant>
        <vt:lpwstr>https://www.wipo.int/en/web/standards/part_07</vt:lpwstr>
      </vt:variant>
      <vt:variant>
        <vt:lpwstr>p7.13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CWS/13/4 (English)</dc:title>
  <dc:subject>Report on Task No. 47 by the Legal Status Task Force </dc:subject>
  <dc:creator>WIPO</dc:creator>
  <cp:keywords>WIPO CWS Thirteenth Session, Report, Legal Status Task Force </cp:keywords>
  <cp:lastModifiedBy>EMMETT Claudia</cp:lastModifiedBy>
  <cp:revision>111</cp:revision>
  <cp:lastPrinted>2025-09-22T07:33:00Z</cp:lastPrinted>
  <dcterms:created xsi:type="dcterms:W3CDTF">2025-08-28T13:48:00Z</dcterms:created>
  <dcterms:modified xsi:type="dcterms:W3CDTF">2025-09-22T07:37:00Z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45fc4b16-c489-4f40-8529-eed65c9104ed</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2025-09-19T09:14:10Z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9c6f0c6c-d027-46f6-a416-d050ef66040c</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