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4184" w14:textId="61B2F768" w:rsidR="002B3F16" w:rsidRPr="002B3F16" w:rsidRDefault="00493285" w:rsidP="00F5289D">
      <w:pPr>
        <w:spacing w:after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SECRETARIAT ANALYSIS OF CWS TASKS FOR RESOURCE ALLOCATION</w:t>
      </w:r>
    </w:p>
    <w:p w14:paraId="7B151C75" w14:textId="0A737563" w:rsidR="00B91C8D" w:rsidRPr="00AB5EE4" w:rsidRDefault="004E0CAF" w:rsidP="004E0CAF">
      <w:pPr>
        <w:spacing w:after="220"/>
        <w:rPr>
          <w:rFonts w:ascii="Arial" w:hAnsi="Arial" w:cs="Arial"/>
        </w:rPr>
      </w:pPr>
      <w:r w:rsidRPr="1C934FBD">
        <w:rPr>
          <w:rFonts w:ascii="Arial" w:hAnsi="Arial" w:cs="Arial"/>
        </w:rPr>
        <w:t xml:space="preserve">Following the decisions made at the twelfth session of the CWS, the Secretariat analyzed the complexity and activity level of each </w:t>
      </w:r>
      <w:r w:rsidR="00F66AC8" w:rsidRPr="1C934FBD">
        <w:rPr>
          <w:rFonts w:ascii="Arial" w:hAnsi="Arial" w:cs="Arial"/>
        </w:rPr>
        <w:t xml:space="preserve">CWS </w:t>
      </w:r>
      <w:r w:rsidRPr="1C934FBD">
        <w:rPr>
          <w:rFonts w:ascii="Arial" w:hAnsi="Arial" w:cs="Arial"/>
        </w:rPr>
        <w:t>Task</w:t>
      </w:r>
      <w:r w:rsidR="008948DA" w:rsidRPr="1C934FBD">
        <w:rPr>
          <w:rFonts w:ascii="Arial" w:hAnsi="Arial" w:cs="Arial"/>
        </w:rPr>
        <w:t>.</w:t>
      </w:r>
      <w:r w:rsidR="009A2F2F" w:rsidRPr="1C934FBD">
        <w:rPr>
          <w:rFonts w:ascii="Arial" w:hAnsi="Arial" w:cs="Arial"/>
        </w:rPr>
        <w:t xml:space="preserve">  </w:t>
      </w:r>
      <w:r w:rsidRPr="1C934FBD">
        <w:rPr>
          <w:rFonts w:ascii="Arial" w:hAnsi="Arial" w:cs="Arial"/>
        </w:rPr>
        <w:t>The Secretariat also conducted an annual review of all CWS Tasks with a view to proposing Tasks that should be prioritized or else held in abeyance</w:t>
      </w:r>
      <w:r w:rsidR="00AC2684" w:rsidRPr="1C934FBD">
        <w:rPr>
          <w:rFonts w:ascii="Arial" w:hAnsi="Arial" w:cs="Arial"/>
        </w:rPr>
        <w:t xml:space="preserve"> </w:t>
      </w:r>
      <w:r w:rsidR="009C2D97" w:rsidRPr="1C934FBD">
        <w:rPr>
          <w:rFonts w:ascii="Arial" w:hAnsi="Arial" w:cs="Arial"/>
        </w:rPr>
        <w:t>for</w:t>
      </w:r>
      <w:r w:rsidR="00F94832" w:rsidRPr="1C934FBD">
        <w:rPr>
          <w:rFonts w:ascii="Arial" w:hAnsi="Arial" w:cs="Arial"/>
        </w:rPr>
        <w:t xml:space="preserve"> </w:t>
      </w:r>
      <w:r w:rsidR="0032641E" w:rsidRPr="1C934FBD">
        <w:rPr>
          <w:rFonts w:ascii="Arial" w:hAnsi="Arial" w:cs="Arial"/>
        </w:rPr>
        <w:t xml:space="preserve">consideration by </w:t>
      </w:r>
      <w:r w:rsidR="729A9E17" w:rsidRPr="1C934FBD">
        <w:rPr>
          <w:rFonts w:ascii="Arial" w:hAnsi="Arial" w:cs="Arial"/>
        </w:rPr>
        <w:t xml:space="preserve">the </w:t>
      </w:r>
      <w:r w:rsidR="0032641E" w:rsidRPr="1C934FBD">
        <w:rPr>
          <w:rFonts w:ascii="Arial" w:hAnsi="Arial" w:cs="Arial"/>
        </w:rPr>
        <w:t xml:space="preserve">CWS members and observers </w:t>
      </w:r>
      <w:r w:rsidR="00036854" w:rsidRPr="1C934FBD">
        <w:rPr>
          <w:rFonts w:ascii="Arial" w:hAnsi="Arial" w:cs="Arial"/>
        </w:rPr>
        <w:t>to allocate th</w:t>
      </w:r>
      <w:r w:rsidR="00A371DF" w:rsidRPr="1C934FBD">
        <w:rPr>
          <w:rFonts w:ascii="Arial" w:hAnsi="Arial" w:cs="Arial"/>
        </w:rPr>
        <w:t>eir resource</w:t>
      </w:r>
      <w:r w:rsidR="09693ABE" w:rsidRPr="1C934FBD">
        <w:rPr>
          <w:rFonts w:ascii="Arial" w:hAnsi="Arial" w:cs="Arial"/>
        </w:rPr>
        <w:t>s</w:t>
      </w:r>
      <w:r w:rsidR="00A371DF" w:rsidRPr="1C934FBD">
        <w:rPr>
          <w:rFonts w:ascii="Arial" w:hAnsi="Arial" w:cs="Arial"/>
        </w:rPr>
        <w:t xml:space="preserve"> </w:t>
      </w:r>
      <w:r w:rsidR="00AC2684" w:rsidRPr="1C934FBD">
        <w:rPr>
          <w:rFonts w:ascii="Arial" w:hAnsi="Arial" w:cs="Arial"/>
        </w:rPr>
        <w:t xml:space="preserve">in </w:t>
      </w:r>
      <w:r w:rsidR="00A371DF" w:rsidRPr="1C934FBD">
        <w:rPr>
          <w:rFonts w:ascii="Arial" w:hAnsi="Arial" w:cs="Arial"/>
        </w:rPr>
        <w:t>the future</w:t>
      </w:r>
      <w:r w:rsidRPr="1C934FBD">
        <w:rPr>
          <w:rFonts w:ascii="Arial" w:hAnsi="Arial" w:cs="Arial"/>
        </w:rPr>
        <w:t>.</w:t>
      </w:r>
    </w:p>
    <w:p w14:paraId="3EF042CA" w14:textId="22119B17" w:rsidR="004E0CAF" w:rsidRPr="005F0504" w:rsidRDefault="004E0CAF" w:rsidP="00AB5EE4">
      <w:pPr>
        <w:spacing w:after="220"/>
        <w:rPr>
          <w:rFonts w:ascii="Arial" w:hAnsi="Arial" w:cs="Arial"/>
          <w:b/>
          <w:bCs/>
        </w:rPr>
      </w:pPr>
      <w:r w:rsidRPr="461D2177">
        <w:rPr>
          <w:rFonts w:ascii="Arial" w:hAnsi="Arial" w:cs="Arial"/>
        </w:rPr>
        <w:t xml:space="preserve">Prioritized Tasks are identified as </w:t>
      </w:r>
      <w:r w:rsidR="2789D2C6" w:rsidRPr="461D2177">
        <w:rPr>
          <w:rFonts w:ascii="Arial" w:hAnsi="Arial" w:cs="Arial"/>
        </w:rPr>
        <w:t>’</w:t>
      </w:r>
      <w:r w:rsidRPr="461D2177">
        <w:rPr>
          <w:rFonts w:ascii="Arial" w:hAnsi="Arial" w:cs="Arial"/>
        </w:rPr>
        <w:t>essential</w:t>
      </w:r>
      <w:r w:rsidR="600ECF19" w:rsidRPr="461D2177">
        <w:rPr>
          <w:rFonts w:ascii="Arial" w:hAnsi="Arial" w:cs="Arial"/>
        </w:rPr>
        <w:t>’</w:t>
      </w:r>
      <w:r w:rsidRPr="461D2177">
        <w:rPr>
          <w:rFonts w:ascii="Arial" w:hAnsi="Arial" w:cs="Arial"/>
        </w:rPr>
        <w:t xml:space="preserve"> and </w:t>
      </w:r>
      <w:r w:rsidR="1B1B6305" w:rsidRPr="461D2177">
        <w:rPr>
          <w:rFonts w:ascii="Arial" w:hAnsi="Arial" w:cs="Arial"/>
        </w:rPr>
        <w:t>’</w:t>
      </w:r>
      <w:r w:rsidRPr="461D2177">
        <w:rPr>
          <w:rFonts w:ascii="Arial" w:hAnsi="Arial" w:cs="Arial"/>
        </w:rPr>
        <w:t>important</w:t>
      </w:r>
      <w:r w:rsidR="177C34A2" w:rsidRPr="461D2177">
        <w:rPr>
          <w:rFonts w:ascii="Arial" w:hAnsi="Arial" w:cs="Arial"/>
        </w:rPr>
        <w:t>’</w:t>
      </w:r>
      <w:r w:rsidRPr="461D2177">
        <w:rPr>
          <w:rFonts w:ascii="Arial" w:hAnsi="Arial" w:cs="Arial"/>
        </w:rPr>
        <w:t xml:space="preserve">.  ‘Essential’ Tasks are related to WIPO Standard(s) or recommendations which are under discussion by IP offices for harmonious implementation.  ‘Important’ Tasks are those which are considered a priority in terms of developing or revising WIPO Standards or sharing Offices’ practices on WIPO Standards or recommendations in 2026.  </w:t>
      </w:r>
      <w:r w:rsidR="00701926" w:rsidRPr="461D2177"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394"/>
        <w:gridCol w:w="1418"/>
        <w:gridCol w:w="1418"/>
        <w:gridCol w:w="1269"/>
      </w:tblGrid>
      <w:tr w:rsidR="00391735" w:rsidRPr="002B3F16" w14:paraId="289A31BA" w14:textId="67971ED3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4AB3A7BB" w14:textId="71398291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51" w:type="pct"/>
            <w:noWrap/>
            <w:vAlign w:val="center"/>
            <w:hideMark/>
          </w:tcPr>
          <w:p w14:paraId="693684ED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Description</w:t>
            </w:r>
          </w:p>
        </w:tc>
        <w:tc>
          <w:tcPr>
            <w:tcW w:w="759" w:type="pct"/>
            <w:noWrap/>
            <w:vAlign w:val="center"/>
            <w:hideMark/>
          </w:tcPr>
          <w:p w14:paraId="6B9669B0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Activity Level</w:t>
            </w:r>
          </w:p>
        </w:tc>
        <w:tc>
          <w:tcPr>
            <w:tcW w:w="759" w:type="pct"/>
            <w:noWrap/>
            <w:vAlign w:val="center"/>
            <w:hideMark/>
          </w:tcPr>
          <w:p w14:paraId="04616CDE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Complexity</w:t>
            </w:r>
          </w:p>
        </w:tc>
        <w:tc>
          <w:tcPr>
            <w:tcW w:w="680" w:type="pct"/>
            <w:vAlign w:val="center"/>
          </w:tcPr>
          <w:p w14:paraId="2B867BA4" w14:textId="4853A6DB" w:rsidR="0010477A" w:rsidRPr="002B3F16" w:rsidRDefault="00567F95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391735" w:rsidRPr="002B3F16" w14:paraId="335D59A0" w14:textId="766F62EF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3E728570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351" w:type="pct"/>
            <w:noWrap/>
            <w:vAlign w:val="center"/>
            <w:hideMark/>
          </w:tcPr>
          <w:p w14:paraId="4A75DD7F" w14:textId="442BF9CA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Identify areas for standardization relevant to the exchange of machine</w:t>
            </w:r>
            <w:r w:rsidR="1891F3A4" w:rsidRPr="1C934FBD">
              <w:rPr>
                <w:rFonts w:ascii="Arial" w:eastAsia="Times New Roman" w:hAnsi="Arial" w:cs="Arial"/>
                <w:color w:val="000000" w:themeColor="text1"/>
              </w:rPr>
              <w:t>-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readable data on the basis of projects envisaged by such bodies as the Five IP Offices (IP5), the Five Trademark Offices (TM5), the Industrial Design 5 Forum (ID5), ISO, IEC and other well</w:t>
            </w:r>
            <w:r w:rsidR="2D6E6F3F" w:rsidRPr="1C934FBD">
              <w:rPr>
                <w:rFonts w:ascii="Arial" w:eastAsia="Times New Roman" w:hAnsi="Arial" w:cs="Arial"/>
                <w:color w:val="000000" w:themeColor="text1"/>
              </w:rPr>
              <w:t>-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known industry standard</w:t>
            </w:r>
            <w:r w:rsidR="018FE636" w:rsidRPr="1C934FB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setting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noBreakHyphen/>
              <w:t xml:space="preserve"> bodies</w:t>
            </w:r>
            <w:r w:rsidR="0037258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9" w:type="pct"/>
            <w:noWrap/>
            <w:vAlign w:val="center"/>
            <w:hideMark/>
          </w:tcPr>
          <w:p w14:paraId="26BF39BD" w14:textId="793BC801" w:rsidR="0010477A" w:rsidRPr="002B3F16" w:rsidRDefault="00A95ED5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Ad-hoc</w:t>
            </w:r>
          </w:p>
        </w:tc>
        <w:tc>
          <w:tcPr>
            <w:tcW w:w="759" w:type="pct"/>
            <w:noWrap/>
            <w:vAlign w:val="center"/>
            <w:hideMark/>
          </w:tcPr>
          <w:p w14:paraId="1116D105" w14:textId="69C70938" w:rsidR="0010477A" w:rsidRPr="002B3F16" w:rsidRDefault="00F20F12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0" w:type="pct"/>
            <w:vAlign w:val="center"/>
          </w:tcPr>
          <w:p w14:paraId="2A33681B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91735" w:rsidRPr="002B3F16" w14:paraId="4FF1EBC4" w14:textId="5EF092D4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1F441A6E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351" w:type="pct"/>
            <w:noWrap/>
            <w:vAlign w:val="center"/>
            <w:hideMark/>
          </w:tcPr>
          <w:p w14:paraId="12B6B67F" w14:textId="2CA2069D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Collect and publish Annual Technical Reports (ATRs) on Patent, Trademark and Industrial Design Information Activities of the CWS Members (ATR/PI, ATR/TM, ATR/ID).</w:t>
            </w:r>
          </w:p>
        </w:tc>
        <w:tc>
          <w:tcPr>
            <w:tcW w:w="759" w:type="pct"/>
            <w:noWrap/>
            <w:vAlign w:val="center"/>
            <w:hideMark/>
          </w:tcPr>
          <w:p w14:paraId="0683D306" w14:textId="571F75D6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9" w:type="pct"/>
            <w:noWrap/>
            <w:vAlign w:val="center"/>
            <w:hideMark/>
          </w:tcPr>
          <w:p w14:paraId="0A433917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0" w:type="pct"/>
            <w:vAlign w:val="center"/>
          </w:tcPr>
          <w:p w14:paraId="4E3DB105" w14:textId="6CF86755" w:rsidR="0010477A" w:rsidRPr="002B3F16" w:rsidRDefault="00525C74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91735" w:rsidRPr="002B3F16" w14:paraId="390AC8CB" w14:textId="614BC5FA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0EEE91D4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351" w:type="pct"/>
            <w:noWrap/>
            <w:vAlign w:val="center"/>
            <w:hideMark/>
          </w:tcPr>
          <w:p w14:paraId="715D1A66" w14:textId="70338E94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Ongoing revision of WIPO Standards.</w:t>
            </w:r>
          </w:p>
        </w:tc>
        <w:tc>
          <w:tcPr>
            <w:tcW w:w="759" w:type="pct"/>
            <w:noWrap/>
            <w:vAlign w:val="center"/>
            <w:hideMark/>
          </w:tcPr>
          <w:p w14:paraId="1BCAB797" w14:textId="5E79F986" w:rsidR="0010477A" w:rsidRPr="002B3F16" w:rsidRDefault="00AA634D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Ad-hoc</w:t>
            </w:r>
          </w:p>
        </w:tc>
        <w:tc>
          <w:tcPr>
            <w:tcW w:w="759" w:type="pct"/>
            <w:noWrap/>
            <w:vAlign w:val="center"/>
            <w:hideMark/>
          </w:tcPr>
          <w:p w14:paraId="4AF1CB23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0" w:type="pct"/>
            <w:vAlign w:val="center"/>
          </w:tcPr>
          <w:p w14:paraId="32F6F9B7" w14:textId="06C9E024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91735" w:rsidRPr="002B3F16" w14:paraId="7C844EE5" w14:textId="7716A7FE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6DC5EDBC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33/3</w:t>
            </w:r>
          </w:p>
        </w:tc>
        <w:tc>
          <w:tcPr>
            <w:tcW w:w="2351" w:type="pct"/>
            <w:noWrap/>
            <w:vAlign w:val="center"/>
            <w:hideMark/>
          </w:tcPr>
          <w:p w14:paraId="5D3E24E7" w14:textId="0FE730B2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Ongoing revision of WIPO Standard ST.3.</w:t>
            </w:r>
          </w:p>
        </w:tc>
        <w:tc>
          <w:tcPr>
            <w:tcW w:w="759" w:type="pct"/>
            <w:noWrap/>
            <w:vAlign w:val="center"/>
            <w:hideMark/>
          </w:tcPr>
          <w:p w14:paraId="341AA96E" w14:textId="5B9190A6" w:rsidR="0010477A" w:rsidRPr="002B3F16" w:rsidRDefault="00AA634D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Ad-hoc</w:t>
            </w:r>
          </w:p>
        </w:tc>
        <w:tc>
          <w:tcPr>
            <w:tcW w:w="759" w:type="pct"/>
            <w:noWrap/>
            <w:vAlign w:val="center"/>
            <w:hideMark/>
          </w:tcPr>
          <w:p w14:paraId="7DE2AFEF" w14:textId="7A6725F0" w:rsidR="0010477A" w:rsidRPr="002B3F16" w:rsidRDefault="00E77E88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</w:t>
            </w:r>
          </w:p>
        </w:tc>
        <w:tc>
          <w:tcPr>
            <w:tcW w:w="680" w:type="pct"/>
            <w:vAlign w:val="center"/>
          </w:tcPr>
          <w:p w14:paraId="3B37BD0D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91735" w:rsidRPr="002B3F16" w14:paraId="58B19154" w14:textId="0B8BC93F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7AD396C2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351" w:type="pct"/>
            <w:noWrap/>
            <w:vAlign w:val="center"/>
            <w:hideMark/>
          </w:tcPr>
          <w:p w14:paraId="224B7C27" w14:textId="661A98F1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Ensure the necessary revisions and updates of WIPO Standards ST.36, ST.66, ST.86 and ST.96; </w:t>
            </w:r>
            <w:r w:rsidR="0037258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 support the implementation of those Standards.</w:t>
            </w:r>
          </w:p>
        </w:tc>
        <w:tc>
          <w:tcPr>
            <w:tcW w:w="759" w:type="pct"/>
            <w:noWrap/>
            <w:vAlign w:val="center"/>
            <w:hideMark/>
          </w:tcPr>
          <w:p w14:paraId="44E69865" w14:textId="10A12ADB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9" w:type="pct"/>
            <w:noWrap/>
            <w:vAlign w:val="center"/>
            <w:hideMark/>
          </w:tcPr>
          <w:p w14:paraId="5D712552" w14:textId="1A37716C" w:rsidR="0010477A" w:rsidRPr="002B3F16" w:rsidRDefault="00E77E88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0" w:type="pct"/>
            <w:vAlign w:val="center"/>
          </w:tcPr>
          <w:p w14:paraId="0CB41E0D" w14:textId="11F5DA85" w:rsidR="0010477A" w:rsidRPr="002B3F16" w:rsidRDefault="00525C74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91735" w:rsidRPr="002B3F16" w14:paraId="0D20C6B6" w14:textId="77777777" w:rsidTr="000B0B25">
        <w:trPr>
          <w:trHeight w:val="144"/>
        </w:trPr>
        <w:tc>
          <w:tcPr>
            <w:tcW w:w="452" w:type="pct"/>
            <w:noWrap/>
            <w:vAlign w:val="center"/>
          </w:tcPr>
          <w:p w14:paraId="53972DEE" w14:textId="51DB0F19" w:rsidR="00994AC0" w:rsidRPr="002B3F16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351" w:type="pct"/>
            <w:noWrap/>
            <w:vAlign w:val="center"/>
          </w:tcPr>
          <w:p w14:paraId="69C9E803" w14:textId="06CFDECB" w:rsidR="00994AC0" w:rsidRPr="002B3F16" w:rsidRDefault="00A61192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1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Prepare </w:t>
            </w:r>
            <w:r w:rsidR="006908A8" w:rsidRPr="00A61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guidelines</w:t>
            </w:r>
            <w:r w:rsidRPr="00A61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for implementation by IPOs, regarding paragraph numbering, long paragraphs, and consistent rendering of patent documents</w:t>
            </w:r>
            <w:r w:rsidR="006908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9" w:type="pct"/>
            <w:noWrap/>
            <w:vAlign w:val="center"/>
          </w:tcPr>
          <w:p w14:paraId="01D6BD9E" w14:textId="16C4CA6C" w:rsidR="00994AC0" w:rsidRPr="002B3F16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 abeyance</w:t>
            </w:r>
          </w:p>
        </w:tc>
        <w:tc>
          <w:tcPr>
            <w:tcW w:w="759" w:type="pct"/>
            <w:noWrap/>
            <w:vAlign w:val="center"/>
          </w:tcPr>
          <w:p w14:paraId="263519E9" w14:textId="13D8CBC1" w:rsidR="00994AC0" w:rsidRPr="002B3F16" w:rsidRDefault="006662B9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Not applicable</w:t>
            </w:r>
          </w:p>
        </w:tc>
        <w:tc>
          <w:tcPr>
            <w:tcW w:w="680" w:type="pct"/>
            <w:vAlign w:val="center"/>
          </w:tcPr>
          <w:p w14:paraId="5E2FCC5F" w14:textId="77777777" w:rsidR="00994AC0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91735" w:rsidRPr="002B3F16" w14:paraId="6752C799" w14:textId="57A663F3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7A01552B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351" w:type="pct"/>
            <w:noWrap/>
            <w:vAlign w:val="center"/>
            <w:hideMark/>
          </w:tcPr>
          <w:p w14:paraId="202D5500" w14:textId="24AD755C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Support the International Bureau by testing new releases based on available resources and providing user feedback on the WIPO Sequence Suite;</w:t>
            </w:r>
            <w:r w:rsidR="0037258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and prepare necessary revisions of WIPO Standard ST.26</w:t>
            </w:r>
            <w:r w:rsidR="00A9455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9" w:type="pct"/>
            <w:noWrap/>
            <w:vAlign w:val="center"/>
            <w:hideMark/>
          </w:tcPr>
          <w:p w14:paraId="06229694" w14:textId="1FCCD452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9" w:type="pct"/>
            <w:noWrap/>
            <w:vAlign w:val="center"/>
            <w:hideMark/>
          </w:tcPr>
          <w:p w14:paraId="77F75A5E" w14:textId="24FA24D8" w:rsidR="0010477A" w:rsidRPr="002B3F16" w:rsidRDefault="00A47E45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0" w:type="pct"/>
            <w:vAlign w:val="center"/>
          </w:tcPr>
          <w:p w14:paraId="255535B9" w14:textId="0FFA0384" w:rsidR="0010477A" w:rsidRPr="002B3F16" w:rsidRDefault="00396263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hAnsi="Arial" w:cs="Arial"/>
              </w:rPr>
              <w:t>Essential</w:t>
            </w:r>
          </w:p>
        </w:tc>
      </w:tr>
    </w:tbl>
    <w:p w14:paraId="61E05B76" w14:textId="77777777" w:rsidR="000B0B25" w:rsidRDefault="000B0B25">
      <w:r>
        <w:br w:type="page"/>
      </w:r>
    </w:p>
    <w:tbl>
      <w:tblPr>
        <w:tblpPr w:leftFromText="180" w:rightFromText="180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393"/>
        <w:gridCol w:w="1418"/>
        <w:gridCol w:w="1418"/>
        <w:gridCol w:w="1270"/>
        <w:gridCol w:w="7"/>
      </w:tblGrid>
      <w:tr w:rsidR="000B0B25" w:rsidRPr="002B3F16" w14:paraId="5EE786A4" w14:textId="77777777" w:rsidTr="000B0B25">
        <w:trPr>
          <w:gridAfter w:val="1"/>
          <w:wAfter w:w="4" w:type="pct"/>
          <w:trHeight w:val="144"/>
        </w:trPr>
        <w:tc>
          <w:tcPr>
            <w:tcW w:w="452" w:type="pct"/>
            <w:noWrap/>
            <w:vAlign w:val="center"/>
            <w:hideMark/>
          </w:tcPr>
          <w:p w14:paraId="402BD307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Task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49" w:type="pct"/>
            <w:noWrap/>
            <w:vAlign w:val="center"/>
            <w:hideMark/>
          </w:tcPr>
          <w:p w14:paraId="6C4B7EC5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Description</w:t>
            </w:r>
          </w:p>
        </w:tc>
        <w:tc>
          <w:tcPr>
            <w:tcW w:w="758" w:type="pct"/>
            <w:noWrap/>
            <w:vAlign w:val="center"/>
            <w:hideMark/>
          </w:tcPr>
          <w:p w14:paraId="274B337E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Activity Level</w:t>
            </w:r>
          </w:p>
        </w:tc>
        <w:tc>
          <w:tcPr>
            <w:tcW w:w="758" w:type="pct"/>
            <w:noWrap/>
            <w:vAlign w:val="center"/>
            <w:hideMark/>
          </w:tcPr>
          <w:p w14:paraId="0B034038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Complexity</w:t>
            </w:r>
          </w:p>
        </w:tc>
        <w:tc>
          <w:tcPr>
            <w:tcW w:w="679" w:type="pct"/>
            <w:vAlign w:val="center"/>
          </w:tcPr>
          <w:p w14:paraId="16C356D9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37258A" w:rsidRPr="002B3F16" w14:paraId="09EFD9A3" w14:textId="5B4A4496" w:rsidTr="000B0B25">
        <w:trPr>
          <w:cantSplit/>
          <w:trHeight w:val="144"/>
        </w:trPr>
        <w:tc>
          <w:tcPr>
            <w:tcW w:w="452" w:type="pct"/>
            <w:noWrap/>
            <w:vAlign w:val="center"/>
            <w:hideMark/>
          </w:tcPr>
          <w:p w14:paraId="6DC037BC" w14:textId="35A04E1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349" w:type="pct"/>
            <w:noWrap/>
            <w:vAlign w:val="center"/>
            <w:hideMark/>
          </w:tcPr>
          <w:p w14:paraId="02270A82" w14:textId="3F41657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Ensure the necessary revisions and updates of WIPO Standards ST.27, ST.87, and ST.61;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prepare supporting materials to assist the use of those Standards in the IP community;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 support the XML4IP Task Force to develop XML components for legal status event data.</w:t>
            </w:r>
          </w:p>
        </w:tc>
        <w:tc>
          <w:tcPr>
            <w:tcW w:w="758" w:type="pct"/>
            <w:noWrap/>
            <w:vAlign w:val="center"/>
            <w:hideMark/>
          </w:tcPr>
          <w:p w14:paraId="2ECABD39" w14:textId="05659B8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32C9FCB1" w14:textId="753722A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4B36119F" w14:textId="260B27FC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7258A" w:rsidRPr="002B3F16" w14:paraId="0BB17472" w14:textId="77C3A67A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517CF2B1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349" w:type="pct"/>
            <w:noWrap/>
            <w:vAlign w:val="center"/>
            <w:hideMark/>
          </w:tcPr>
          <w:p w14:paraId="41775E25" w14:textId="0C17374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Ensure the necessary maintenance and update of surveys published in Part 7 of the WIPO Handbook on Intellectual Property Information and Documentation.</w:t>
            </w:r>
          </w:p>
        </w:tc>
        <w:tc>
          <w:tcPr>
            <w:tcW w:w="758" w:type="pct"/>
            <w:noWrap/>
            <w:vAlign w:val="center"/>
            <w:hideMark/>
          </w:tcPr>
          <w:p w14:paraId="1B639639" w14:textId="1509C80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5686C7F2" w14:textId="57B7626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27D680B8" w14:textId="334AF04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7258A" w:rsidRPr="002B3F16" w14:paraId="4C067116" w14:textId="5BA9B15C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31CCF19D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349" w:type="pct"/>
            <w:noWrap/>
            <w:vAlign w:val="center"/>
            <w:hideMark/>
          </w:tcPr>
          <w:p w14:paraId="1E5DD05B" w14:textId="2D7C0F0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Prepare a proposal for the update of the WIPO Handbook Part 6.1 "Recommended minimum contents for intellectual property offices’ websites"</w:t>
            </w:r>
            <w:r w:rsidR="00A9455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8" w:type="pct"/>
            <w:noWrap/>
            <w:vAlign w:val="center"/>
            <w:hideMark/>
          </w:tcPr>
          <w:p w14:paraId="100EEF01" w14:textId="2D444FF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Ad-hoc</w:t>
            </w:r>
          </w:p>
        </w:tc>
        <w:tc>
          <w:tcPr>
            <w:tcW w:w="758" w:type="pct"/>
            <w:noWrap/>
            <w:vAlign w:val="center"/>
            <w:hideMark/>
          </w:tcPr>
          <w:p w14:paraId="27F3B8D4" w14:textId="30BC72E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</w:t>
            </w:r>
          </w:p>
        </w:tc>
        <w:tc>
          <w:tcPr>
            <w:tcW w:w="683" w:type="pct"/>
            <w:gridSpan w:val="2"/>
            <w:vAlign w:val="center"/>
          </w:tcPr>
          <w:p w14:paraId="18060B7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1BB8B1F5" w14:textId="4A6DFE83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2E2D2B31" w14:textId="009E499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349" w:type="pct"/>
            <w:noWrap/>
            <w:vAlign w:val="center"/>
            <w:hideMark/>
          </w:tcPr>
          <w:p w14:paraId="15DEB43F" w14:textId="572BF1C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Prepare a proposal for future actions aimed at achieving the standardization of names in Intellectual Property (IP) documents, with the view to developing a WIPO standard to assist IP offices in providing a better “quality at source” in relation to names.</w:t>
            </w:r>
          </w:p>
        </w:tc>
        <w:tc>
          <w:tcPr>
            <w:tcW w:w="758" w:type="pct"/>
            <w:noWrap/>
            <w:vAlign w:val="center"/>
            <w:hideMark/>
          </w:tcPr>
          <w:p w14:paraId="1BB58644" w14:textId="5CF0E82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Occasional</w:t>
            </w:r>
          </w:p>
        </w:tc>
        <w:tc>
          <w:tcPr>
            <w:tcW w:w="758" w:type="pct"/>
            <w:noWrap/>
            <w:vAlign w:val="center"/>
            <w:hideMark/>
          </w:tcPr>
          <w:p w14:paraId="1DECAD15" w14:textId="01180E2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78C9CD57" w14:textId="4D25853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02B23D32" w14:textId="734EA2EE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178FC7BE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349" w:type="pct"/>
            <w:noWrap/>
            <w:vAlign w:val="center"/>
            <w:hideMark/>
          </w:tcPr>
          <w:p w14:paraId="01EE7F4C" w14:textId="71BC60B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B354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Ensure the necessary revisions and updates of WIPO Standard ST.90;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support the International Bureau in promoting and implementing WIPO Standard ST.90;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 promote the API Catalog for Intellectual Property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8" w:type="pct"/>
            <w:noWrap/>
            <w:vAlign w:val="center"/>
            <w:hideMark/>
          </w:tcPr>
          <w:p w14:paraId="35962DB9" w14:textId="2106EC8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8" w:type="pct"/>
            <w:noWrap/>
            <w:vAlign w:val="center"/>
            <w:hideMark/>
          </w:tcPr>
          <w:p w14:paraId="5D64E501" w14:textId="37D62EA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3" w:type="pct"/>
            <w:gridSpan w:val="2"/>
            <w:vAlign w:val="center"/>
          </w:tcPr>
          <w:p w14:paraId="2ACD88F0" w14:textId="21AC87A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7258A" w:rsidRPr="002B3F16" w14:paraId="4E600E5B" w14:textId="47F17E7A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0AE254E0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349" w:type="pct"/>
            <w:noWrap/>
            <w:vAlign w:val="center"/>
            <w:hideMark/>
          </w:tcPr>
          <w:p w14:paraId="27DEC136" w14:textId="0B5A749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Facilitate the implementation of the ICT related Recommendations by IP offices and the International Bureau;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and evaluate and update these Recommendations as needed to maintain their relevance.</w:t>
            </w:r>
          </w:p>
        </w:tc>
        <w:tc>
          <w:tcPr>
            <w:tcW w:w="758" w:type="pct"/>
            <w:noWrap/>
            <w:vAlign w:val="center"/>
            <w:hideMark/>
          </w:tcPr>
          <w:p w14:paraId="27A7090E" w14:textId="72DDDE1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4E131D83" w14:textId="4CA11A1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3" w:type="pct"/>
            <w:gridSpan w:val="2"/>
            <w:vAlign w:val="center"/>
          </w:tcPr>
          <w:p w14:paraId="168DF786" w14:textId="449F492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4D7">
              <w:rPr>
                <w:rFonts w:ascii="Arial" w:hAnsi="Arial" w:cs="Arial"/>
              </w:rPr>
              <w:t>Essential</w:t>
            </w:r>
          </w:p>
        </w:tc>
      </w:tr>
    </w:tbl>
    <w:p w14:paraId="3FEAAE36" w14:textId="77777777" w:rsidR="000B0B25" w:rsidRDefault="000B0B25">
      <w:r>
        <w:br w:type="page"/>
      </w:r>
    </w:p>
    <w:tbl>
      <w:tblPr>
        <w:tblpPr w:leftFromText="180" w:rightFromText="180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393"/>
        <w:gridCol w:w="1418"/>
        <w:gridCol w:w="1418"/>
        <w:gridCol w:w="1270"/>
        <w:gridCol w:w="7"/>
      </w:tblGrid>
      <w:tr w:rsidR="000B0B25" w:rsidRPr="002B3F16" w14:paraId="1907D796" w14:textId="77777777" w:rsidTr="000B0B25">
        <w:trPr>
          <w:gridAfter w:val="1"/>
          <w:wAfter w:w="4" w:type="pct"/>
          <w:trHeight w:val="144"/>
        </w:trPr>
        <w:tc>
          <w:tcPr>
            <w:tcW w:w="452" w:type="pct"/>
            <w:noWrap/>
            <w:vAlign w:val="center"/>
            <w:hideMark/>
          </w:tcPr>
          <w:p w14:paraId="292A133A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49" w:type="pct"/>
            <w:noWrap/>
            <w:vAlign w:val="center"/>
            <w:hideMark/>
          </w:tcPr>
          <w:p w14:paraId="4E306818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Description</w:t>
            </w:r>
          </w:p>
        </w:tc>
        <w:tc>
          <w:tcPr>
            <w:tcW w:w="758" w:type="pct"/>
            <w:noWrap/>
            <w:vAlign w:val="center"/>
            <w:hideMark/>
          </w:tcPr>
          <w:p w14:paraId="32163A42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Activity Level</w:t>
            </w:r>
          </w:p>
        </w:tc>
        <w:tc>
          <w:tcPr>
            <w:tcW w:w="758" w:type="pct"/>
            <w:noWrap/>
            <w:vAlign w:val="center"/>
            <w:hideMark/>
          </w:tcPr>
          <w:p w14:paraId="19C5D224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Complexity</w:t>
            </w:r>
          </w:p>
        </w:tc>
        <w:tc>
          <w:tcPr>
            <w:tcW w:w="679" w:type="pct"/>
            <w:vAlign w:val="center"/>
          </w:tcPr>
          <w:p w14:paraId="551B7296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37258A" w:rsidRPr="002B3F16" w14:paraId="55E20C55" w14:textId="0E3A05F9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5613A075" w14:textId="0BC9AE6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349" w:type="pct"/>
            <w:noWrap/>
            <w:vAlign w:val="center"/>
            <w:hideMark/>
          </w:tcPr>
          <w:p w14:paraId="49FF9BD1" w14:textId="2E09253E" w:rsidR="0037258A" w:rsidRPr="002B3F16" w:rsidRDefault="0037258A" w:rsidP="00A2137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Explore the possibility of using blockchain technology in the processes of providing IP rights protection, processing information about IP objects and their use;</w:t>
            </w:r>
            <w:r w:rsidR="00A213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c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ollect information about IPO developments in use of and experience with blockchain, assess current Industry Standards on blockchain and consider merit and applicability to IPOs;</w:t>
            </w:r>
            <w:r w:rsidR="00A213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d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evelop reference models of using blockchain technology in the IP field, including guiding principles, common practice and use of terminology as a framework supporting collaboration, joint projects and proofs of concept; </w:t>
            </w:r>
            <w:r w:rsidR="00A213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</w:t>
            </w:r>
            <w:r w:rsidR="00A213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repare a proposal for a new WIPO Standard supporting the potential application of blockchain technology within the IP ecosystem.</w:t>
            </w:r>
          </w:p>
        </w:tc>
        <w:tc>
          <w:tcPr>
            <w:tcW w:w="758" w:type="pct"/>
            <w:noWrap/>
            <w:vAlign w:val="center"/>
            <w:hideMark/>
          </w:tcPr>
          <w:p w14:paraId="6E098FAB" w14:textId="2DC5C9E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Occasional</w:t>
            </w:r>
          </w:p>
        </w:tc>
        <w:tc>
          <w:tcPr>
            <w:tcW w:w="758" w:type="pct"/>
            <w:noWrap/>
            <w:vAlign w:val="center"/>
            <w:hideMark/>
          </w:tcPr>
          <w:p w14:paraId="7FD97ECA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6303CDD0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1DC39893" w14:textId="77777777" w:rsidTr="000B0B25">
        <w:trPr>
          <w:trHeight w:val="144"/>
        </w:trPr>
        <w:tc>
          <w:tcPr>
            <w:tcW w:w="452" w:type="pct"/>
            <w:noWrap/>
            <w:vAlign w:val="center"/>
          </w:tcPr>
          <w:p w14:paraId="5C63EAE6" w14:textId="1B65EB3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349" w:type="pct"/>
            <w:noWrap/>
            <w:vAlign w:val="center"/>
          </w:tcPr>
          <w:p w14:paraId="00375100" w14:textId="4368C482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B4DF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Prepare a proposal for the numbering of INID codes regarding word marks and figurative marks, on splitting INID code (551), and a potential INID code for combined marks</w:t>
            </w:r>
            <w:r w:rsidR="00A9455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58" w:type="pct"/>
            <w:noWrap/>
            <w:vAlign w:val="center"/>
          </w:tcPr>
          <w:p w14:paraId="652B1F80" w14:textId="2DB89FF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 abeyance</w:t>
            </w:r>
          </w:p>
        </w:tc>
        <w:tc>
          <w:tcPr>
            <w:tcW w:w="758" w:type="pct"/>
            <w:noWrap/>
            <w:vAlign w:val="center"/>
          </w:tcPr>
          <w:p w14:paraId="42645BAD" w14:textId="1CA0FF2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Not applicable</w:t>
            </w:r>
          </w:p>
        </w:tc>
        <w:tc>
          <w:tcPr>
            <w:tcW w:w="683" w:type="pct"/>
            <w:gridSpan w:val="2"/>
            <w:vAlign w:val="center"/>
          </w:tcPr>
          <w:p w14:paraId="1F1DCC79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6E46B3E5" w14:textId="3F465901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5C73CE58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349" w:type="pct"/>
            <w:noWrap/>
            <w:vAlign w:val="center"/>
            <w:hideMark/>
          </w:tcPr>
          <w:p w14:paraId="61BFEC18" w14:textId="4770B8A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Ensure the necessary revisions and updates of WIPO Standard ST.91, including methods of search for 3D models and 3D images.</w:t>
            </w:r>
          </w:p>
        </w:tc>
        <w:tc>
          <w:tcPr>
            <w:tcW w:w="758" w:type="pct"/>
            <w:noWrap/>
            <w:vAlign w:val="center"/>
            <w:hideMark/>
          </w:tcPr>
          <w:p w14:paraId="1AD144AA" w14:textId="17DFD5B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6943EF78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08D162C5" w14:textId="6D5D7EC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4B53B4A7" w14:textId="0BA53A52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2970483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349" w:type="pct"/>
            <w:noWrap/>
            <w:vAlign w:val="center"/>
            <w:hideMark/>
          </w:tcPr>
          <w:p w14:paraId="538F085F" w14:textId="2FE67D3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Review WIPO Standards developed for paper or image-based communication in view of electronic filing and publication and exchange of IP documentation and propose revisions of those Standards or new recommendations if needed;</w:t>
            </w:r>
            <w:r w:rsidR="00A213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and prepare a proposal for the recommendation on a common requirements specification for a DOCX to XML (DOCX2XML) converter.</w:t>
            </w:r>
          </w:p>
        </w:tc>
        <w:tc>
          <w:tcPr>
            <w:tcW w:w="758" w:type="pct"/>
            <w:noWrap/>
            <w:vAlign w:val="center"/>
            <w:hideMark/>
          </w:tcPr>
          <w:p w14:paraId="31410CAA" w14:textId="0115F6A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278F9BAB" w14:textId="27AD11F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5CBB0FF0" w14:textId="35971AD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0A74D51B" w14:textId="2C7C79C1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65465A1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349" w:type="pct"/>
            <w:noWrap/>
            <w:vAlign w:val="center"/>
            <w:hideMark/>
          </w:tcPr>
          <w:p w14:paraId="56FADBA7" w14:textId="43F9D57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Develop visual representation(s) of XML data, based on WIPO XML Standards, for electronic publication.</w:t>
            </w:r>
          </w:p>
        </w:tc>
        <w:tc>
          <w:tcPr>
            <w:tcW w:w="758" w:type="pct"/>
            <w:noWrap/>
            <w:vAlign w:val="center"/>
            <w:hideMark/>
          </w:tcPr>
          <w:p w14:paraId="70C97174" w14:textId="42A3B76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Occasional</w:t>
            </w:r>
          </w:p>
        </w:tc>
        <w:tc>
          <w:tcPr>
            <w:tcW w:w="758" w:type="pct"/>
            <w:noWrap/>
            <w:vAlign w:val="center"/>
            <w:hideMark/>
          </w:tcPr>
          <w:p w14:paraId="7B125C88" w14:textId="0F7B487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3E57B389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7D17D870" w14:textId="588B7E4A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3F201E7D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349" w:type="pct"/>
            <w:noWrap/>
            <w:vAlign w:val="center"/>
            <w:hideMark/>
          </w:tcPr>
          <w:p w14:paraId="4E3E654B" w14:textId="4FC3C8C1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Ensure the necessary revisions and updates of WIPO Standard ST.97.</w:t>
            </w:r>
          </w:p>
        </w:tc>
        <w:tc>
          <w:tcPr>
            <w:tcW w:w="758" w:type="pct"/>
            <w:noWrap/>
            <w:vAlign w:val="center"/>
            <w:hideMark/>
          </w:tcPr>
          <w:p w14:paraId="4AC0DDD0" w14:textId="1DC01C1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8" w:type="pct"/>
            <w:noWrap/>
            <w:vAlign w:val="center"/>
            <w:hideMark/>
          </w:tcPr>
          <w:p w14:paraId="640A6028" w14:textId="29FF8FE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3" w:type="pct"/>
            <w:gridSpan w:val="2"/>
            <w:vAlign w:val="center"/>
          </w:tcPr>
          <w:p w14:paraId="7A78D25E" w14:textId="6E01DD8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  <w:tr w:rsidR="0037258A" w:rsidRPr="002B3F16" w14:paraId="18D9E552" w14:textId="10C6CFE8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16D72ED6" w14:textId="77777777" w:rsidR="0037258A" w:rsidRPr="00D55C85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2349" w:type="pct"/>
            <w:noWrap/>
            <w:vAlign w:val="center"/>
            <w:hideMark/>
          </w:tcPr>
          <w:p w14:paraId="582C7BD1" w14:textId="25479714" w:rsidR="0037258A" w:rsidRPr="00D55C85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5C85">
              <w:rPr>
                <w:rStyle w:val="normaltextrun"/>
                <w:rFonts w:ascii="Arial" w:hAnsi="Arial" w:cs="Arial"/>
                <w:bdr w:val="none" w:sz="0" w:space="0" w:color="auto" w:frame="1"/>
              </w:rPr>
              <w:t>Ensure the necessary revisions and updates of WIPO Standard ST.92 and support IP offices for their implementation of the Standard before July 1, 2027</w:t>
            </w:r>
            <w:r w:rsidR="00A94559">
              <w:rPr>
                <w:rStyle w:val="normaltextrun"/>
                <w:rFonts w:ascii="Arial" w:hAnsi="Arial" w:cs="Arial"/>
                <w:bdr w:val="none" w:sz="0" w:space="0" w:color="auto" w:frame="1"/>
              </w:rPr>
              <w:t>.</w:t>
            </w:r>
          </w:p>
        </w:tc>
        <w:tc>
          <w:tcPr>
            <w:tcW w:w="758" w:type="pct"/>
            <w:noWrap/>
            <w:vAlign w:val="center"/>
            <w:hideMark/>
          </w:tcPr>
          <w:p w14:paraId="3D96E3FB" w14:textId="589CF2C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8" w:type="pct"/>
            <w:noWrap/>
            <w:vAlign w:val="center"/>
            <w:hideMark/>
          </w:tcPr>
          <w:p w14:paraId="60B4F2F7" w14:textId="5365D081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3" w:type="pct"/>
            <w:gridSpan w:val="2"/>
            <w:vAlign w:val="center"/>
          </w:tcPr>
          <w:p w14:paraId="3622C3C9" w14:textId="181A17F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4D7">
              <w:rPr>
                <w:rFonts w:ascii="Arial" w:hAnsi="Arial" w:cs="Arial"/>
              </w:rPr>
              <w:t>Essential</w:t>
            </w:r>
          </w:p>
        </w:tc>
      </w:tr>
    </w:tbl>
    <w:p w14:paraId="7ECD94FF" w14:textId="77777777" w:rsidR="000B0B25" w:rsidRDefault="000B0B25">
      <w:r>
        <w:br w:type="page"/>
      </w:r>
    </w:p>
    <w:tbl>
      <w:tblPr>
        <w:tblpPr w:leftFromText="180" w:rightFromText="180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393"/>
        <w:gridCol w:w="1418"/>
        <w:gridCol w:w="1418"/>
        <w:gridCol w:w="1270"/>
        <w:gridCol w:w="7"/>
      </w:tblGrid>
      <w:tr w:rsidR="000B0B25" w:rsidRPr="002B3F16" w14:paraId="3856860B" w14:textId="77777777" w:rsidTr="000B0B25">
        <w:trPr>
          <w:gridAfter w:val="1"/>
          <w:wAfter w:w="4" w:type="pct"/>
          <w:trHeight w:val="144"/>
        </w:trPr>
        <w:tc>
          <w:tcPr>
            <w:tcW w:w="452" w:type="pct"/>
            <w:noWrap/>
            <w:vAlign w:val="center"/>
            <w:hideMark/>
          </w:tcPr>
          <w:p w14:paraId="4F204168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49" w:type="pct"/>
            <w:noWrap/>
            <w:vAlign w:val="center"/>
            <w:hideMark/>
          </w:tcPr>
          <w:p w14:paraId="237A1BC2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Task Description</w:t>
            </w:r>
          </w:p>
        </w:tc>
        <w:tc>
          <w:tcPr>
            <w:tcW w:w="758" w:type="pct"/>
            <w:noWrap/>
            <w:vAlign w:val="center"/>
            <w:hideMark/>
          </w:tcPr>
          <w:p w14:paraId="1E87A750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Activity Level</w:t>
            </w:r>
          </w:p>
        </w:tc>
        <w:tc>
          <w:tcPr>
            <w:tcW w:w="758" w:type="pct"/>
            <w:noWrap/>
            <w:vAlign w:val="center"/>
            <w:hideMark/>
          </w:tcPr>
          <w:p w14:paraId="552A66A0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Complexity</w:t>
            </w:r>
          </w:p>
        </w:tc>
        <w:tc>
          <w:tcPr>
            <w:tcW w:w="679" w:type="pct"/>
            <w:vAlign w:val="center"/>
          </w:tcPr>
          <w:p w14:paraId="56AFFBAA" w14:textId="77777777" w:rsidR="000B0B25" w:rsidRPr="002B3F16" w:rsidRDefault="000B0B25" w:rsidP="00206099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102BB9" w:rsidRPr="002B3F16" w14:paraId="27E784CF" w14:textId="5C29C1B2" w:rsidTr="000B0B25">
        <w:trPr>
          <w:trHeight w:val="144"/>
        </w:trPr>
        <w:tc>
          <w:tcPr>
            <w:tcW w:w="452" w:type="pct"/>
            <w:noWrap/>
            <w:vAlign w:val="center"/>
            <w:hideMark/>
          </w:tcPr>
          <w:p w14:paraId="7A3F2A5E" w14:textId="5F70A096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348" w:type="pct"/>
            <w:noWrap/>
            <w:vAlign w:val="center"/>
            <w:hideMark/>
          </w:tcPr>
          <w:p w14:paraId="64493F19" w14:textId="4A120157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Encourage IP offices to provide their patent authority file in compliance with WIPO Standard ST.37 by providing any technical support or training necessary, based on available resources.</w:t>
            </w:r>
          </w:p>
        </w:tc>
        <w:tc>
          <w:tcPr>
            <w:tcW w:w="758" w:type="pct"/>
            <w:noWrap/>
            <w:vAlign w:val="center"/>
            <w:hideMark/>
          </w:tcPr>
          <w:p w14:paraId="69069219" w14:textId="3C15C1CF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F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Active</w:t>
            </w:r>
          </w:p>
        </w:tc>
        <w:tc>
          <w:tcPr>
            <w:tcW w:w="758" w:type="pct"/>
            <w:noWrap/>
            <w:vAlign w:val="center"/>
            <w:hideMark/>
          </w:tcPr>
          <w:p w14:paraId="3C1FB820" w14:textId="44B0AFB0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Medium</w:t>
            </w:r>
          </w:p>
        </w:tc>
        <w:tc>
          <w:tcPr>
            <w:tcW w:w="683" w:type="pct"/>
            <w:gridSpan w:val="2"/>
            <w:vAlign w:val="center"/>
          </w:tcPr>
          <w:p w14:paraId="48F8B051" w14:textId="29B8F7B2" w:rsidR="00102BB9" w:rsidRPr="002B3F16" w:rsidDel="00674183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4D7">
              <w:rPr>
                <w:rFonts w:ascii="Arial" w:hAnsi="Arial" w:cs="Arial"/>
              </w:rPr>
              <w:t>Essential</w:t>
            </w:r>
          </w:p>
        </w:tc>
      </w:tr>
      <w:tr w:rsidR="00102BB9" w:rsidRPr="002B3F16" w14:paraId="13D0A02D" w14:textId="77777777" w:rsidTr="000B0B25">
        <w:trPr>
          <w:trHeight w:val="144"/>
        </w:trPr>
        <w:tc>
          <w:tcPr>
            <w:tcW w:w="452" w:type="pct"/>
            <w:noWrap/>
            <w:vAlign w:val="center"/>
          </w:tcPr>
          <w:p w14:paraId="5DA3A7DA" w14:textId="2E3F51E1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348" w:type="pct"/>
            <w:noWrap/>
            <w:vAlign w:val="center"/>
          </w:tcPr>
          <w:p w14:paraId="6A6B4769" w14:textId="27829DC0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Analyze existing practices and challenges experienced by IP offices with a view to explore solutions to improve access to global IP data exchange.</w:t>
            </w:r>
            <w:r w:rsidRPr="00E56EB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pct"/>
            <w:noWrap/>
            <w:vAlign w:val="center"/>
          </w:tcPr>
          <w:p w14:paraId="309F7298" w14:textId="380324CE" w:rsidR="00102BB9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Very active</w:t>
            </w:r>
          </w:p>
        </w:tc>
        <w:tc>
          <w:tcPr>
            <w:tcW w:w="758" w:type="pct"/>
            <w:noWrap/>
            <w:vAlign w:val="center"/>
          </w:tcPr>
          <w:p w14:paraId="6FFBF6D3" w14:textId="3F17FABA" w:rsidR="00102BB9" w:rsidRPr="002B3F16" w:rsidDel="00674183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683" w:type="pct"/>
            <w:gridSpan w:val="2"/>
            <w:vAlign w:val="center"/>
          </w:tcPr>
          <w:p w14:paraId="3038F30A" w14:textId="6BA7D511" w:rsidR="00102BB9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55C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Important</w:t>
            </w:r>
          </w:p>
        </w:tc>
      </w:tr>
    </w:tbl>
    <w:p w14:paraId="721AD5BF" w14:textId="02BCE049" w:rsidR="00C672BD" w:rsidRDefault="00C672BD"/>
    <w:p w14:paraId="2A81D571" w14:textId="0005ADE7" w:rsidR="00727CB3" w:rsidRPr="00727CB3" w:rsidRDefault="00727CB3" w:rsidP="00B744CD">
      <w:pPr>
        <w:spacing w:after="0"/>
        <w:ind w:left="5533"/>
      </w:pPr>
    </w:p>
    <w:p w14:paraId="35ECE54B" w14:textId="00CD1F06" w:rsidR="00727CB3" w:rsidRPr="00727CB3" w:rsidRDefault="00727CB3" w:rsidP="00B744CD">
      <w:pPr>
        <w:spacing w:after="0"/>
        <w:ind w:left="5533"/>
      </w:pPr>
    </w:p>
    <w:p w14:paraId="694D19F4" w14:textId="1ED1CAFB" w:rsidR="00727CB3" w:rsidRPr="00727CB3" w:rsidRDefault="00727CB3" w:rsidP="00B744CD">
      <w:pPr>
        <w:spacing w:after="0"/>
        <w:ind w:left="5533"/>
      </w:pPr>
    </w:p>
    <w:p w14:paraId="75F4FF16" w14:textId="757CADFF" w:rsidR="00727CB3" w:rsidRPr="00B744CD" w:rsidRDefault="00727CB3" w:rsidP="00727CB3">
      <w:pPr>
        <w:pStyle w:val="Endofdocument"/>
        <w:ind w:left="5533"/>
        <w:jc w:val="center"/>
      </w:pPr>
      <w:r>
        <w:t xml:space="preserve">[End of Annex </w:t>
      </w:r>
      <w:r w:rsidR="5E55F26F">
        <w:t>II</w:t>
      </w:r>
      <w:r w:rsidR="61732803">
        <w:t xml:space="preserve"> </w:t>
      </w:r>
      <w:r>
        <w:t>and of document]</w:t>
      </w:r>
    </w:p>
    <w:p w14:paraId="7E5DFC1A" w14:textId="4D3ACB12" w:rsidR="00727CB3" w:rsidRPr="00727CB3" w:rsidRDefault="00727CB3" w:rsidP="00B744CD">
      <w:pPr>
        <w:ind w:left="5533"/>
      </w:pPr>
    </w:p>
    <w:sectPr w:rsidR="00727CB3" w:rsidRPr="00727CB3" w:rsidSect="00391735">
      <w:headerReference w:type="default" r:id="rId13"/>
      <w:headerReference w:type="first" r:id="rId14"/>
      <w:pgSz w:w="11906" w:h="16838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92DE" w14:textId="77777777" w:rsidR="00C45181" w:rsidRDefault="00C45181" w:rsidP="002506EC">
      <w:pPr>
        <w:spacing w:after="0" w:line="240" w:lineRule="auto"/>
      </w:pPr>
      <w:r>
        <w:separator/>
      </w:r>
    </w:p>
  </w:endnote>
  <w:endnote w:type="continuationSeparator" w:id="0">
    <w:p w14:paraId="2730F0D1" w14:textId="77777777" w:rsidR="00C45181" w:rsidRDefault="00C45181" w:rsidP="002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939F" w14:textId="77777777" w:rsidR="00C45181" w:rsidRDefault="00C45181" w:rsidP="002506EC">
      <w:pPr>
        <w:spacing w:after="0" w:line="240" w:lineRule="auto"/>
      </w:pPr>
      <w:r>
        <w:separator/>
      </w:r>
    </w:p>
  </w:footnote>
  <w:footnote w:type="continuationSeparator" w:id="0">
    <w:p w14:paraId="024B3B19" w14:textId="77777777" w:rsidR="00C45181" w:rsidRDefault="00C45181" w:rsidP="0025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03F7" w14:textId="4F3384CF" w:rsidR="002B3F16" w:rsidRPr="00F5289D" w:rsidRDefault="428CFC04" w:rsidP="52F07314">
    <w:pPr>
      <w:pStyle w:val="Header"/>
      <w:jc w:val="right"/>
      <w:rPr>
        <w:rFonts w:asciiTheme="minorBidi" w:hAnsiTheme="minorBidi"/>
        <w:lang w:val="fr-FR"/>
      </w:rPr>
    </w:pPr>
    <w:r w:rsidRPr="00F5289D">
      <w:rPr>
        <w:rFonts w:asciiTheme="minorBidi" w:hAnsiTheme="minorBidi"/>
        <w:lang w:val="fr-FR"/>
      </w:rPr>
      <w:t>CWS/13/31 Rev.</w:t>
    </w:r>
    <w:r w:rsidR="00391735">
      <w:rPr>
        <w:rFonts w:asciiTheme="minorBidi" w:hAnsiTheme="minorBidi"/>
        <w:lang w:val="fr-FR"/>
      </w:rPr>
      <w:t xml:space="preserve"> 2</w:t>
    </w:r>
  </w:p>
  <w:p w14:paraId="1D015D37" w14:textId="3D71326A" w:rsidR="002B3F16" w:rsidRPr="00F5289D" w:rsidRDefault="00532691" w:rsidP="002B3F16">
    <w:pPr>
      <w:pStyle w:val="Header"/>
      <w:jc w:val="right"/>
      <w:rPr>
        <w:rFonts w:asciiTheme="minorBidi" w:hAnsiTheme="minorBidi"/>
        <w:lang w:val="fr-FR"/>
      </w:rPr>
    </w:pPr>
    <w:r w:rsidRPr="00F5289D">
      <w:rPr>
        <w:rFonts w:asciiTheme="minorBidi" w:hAnsiTheme="minorBidi"/>
        <w:lang w:val="fr-FR"/>
      </w:rPr>
      <w:t>Annex</w:t>
    </w:r>
    <w:r w:rsidR="00313858" w:rsidRPr="00F5289D">
      <w:rPr>
        <w:rFonts w:asciiTheme="minorBidi" w:hAnsiTheme="minorBidi"/>
        <w:lang w:val="fr-FR"/>
      </w:rPr>
      <w:t xml:space="preserve"> II</w:t>
    </w:r>
    <w:r w:rsidRPr="00F5289D">
      <w:rPr>
        <w:rFonts w:asciiTheme="minorBidi" w:hAnsiTheme="minorBidi"/>
        <w:lang w:val="fr-FR"/>
      </w:rPr>
      <w:t xml:space="preserve">, page </w:t>
    </w:r>
    <w:r w:rsidRPr="00532691">
      <w:rPr>
        <w:rFonts w:asciiTheme="minorBidi" w:hAnsiTheme="minorBidi"/>
      </w:rPr>
      <w:fldChar w:fldCharType="begin"/>
    </w:r>
    <w:r w:rsidRPr="00F5289D">
      <w:rPr>
        <w:rFonts w:asciiTheme="minorBidi" w:hAnsiTheme="minorBidi"/>
        <w:lang w:val="fr-FR"/>
      </w:rPr>
      <w:instrText xml:space="preserve"> PAGE   \* MERGEFORMAT </w:instrText>
    </w:r>
    <w:r w:rsidRPr="00532691">
      <w:rPr>
        <w:rFonts w:asciiTheme="minorBidi" w:hAnsiTheme="minorBidi"/>
      </w:rPr>
      <w:fldChar w:fldCharType="separate"/>
    </w:r>
    <w:r w:rsidRPr="00F5289D">
      <w:rPr>
        <w:rFonts w:asciiTheme="minorBidi" w:hAnsiTheme="minorBidi"/>
        <w:noProof/>
        <w:lang w:val="fr-FR"/>
      </w:rPr>
      <w:t>1</w:t>
    </w:r>
    <w:r w:rsidRPr="00532691">
      <w:rPr>
        <w:rFonts w:asciiTheme="minorBidi" w:hAnsiTheme="minorBidi"/>
        <w:noProof/>
      </w:rPr>
      <w:fldChar w:fldCharType="end"/>
    </w:r>
  </w:p>
  <w:p w14:paraId="5D0BAD9B" w14:textId="77777777" w:rsidR="00532691" w:rsidRPr="00F5289D" w:rsidRDefault="00532691" w:rsidP="002B3F16">
    <w:pPr>
      <w:pStyle w:val="Header"/>
      <w:jc w:val="right"/>
      <w:rPr>
        <w:rFonts w:asciiTheme="minorBidi" w:hAnsiTheme="minorBidi"/>
        <w:lang w:val="fr-FR"/>
      </w:rPr>
    </w:pPr>
  </w:p>
  <w:p w14:paraId="131D9010" w14:textId="77777777" w:rsidR="00532691" w:rsidRPr="00F5289D" w:rsidRDefault="00532691" w:rsidP="002B3F16">
    <w:pPr>
      <w:pStyle w:val="Header"/>
      <w:jc w:val="right"/>
      <w:rPr>
        <w:rFonts w:asciiTheme="minorBidi" w:hAnsiTheme="minorBidi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2DA3" w14:textId="7C46EC83" w:rsidR="00532691" w:rsidRPr="00532691" w:rsidRDefault="428CFC04" w:rsidP="52F07314">
    <w:pPr>
      <w:pStyle w:val="Header"/>
      <w:jc w:val="right"/>
      <w:rPr>
        <w:rFonts w:asciiTheme="minorBidi" w:hAnsiTheme="minorBidi"/>
      </w:rPr>
    </w:pPr>
    <w:r w:rsidRPr="428CFC04">
      <w:rPr>
        <w:rFonts w:asciiTheme="minorBidi" w:hAnsiTheme="minorBidi"/>
      </w:rPr>
      <w:t>CWS/13/31 Rev.</w:t>
    </w:r>
    <w:r w:rsidR="00391735">
      <w:rPr>
        <w:rFonts w:asciiTheme="minorBidi" w:hAnsiTheme="minorBidi"/>
      </w:rPr>
      <w:t xml:space="preserve"> 2</w:t>
    </w:r>
  </w:p>
  <w:p w14:paraId="5360A466" w14:textId="6972B9DE" w:rsidR="00532691" w:rsidRPr="00532691" w:rsidRDefault="00532691" w:rsidP="00532691">
    <w:pPr>
      <w:pStyle w:val="Header"/>
      <w:jc w:val="right"/>
      <w:rPr>
        <w:rFonts w:asciiTheme="minorBidi" w:hAnsiTheme="minorBidi"/>
      </w:rPr>
    </w:pPr>
    <w:r>
      <w:rPr>
        <w:rFonts w:asciiTheme="minorBidi" w:hAnsiTheme="minorBidi"/>
      </w:rPr>
      <w:t>ANNEX II</w:t>
    </w:r>
  </w:p>
  <w:p w14:paraId="3D8FC342" w14:textId="77777777" w:rsidR="00532691" w:rsidRPr="00532691" w:rsidRDefault="00532691" w:rsidP="00532691">
    <w:pPr>
      <w:pStyle w:val="Header"/>
      <w:jc w:val="right"/>
      <w:rPr>
        <w:rFonts w:asciiTheme="minorBidi" w:hAnsiTheme="minorBidi"/>
      </w:rPr>
    </w:pPr>
  </w:p>
  <w:p w14:paraId="4F428B86" w14:textId="77777777" w:rsidR="00532691" w:rsidRPr="00532691" w:rsidRDefault="00532691" w:rsidP="00532691">
    <w:pPr>
      <w:pStyle w:val="Header"/>
      <w:jc w:val="right"/>
      <w:rPr>
        <w:rFonts w:asciiTheme="minorBidi" w:hAnsi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E75"/>
    <w:multiLevelType w:val="hybridMultilevel"/>
    <w:tmpl w:val="355A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54ED"/>
    <w:multiLevelType w:val="hybridMultilevel"/>
    <w:tmpl w:val="8D7A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48CF"/>
    <w:multiLevelType w:val="hybridMultilevel"/>
    <w:tmpl w:val="F3B656AA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24EA1"/>
    <w:multiLevelType w:val="hybridMultilevel"/>
    <w:tmpl w:val="6CF8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54037">
    <w:abstractNumId w:val="0"/>
  </w:num>
  <w:num w:numId="2" w16cid:durableId="196816423">
    <w:abstractNumId w:val="1"/>
  </w:num>
  <w:num w:numId="3" w16cid:durableId="129902249">
    <w:abstractNumId w:val="3"/>
  </w:num>
  <w:num w:numId="4" w16cid:durableId="677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EC"/>
    <w:rsid w:val="00010BCB"/>
    <w:rsid w:val="00014E31"/>
    <w:rsid w:val="000361B8"/>
    <w:rsid w:val="00036854"/>
    <w:rsid w:val="0004451B"/>
    <w:rsid w:val="00061692"/>
    <w:rsid w:val="000702B9"/>
    <w:rsid w:val="00071CFB"/>
    <w:rsid w:val="0007341E"/>
    <w:rsid w:val="000879A0"/>
    <w:rsid w:val="000A7F1E"/>
    <w:rsid w:val="000B0B25"/>
    <w:rsid w:val="000B3291"/>
    <w:rsid w:val="000C0B01"/>
    <w:rsid w:val="000D3A20"/>
    <w:rsid w:val="00102BB9"/>
    <w:rsid w:val="00103EDE"/>
    <w:rsid w:val="0010477A"/>
    <w:rsid w:val="001164F7"/>
    <w:rsid w:val="001269C7"/>
    <w:rsid w:val="00126CCA"/>
    <w:rsid w:val="00127818"/>
    <w:rsid w:val="001319A1"/>
    <w:rsid w:val="0013313A"/>
    <w:rsid w:val="00136BEC"/>
    <w:rsid w:val="00145AF6"/>
    <w:rsid w:val="00150DA6"/>
    <w:rsid w:val="00151276"/>
    <w:rsid w:val="00173676"/>
    <w:rsid w:val="00175D3E"/>
    <w:rsid w:val="00182A89"/>
    <w:rsid w:val="00183AD8"/>
    <w:rsid w:val="001A1B7C"/>
    <w:rsid w:val="001C6F82"/>
    <w:rsid w:val="001D1AF2"/>
    <w:rsid w:val="001F7CE5"/>
    <w:rsid w:val="00213A00"/>
    <w:rsid w:val="00222215"/>
    <w:rsid w:val="002506EC"/>
    <w:rsid w:val="002647A4"/>
    <w:rsid w:val="00265489"/>
    <w:rsid w:val="002679D8"/>
    <w:rsid w:val="00267C13"/>
    <w:rsid w:val="002712AC"/>
    <w:rsid w:val="00290941"/>
    <w:rsid w:val="00290F5E"/>
    <w:rsid w:val="002B3F16"/>
    <w:rsid w:val="002C03D7"/>
    <w:rsid w:val="002D2661"/>
    <w:rsid w:val="002E6B75"/>
    <w:rsid w:val="002F10A5"/>
    <w:rsid w:val="002F16DE"/>
    <w:rsid w:val="003007BF"/>
    <w:rsid w:val="00305BFF"/>
    <w:rsid w:val="00306079"/>
    <w:rsid w:val="00313858"/>
    <w:rsid w:val="00315B11"/>
    <w:rsid w:val="003216FA"/>
    <w:rsid w:val="00322CAF"/>
    <w:rsid w:val="0032641E"/>
    <w:rsid w:val="00327B6B"/>
    <w:rsid w:val="00327EDE"/>
    <w:rsid w:val="003361D3"/>
    <w:rsid w:val="00347199"/>
    <w:rsid w:val="003716AF"/>
    <w:rsid w:val="0037258A"/>
    <w:rsid w:val="00391735"/>
    <w:rsid w:val="00396263"/>
    <w:rsid w:val="003A6804"/>
    <w:rsid w:val="003B0276"/>
    <w:rsid w:val="003C48A5"/>
    <w:rsid w:val="003D041D"/>
    <w:rsid w:val="004074E9"/>
    <w:rsid w:val="00421060"/>
    <w:rsid w:val="00426A4D"/>
    <w:rsid w:val="00434951"/>
    <w:rsid w:val="00440971"/>
    <w:rsid w:val="00470F6F"/>
    <w:rsid w:val="00472D4F"/>
    <w:rsid w:val="00472DD9"/>
    <w:rsid w:val="004739AB"/>
    <w:rsid w:val="00493285"/>
    <w:rsid w:val="004A0F34"/>
    <w:rsid w:val="004A539C"/>
    <w:rsid w:val="004A62CB"/>
    <w:rsid w:val="004A73B6"/>
    <w:rsid w:val="004C2591"/>
    <w:rsid w:val="004C50E8"/>
    <w:rsid w:val="004C5BC9"/>
    <w:rsid w:val="004E07D8"/>
    <w:rsid w:val="004E0CAF"/>
    <w:rsid w:val="00504BB3"/>
    <w:rsid w:val="005129A8"/>
    <w:rsid w:val="00522E4A"/>
    <w:rsid w:val="005247C5"/>
    <w:rsid w:val="00524E7E"/>
    <w:rsid w:val="00525C74"/>
    <w:rsid w:val="00527E61"/>
    <w:rsid w:val="00530CCB"/>
    <w:rsid w:val="00531E4F"/>
    <w:rsid w:val="00532691"/>
    <w:rsid w:val="0054282C"/>
    <w:rsid w:val="00567F95"/>
    <w:rsid w:val="00580AC0"/>
    <w:rsid w:val="00583D45"/>
    <w:rsid w:val="00585F19"/>
    <w:rsid w:val="00586AFA"/>
    <w:rsid w:val="005A3588"/>
    <w:rsid w:val="005A43F5"/>
    <w:rsid w:val="005A552E"/>
    <w:rsid w:val="005A59F8"/>
    <w:rsid w:val="005D5BCB"/>
    <w:rsid w:val="005E33A7"/>
    <w:rsid w:val="005F0504"/>
    <w:rsid w:val="00600784"/>
    <w:rsid w:val="006046F9"/>
    <w:rsid w:val="0060477B"/>
    <w:rsid w:val="00607F30"/>
    <w:rsid w:val="00610694"/>
    <w:rsid w:val="006662B9"/>
    <w:rsid w:val="00671E66"/>
    <w:rsid w:val="00674183"/>
    <w:rsid w:val="00684385"/>
    <w:rsid w:val="00687739"/>
    <w:rsid w:val="006908A8"/>
    <w:rsid w:val="00694445"/>
    <w:rsid w:val="006A550E"/>
    <w:rsid w:val="006A6D3C"/>
    <w:rsid w:val="006B4DFA"/>
    <w:rsid w:val="006C015D"/>
    <w:rsid w:val="006C24C5"/>
    <w:rsid w:val="006D6BE2"/>
    <w:rsid w:val="006D7349"/>
    <w:rsid w:val="006F23B2"/>
    <w:rsid w:val="00701833"/>
    <w:rsid w:val="00701926"/>
    <w:rsid w:val="00702D3A"/>
    <w:rsid w:val="00727CB3"/>
    <w:rsid w:val="00741F97"/>
    <w:rsid w:val="0075511A"/>
    <w:rsid w:val="00761CA8"/>
    <w:rsid w:val="007743B8"/>
    <w:rsid w:val="00777D01"/>
    <w:rsid w:val="0079347E"/>
    <w:rsid w:val="007A63A9"/>
    <w:rsid w:val="007C198E"/>
    <w:rsid w:val="007D0010"/>
    <w:rsid w:val="007D228A"/>
    <w:rsid w:val="007E5C22"/>
    <w:rsid w:val="0080650E"/>
    <w:rsid w:val="00813EB2"/>
    <w:rsid w:val="00815118"/>
    <w:rsid w:val="00815837"/>
    <w:rsid w:val="00821AE1"/>
    <w:rsid w:val="008326B5"/>
    <w:rsid w:val="00833CB3"/>
    <w:rsid w:val="008342D1"/>
    <w:rsid w:val="00844DC9"/>
    <w:rsid w:val="00855D85"/>
    <w:rsid w:val="008663AD"/>
    <w:rsid w:val="00873E96"/>
    <w:rsid w:val="008828A1"/>
    <w:rsid w:val="00884845"/>
    <w:rsid w:val="008930F2"/>
    <w:rsid w:val="008948DA"/>
    <w:rsid w:val="008A190B"/>
    <w:rsid w:val="008A6642"/>
    <w:rsid w:val="008C2946"/>
    <w:rsid w:val="008C7818"/>
    <w:rsid w:val="008D13F0"/>
    <w:rsid w:val="008D3155"/>
    <w:rsid w:val="008D543D"/>
    <w:rsid w:val="008F7158"/>
    <w:rsid w:val="00907C17"/>
    <w:rsid w:val="00915A8B"/>
    <w:rsid w:val="00916659"/>
    <w:rsid w:val="00923802"/>
    <w:rsid w:val="00936103"/>
    <w:rsid w:val="00954EA8"/>
    <w:rsid w:val="00961EB9"/>
    <w:rsid w:val="00975FC0"/>
    <w:rsid w:val="0098606B"/>
    <w:rsid w:val="00992009"/>
    <w:rsid w:val="00992A75"/>
    <w:rsid w:val="00994AC0"/>
    <w:rsid w:val="009A2F2F"/>
    <w:rsid w:val="009A3D85"/>
    <w:rsid w:val="009B651D"/>
    <w:rsid w:val="009C0217"/>
    <w:rsid w:val="009C2D97"/>
    <w:rsid w:val="009C3717"/>
    <w:rsid w:val="009C5D18"/>
    <w:rsid w:val="009C6244"/>
    <w:rsid w:val="009C6FEC"/>
    <w:rsid w:val="009D4C49"/>
    <w:rsid w:val="009D56AC"/>
    <w:rsid w:val="009F2150"/>
    <w:rsid w:val="009F4DD9"/>
    <w:rsid w:val="00A21372"/>
    <w:rsid w:val="00A352DD"/>
    <w:rsid w:val="00A371DF"/>
    <w:rsid w:val="00A47E45"/>
    <w:rsid w:val="00A60ED9"/>
    <w:rsid w:val="00A61192"/>
    <w:rsid w:val="00A63182"/>
    <w:rsid w:val="00A72B34"/>
    <w:rsid w:val="00A7451E"/>
    <w:rsid w:val="00A83443"/>
    <w:rsid w:val="00A94559"/>
    <w:rsid w:val="00A95ED5"/>
    <w:rsid w:val="00AA0094"/>
    <w:rsid w:val="00AA21A3"/>
    <w:rsid w:val="00AA634D"/>
    <w:rsid w:val="00AB43B6"/>
    <w:rsid w:val="00AB5EE4"/>
    <w:rsid w:val="00AB7BDC"/>
    <w:rsid w:val="00AC2684"/>
    <w:rsid w:val="00B1264A"/>
    <w:rsid w:val="00B31211"/>
    <w:rsid w:val="00B3708D"/>
    <w:rsid w:val="00B563B1"/>
    <w:rsid w:val="00B60749"/>
    <w:rsid w:val="00B6743D"/>
    <w:rsid w:val="00B72CF3"/>
    <w:rsid w:val="00B744CD"/>
    <w:rsid w:val="00B91C8D"/>
    <w:rsid w:val="00B95E2F"/>
    <w:rsid w:val="00BA1997"/>
    <w:rsid w:val="00BA1E4F"/>
    <w:rsid w:val="00BA3845"/>
    <w:rsid w:val="00BB3A57"/>
    <w:rsid w:val="00BB5584"/>
    <w:rsid w:val="00BC3B18"/>
    <w:rsid w:val="00BC6617"/>
    <w:rsid w:val="00BD4920"/>
    <w:rsid w:val="00BE044E"/>
    <w:rsid w:val="00BE259B"/>
    <w:rsid w:val="00BE6AE5"/>
    <w:rsid w:val="00BF2E59"/>
    <w:rsid w:val="00BF4FCE"/>
    <w:rsid w:val="00C05F3D"/>
    <w:rsid w:val="00C11C9E"/>
    <w:rsid w:val="00C27494"/>
    <w:rsid w:val="00C27A3A"/>
    <w:rsid w:val="00C45181"/>
    <w:rsid w:val="00C52075"/>
    <w:rsid w:val="00C672BD"/>
    <w:rsid w:val="00C67461"/>
    <w:rsid w:val="00C677C4"/>
    <w:rsid w:val="00C75EA5"/>
    <w:rsid w:val="00CA09C0"/>
    <w:rsid w:val="00CB2A2E"/>
    <w:rsid w:val="00CB4F84"/>
    <w:rsid w:val="00CD229C"/>
    <w:rsid w:val="00CE31A5"/>
    <w:rsid w:val="00CE3B75"/>
    <w:rsid w:val="00CE4A48"/>
    <w:rsid w:val="00CE4AED"/>
    <w:rsid w:val="00CE6289"/>
    <w:rsid w:val="00CF0462"/>
    <w:rsid w:val="00CF363E"/>
    <w:rsid w:val="00CF416A"/>
    <w:rsid w:val="00CF669F"/>
    <w:rsid w:val="00D06412"/>
    <w:rsid w:val="00D14142"/>
    <w:rsid w:val="00D34929"/>
    <w:rsid w:val="00D45694"/>
    <w:rsid w:val="00D508A0"/>
    <w:rsid w:val="00D5486C"/>
    <w:rsid w:val="00D55C85"/>
    <w:rsid w:val="00D615E3"/>
    <w:rsid w:val="00D72572"/>
    <w:rsid w:val="00D8505B"/>
    <w:rsid w:val="00D93F6C"/>
    <w:rsid w:val="00DA77C7"/>
    <w:rsid w:val="00DB136F"/>
    <w:rsid w:val="00DB16C9"/>
    <w:rsid w:val="00DB3546"/>
    <w:rsid w:val="00DD005B"/>
    <w:rsid w:val="00DD6E8B"/>
    <w:rsid w:val="00DE6376"/>
    <w:rsid w:val="00E029BE"/>
    <w:rsid w:val="00E059A1"/>
    <w:rsid w:val="00E10512"/>
    <w:rsid w:val="00E226E5"/>
    <w:rsid w:val="00E24B48"/>
    <w:rsid w:val="00E30D1E"/>
    <w:rsid w:val="00E30D26"/>
    <w:rsid w:val="00E426E2"/>
    <w:rsid w:val="00E5210A"/>
    <w:rsid w:val="00E56EBF"/>
    <w:rsid w:val="00E7280F"/>
    <w:rsid w:val="00E77E88"/>
    <w:rsid w:val="00E96B99"/>
    <w:rsid w:val="00EA2FCA"/>
    <w:rsid w:val="00EA7624"/>
    <w:rsid w:val="00EE0DF4"/>
    <w:rsid w:val="00F11FEB"/>
    <w:rsid w:val="00F20F12"/>
    <w:rsid w:val="00F521DA"/>
    <w:rsid w:val="00F5289D"/>
    <w:rsid w:val="00F60F08"/>
    <w:rsid w:val="00F66132"/>
    <w:rsid w:val="00F66AC8"/>
    <w:rsid w:val="00F738FE"/>
    <w:rsid w:val="00F77239"/>
    <w:rsid w:val="00F77624"/>
    <w:rsid w:val="00F823BB"/>
    <w:rsid w:val="00F91800"/>
    <w:rsid w:val="00F93495"/>
    <w:rsid w:val="00F94832"/>
    <w:rsid w:val="00FB39A0"/>
    <w:rsid w:val="00FB5110"/>
    <w:rsid w:val="00FF31BA"/>
    <w:rsid w:val="018FE636"/>
    <w:rsid w:val="09693ABE"/>
    <w:rsid w:val="09A68F86"/>
    <w:rsid w:val="177C34A2"/>
    <w:rsid w:val="1891F3A4"/>
    <w:rsid w:val="1B1B6305"/>
    <w:rsid w:val="1C934FBD"/>
    <w:rsid w:val="1F0C6972"/>
    <w:rsid w:val="1FEA6FD4"/>
    <w:rsid w:val="2789D2C6"/>
    <w:rsid w:val="2D6E6F3F"/>
    <w:rsid w:val="428CFC04"/>
    <w:rsid w:val="461D2177"/>
    <w:rsid w:val="52F07314"/>
    <w:rsid w:val="536D712D"/>
    <w:rsid w:val="59DA7BB7"/>
    <w:rsid w:val="5E55F26F"/>
    <w:rsid w:val="600ECF19"/>
    <w:rsid w:val="61732803"/>
    <w:rsid w:val="64E59D84"/>
    <w:rsid w:val="729A9E17"/>
    <w:rsid w:val="7408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C4AF"/>
  <w15:chartTrackingRefBased/>
  <w15:docId w15:val="{B5A83246-6F53-499D-A9DC-E10ADD15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25"/>
  </w:style>
  <w:style w:type="paragraph" w:styleId="Heading1">
    <w:name w:val="heading 1"/>
    <w:basedOn w:val="Normal"/>
    <w:next w:val="Normal"/>
    <w:link w:val="Heading1Char"/>
    <w:uiPriority w:val="9"/>
    <w:qFormat/>
    <w:rsid w:val="0025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EC"/>
  </w:style>
  <w:style w:type="paragraph" w:styleId="Header">
    <w:name w:val="header"/>
    <w:basedOn w:val="Normal"/>
    <w:link w:val="HeaderChar"/>
    <w:uiPriority w:val="99"/>
    <w:unhideWhenUsed/>
    <w:rsid w:val="002B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16"/>
  </w:style>
  <w:style w:type="paragraph" w:styleId="Revision">
    <w:name w:val="Revision"/>
    <w:hidden/>
    <w:uiPriority w:val="99"/>
    <w:semiHidden/>
    <w:rsid w:val="00961EB9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A72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2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3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269C7"/>
  </w:style>
  <w:style w:type="character" w:styleId="Hyperlink">
    <w:name w:val="Hyperlink"/>
    <w:unhideWhenUsed/>
    <w:rsid w:val="00873E96"/>
    <w:rPr>
      <w:color w:val="0000FF"/>
      <w:u w:val="single"/>
    </w:rPr>
  </w:style>
  <w:style w:type="paragraph" w:customStyle="1" w:styleId="Endofdocument">
    <w:name w:val="End of document"/>
    <w:basedOn w:val="Normal"/>
    <w:rsid w:val="00727CB3"/>
    <w:pPr>
      <w:spacing w:after="0" w:line="240" w:lineRule="auto"/>
      <w:ind w:left="5534"/>
    </w:pPr>
    <w:rPr>
      <w:rFonts w:ascii="Arial" w:eastAsia="SimSun" w:hAnsi="Arial" w:cs="Arial"/>
      <w:kern w:val="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70" ma:contentTypeDescription="" ma:contentTypeScope="" ma:versionID="41f227426a3d4b4ef8b76c89293dd0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978197228487a963ad1cef71805b45b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ICSDBFP-360348501-19989</_dlc_DocId>
    <_dlc_DocIdUrl xmlns="ec94eb93-2160-433d-bc9d-10bdc50beb83">
      <Url>https://wipoprod.sharepoint.com/sites/SPS-INT-BFP-ICSD-CWS/_layouts/15/DocIdRedir.aspx?ID=ICSDBFP-360348501-19989</Url>
      <Description>ICSDBFP-360348501-19989</Description>
    </_dlc_DocIdUrl>
  </documentManagement>
</p:properties>
</file>

<file path=customXml/itemProps1.xml><?xml version="1.0" encoding="utf-8"?>
<ds:datastoreItem xmlns:ds="http://schemas.openxmlformats.org/officeDocument/2006/customXml" ds:itemID="{806850D8-4840-4772-B8D3-D0007128E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78F4-B804-4520-AB9F-6A98BEA61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40729-AC05-4E73-9077-E94EC33599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D04241-6BE4-4F8E-806E-027D5148E8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48F357-5492-4AFA-BDA6-AE8238B801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F7FD8FD-2BD2-4A7A-A8C0-79250C8D73A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CWS/13/31 Rev. 2 Annex II (English)</vt:lpstr>
    </vt:vector>
  </TitlesOfParts>
  <Company>WIPO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CWS/13/31 Rev. 2 Annex II (English)</dc:title>
  <dc:subject>CWS Work Program</dc:subject>
  <dc:creator>WIPO</dc:creator>
  <cp:keywords>WIPO CWS Thirteenth Session, CWS Work Program, Task List, Annex</cp:keywords>
  <dc:description/>
  <cp:lastModifiedBy>EMMETT Claudia</cp:lastModifiedBy>
  <cp:revision>120</cp:revision>
  <cp:lastPrinted>2025-10-31T15:14:00Z</cp:lastPrinted>
  <dcterms:created xsi:type="dcterms:W3CDTF">2024-09-16T07:07:00Z</dcterms:created>
  <dcterms:modified xsi:type="dcterms:W3CDTF">2025-10-31T15:14:00Z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2024-09-16T15:50:05Z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cee3da37-1b7d-4ce0-8882-0d79036de2b1</vt:lpwstr>
  </property>
  <property fmtid="{D5CDD505-2E9C-101B-9397-08002B2CF9AE}" pid="8" name="MSIP_Label_20773ee6-353b-4fb9-a59d-0b94c8c67bea_ContentBits">
    <vt:lpwstr>0</vt:lpwstr>
  </property>
  <property fmtid="{D5CDD505-2E9C-101B-9397-08002B2CF9AE}" pid="9" name="ContentTypeId">
    <vt:lpwstr>0x01010043A0F979BE30A3469F998CB749C11FBD00E3EF1C0FCFA26B4087379DC2A12DE885</vt:lpwstr>
  </property>
  <property fmtid="{D5CDD505-2E9C-101B-9397-08002B2CF9AE}" pid="10" name="BusinessUnit">
    <vt:lpwstr>4;#International Classifications and Standards Division|1bda9d19-f2c0-4f24-b9f1-c91ec6b8f041</vt:lpwstr>
  </property>
  <property fmtid="{D5CDD505-2E9C-101B-9397-08002B2CF9AE}" pid="11" name="MediaServiceImageTags">
    <vt:lpwstr/>
  </property>
  <property fmtid="{D5CDD505-2E9C-101B-9397-08002B2CF9AE}" pid="12" name="m4535404f5974080b635c68c1acaf1ab">
    <vt:lpwstr/>
  </property>
  <property fmtid="{D5CDD505-2E9C-101B-9397-08002B2CF9AE}" pid="13" name="RMClassification">
    <vt:lpwstr>5;#05 Committee Files|55687a62-9585-44b6-9628-3304e4ff88e9</vt:lpwstr>
  </property>
  <property fmtid="{D5CDD505-2E9C-101B-9397-08002B2CF9AE}" pid="14" name="lcf76f155ced4ddcb4097134ff3c332f">
    <vt:lpwstr/>
  </property>
  <property fmtid="{D5CDD505-2E9C-101B-9397-08002B2CF9AE}" pid="15" name="Body1">
    <vt:lpwstr>3;#Committee on WIPO Standards|505ec630-c8e5-4e30-8a4a-e8d9be6ccbb1</vt:lpwstr>
  </property>
  <property fmtid="{D5CDD505-2E9C-101B-9397-08002B2CF9AE}" pid="16" name="ECCM_Year">
    <vt:lpwstr/>
  </property>
  <property fmtid="{D5CDD505-2E9C-101B-9397-08002B2CF9AE}" pid="17" name="k5f91d7f67f54ee29b509143279df90f">
    <vt:lpwstr/>
  </property>
  <property fmtid="{D5CDD505-2E9C-101B-9397-08002B2CF9AE}" pid="18" name="IPTopics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gbd88f87496145e58da10973a57b07b8">
    <vt:lpwstr>Committee on WIPO Standards|505ec630-c8e5-4e30-8a4a-e8d9be6ccbb1</vt:lpwstr>
  </property>
  <property fmtid="{D5CDD505-2E9C-101B-9397-08002B2CF9AE}" pid="21" name="_dlc_DocIdItemGuid">
    <vt:lpwstr>d162afd9-7fc4-454a-93db-ed135e36a159</vt:lpwstr>
  </property>
  <property fmtid="{D5CDD505-2E9C-101B-9397-08002B2CF9AE}" pid="22" name="docLang">
    <vt:lpwstr>en</vt:lpwstr>
  </property>
</Properties>
</file>