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84806" w14:textId="77777777" w:rsidR="002F52CA" w:rsidRDefault="00F92742">
      <w:pPr>
        <w:pStyle w:val="BodyText"/>
        <w:ind w:left="46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3BCC49" wp14:editId="7318DB1E">
            <wp:extent cx="3046841" cy="1272540"/>
            <wp:effectExtent l="0" t="0" r="0" b="0"/>
            <wp:docPr id="1" name="Image 1" descr="English Language The upward curving lines of the World Intellectual Property Organization’s logo evoke human progress driven by innovation and creativit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nglish Language The upward curving lines of the World Intellectual Property Organization’s logo evoke human progress driven by innovation and creativity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841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07DD" w14:textId="77777777" w:rsidR="002F52CA" w:rsidRDefault="00F92742">
      <w:pPr>
        <w:pStyle w:val="BodyText"/>
        <w:spacing w:before="6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AFC7F" wp14:editId="23D54B83">
                <wp:simplePos x="0" y="0"/>
                <wp:positionH relativeFrom="page">
                  <wp:posOffset>900430</wp:posOffset>
                </wp:positionH>
                <wp:positionV relativeFrom="paragraph">
                  <wp:posOffset>121285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59359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A886" id="Graphic 2" o:spid="_x0000_s1026" style="position:absolute;margin-left:70.9pt;margin-top:9.5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" path="m5935980,l,e" filled="f">
                <v:path arrowok="t"/>
                <w10:wrap type="topAndBottom" anchorx="page"/>
              </v:shape>
            </w:pict>
          </mc:Fallback>
        </mc:AlternateContent>
      </w:r>
    </w:p>
    <w:p w14:paraId="4F3A8286" w14:textId="7927EEAB" w:rsidR="002F52CA" w:rsidRDefault="00F92742">
      <w:pPr>
        <w:spacing w:before="142"/>
        <w:ind w:left="7458" w:right="111" w:firstLine="1257"/>
        <w:jc w:val="right"/>
        <w:rPr>
          <w:rFonts w:ascii="Arial Black"/>
          <w:sz w:val="15"/>
        </w:rPr>
      </w:pPr>
      <w:r>
        <w:rPr>
          <w:rFonts w:ascii="Arial Black"/>
          <w:spacing w:val="-2"/>
          <w:sz w:val="15"/>
        </w:rPr>
        <w:t>CWS/1</w:t>
      </w:r>
      <w:r w:rsidR="00136390">
        <w:rPr>
          <w:rFonts w:ascii="Arial Black"/>
          <w:spacing w:val="-2"/>
          <w:sz w:val="15"/>
        </w:rPr>
        <w:t>2</w:t>
      </w:r>
      <w:r>
        <w:rPr>
          <w:rFonts w:ascii="Arial Black"/>
          <w:spacing w:val="-2"/>
          <w:sz w:val="15"/>
        </w:rPr>
        <w:t>/</w:t>
      </w:r>
      <w:r w:rsidR="00136390">
        <w:rPr>
          <w:rFonts w:ascii="Arial Black"/>
          <w:spacing w:val="-2"/>
          <w:sz w:val="15"/>
        </w:rPr>
        <w:t>5</w:t>
      </w:r>
      <w:r>
        <w:rPr>
          <w:rFonts w:ascii="Arial Black"/>
          <w:spacing w:val="-2"/>
          <w:sz w:val="15"/>
        </w:rPr>
        <w:t xml:space="preserve"> </w:t>
      </w:r>
      <w:r>
        <w:rPr>
          <w:rFonts w:ascii="Arial Black"/>
          <w:sz w:val="15"/>
        </w:rPr>
        <w:t>ORIGINAL: ENGLISH DATE:</w:t>
      </w:r>
      <w:r>
        <w:rPr>
          <w:rFonts w:ascii="Arial Black"/>
          <w:spacing w:val="-3"/>
          <w:sz w:val="15"/>
        </w:rPr>
        <w:t xml:space="preserve"> </w:t>
      </w:r>
      <w:r w:rsidR="00136390">
        <w:rPr>
          <w:rFonts w:ascii="Arial Black"/>
          <w:sz w:val="15"/>
        </w:rPr>
        <w:t>AUGUST</w:t>
      </w:r>
      <w:r>
        <w:rPr>
          <w:rFonts w:ascii="Arial Black"/>
          <w:spacing w:val="-2"/>
          <w:sz w:val="15"/>
        </w:rPr>
        <w:t xml:space="preserve"> </w:t>
      </w:r>
      <w:r w:rsidR="00246B43">
        <w:rPr>
          <w:rFonts w:ascii="Arial Black"/>
          <w:spacing w:val="-2"/>
          <w:sz w:val="15"/>
        </w:rPr>
        <w:t>15</w:t>
      </w:r>
      <w:r>
        <w:rPr>
          <w:rFonts w:ascii="Arial Black"/>
          <w:sz w:val="15"/>
        </w:rPr>
        <w:t>,</w:t>
      </w:r>
      <w:r>
        <w:rPr>
          <w:rFonts w:ascii="Arial Black"/>
          <w:spacing w:val="-2"/>
          <w:sz w:val="15"/>
        </w:rPr>
        <w:t xml:space="preserve"> </w:t>
      </w:r>
      <w:r>
        <w:rPr>
          <w:rFonts w:ascii="Arial Black"/>
          <w:spacing w:val="-4"/>
          <w:sz w:val="15"/>
        </w:rPr>
        <w:t>202</w:t>
      </w:r>
      <w:r w:rsidR="00136390">
        <w:rPr>
          <w:rFonts w:ascii="Arial Black"/>
          <w:spacing w:val="-4"/>
          <w:sz w:val="15"/>
        </w:rPr>
        <w:t>4</w:t>
      </w:r>
    </w:p>
    <w:p w14:paraId="12AE3556" w14:textId="77777777" w:rsidR="002F52CA" w:rsidRDefault="002F52CA">
      <w:pPr>
        <w:pStyle w:val="BodyText"/>
        <w:rPr>
          <w:rFonts w:ascii="Arial Black"/>
          <w:sz w:val="20"/>
        </w:rPr>
      </w:pPr>
    </w:p>
    <w:p w14:paraId="4040D1E0" w14:textId="77777777" w:rsidR="002F52CA" w:rsidRDefault="002F52CA">
      <w:pPr>
        <w:pStyle w:val="BodyText"/>
        <w:rPr>
          <w:rFonts w:ascii="Arial Black"/>
          <w:sz w:val="20"/>
        </w:rPr>
      </w:pPr>
    </w:p>
    <w:p w14:paraId="11C0499B" w14:textId="77777777" w:rsidR="002F52CA" w:rsidRDefault="002F52CA">
      <w:pPr>
        <w:pStyle w:val="BodyText"/>
        <w:rPr>
          <w:rFonts w:ascii="Arial Black"/>
          <w:sz w:val="20"/>
        </w:rPr>
      </w:pPr>
    </w:p>
    <w:p w14:paraId="18D480E0" w14:textId="77777777" w:rsidR="002F52CA" w:rsidRDefault="002F52CA">
      <w:pPr>
        <w:pStyle w:val="BodyText"/>
        <w:spacing w:before="9"/>
        <w:rPr>
          <w:rFonts w:ascii="Arial Black"/>
          <w:sz w:val="18"/>
        </w:rPr>
      </w:pPr>
    </w:p>
    <w:p w14:paraId="2B60C261" w14:textId="77777777" w:rsidR="002F52CA" w:rsidRDefault="00F92742">
      <w:pPr>
        <w:pStyle w:val="Title"/>
      </w:pPr>
      <w:r>
        <w:t>Committee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WIPO</w:t>
      </w:r>
      <w:r>
        <w:rPr>
          <w:spacing w:val="-10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rPr>
          <w:spacing w:val="-2"/>
        </w:rPr>
        <w:t>(CWS)</w:t>
      </w:r>
    </w:p>
    <w:p w14:paraId="3A0DD523" w14:textId="77777777" w:rsidR="002F52CA" w:rsidRDefault="002F52CA">
      <w:pPr>
        <w:pStyle w:val="BodyText"/>
        <w:rPr>
          <w:b/>
          <w:sz w:val="30"/>
        </w:rPr>
      </w:pPr>
    </w:p>
    <w:p w14:paraId="3FB667A5" w14:textId="209610A8" w:rsidR="002F52CA" w:rsidRDefault="00102E1B">
      <w:pPr>
        <w:spacing w:before="255"/>
        <w:ind w:left="118"/>
        <w:rPr>
          <w:b/>
          <w:sz w:val="24"/>
        </w:rPr>
      </w:pPr>
      <w:r>
        <w:rPr>
          <w:b/>
          <w:sz w:val="24"/>
        </w:rPr>
        <w:t>Twelfth</w:t>
      </w:r>
      <w:r w:rsidR="00F92742">
        <w:rPr>
          <w:b/>
          <w:spacing w:val="-1"/>
          <w:sz w:val="24"/>
        </w:rPr>
        <w:t xml:space="preserve"> </w:t>
      </w:r>
      <w:r w:rsidR="00F92742">
        <w:rPr>
          <w:b/>
          <w:spacing w:val="-2"/>
          <w:sz w:val="24"/>
        </w:rPr>
        <w:t>Session</w:t>
      </w:r>
    </w:p>
    <w:p w14:paraId="677FAAE9" w14:textId="680660D1" w:rsidR="002F52CA" w:rsidRPr="00AE7192" w:rsidRDefault="00F92742" w:rsidP="00AE7192">
      <w:pPr>
        <w:spacing w:after="720"/>
        <w:ind w:left="119"/>
        <w:rPr>
          <w:b/>
          <w:sz w:val="26"/>
        </w:rPr>
      </w:pPr>
      <w:r>
        <w:rPr>
          <w:b/>
          <w:sz w:val="24"/>
        </w:rPr>
        <w:t>Geneva,</w:t>
      </w:r>
      <w:r>
        <w:rPr>
          <w:b/>
          <w:spacing w:val="-1"/>
          <w:sz w:val="24"/>
        </w:rPr>
        <w:t xml:space="preserve"> </w:t>
      </w:r>
      <w:r w:rsidR="00136390">
        <w:rPr>
          <w:b/>
          <w:sz w:val="24"/>
        </w:rPr>
        <w:t>September</w:t>
      </w:r>
      <w:r>
        <w:rPr>
          <w:b/>
          <w:spacing w:val="-1"/>
          <w:sz w:val="24"/>
        </w:rPr>
        <w:t xml:space="preserve"> </w:t>
      </w:r>
      <w:r w:rsidR="00136390">
        <w:rPr>
          <w:b/>
          <w:spacing w:val="-1"/>
          <w:sz w:val="24"/>
        </w:rPr>
        <w:t>16</w:t>
      </w:r>
      <w:r>
        <w:rPr>
          <w:b/>
          <w:sz w:val="24"/>
        </w:rPr>
        <w:t xml:space="preserve"> to </w:t>
      </w:r>
      <w:r w:rsidR="00136390">
        <w:rPr>
          <w:b/>
          <w:sz w:val="24"/>
        </w:rPr>
        <w:t>19</w:t>
      </w:r>
      <w:r>
        <w:rPr>
          <w:b/>
          <w:sz w:val="24"/>
        </w:rPr>
        <w:t xml:space="preserve">, </w:t>
      </w:r>
      <w:r>
        <w:rPr>
          <w:b/>
          <w:spacing w:val="-4"/>
          <w:sz w:val="24"/>
        </w:rPr>
        <w:t>202</w:t>
      </w:r>
      <w:r w:rsidR="00136390">
        <w:rPr>
          <w:b/>
          <w:spacing w:val="-4"/>
          <w:sz w:val="24"/>
        </w:rPr>
        <w:t>4</w:t>
      </w:r>
    </w:p>
    <w:p w14:paraId="27CC9C70" w14:textId="652AA4BE" w:rsidR="002F52CA" w:rsidRDefault="00F92742">
      <w:pPr>
        <w:spacing w:before="1"/>
        <w:ind w:left="118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 w:rsidR="0027648B">
        <w:rPr>
          <w:spacing w:val="-2"/>
          <w:sz w:val="24"/>
        </w:rPr>
        <w:t xml:space="preserve">ON TASK NO. 44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SEQUENCE</w:t>
      </w:r>
      <w:r>
        <w:rPr>
          <w:spacing w:val="-2"/>
          <w:sz w:val="24"/>
        </w:rPr>
        <w:t xml:space="preserve"> </w:t>
      </w:r>
      <w:r>
        <w:rPr>
          <w:sz w:val="24"/>
        </w:rPr>
        <w:t>LISTINGS</w:t>
      </w:r>
      <w:r>
        <w:rPr>
          <w:spacing w:val="-1"/>
          <w:sz w:val="24"/>
        </w:rPr>
        <w:t xml:space="preserve"> </w:t>
      </w:r>
      <w:r>
        <w:rPr>
          <w:sz w:val="24"/>
        </w:rPr>
        <w:t>TASK</w:t>
      </w:r>
      <w:r>
        <w:rPr>
          <w:spacing w:val="-2"/>
          <w:sz w:val="24"/>
        </w:rPr>
        <w:t xml:space="preserve"> FORCE</w:t>
      </w:r>
    </w:p>
    <w:p w14:paraId="6F9A4ED3" w14:textId="77777777" w:rsidR="002F52CA" w:rsidRDefault="002F52CA">
      <w:pPr>
        <w:pStyle w:val="BodyText"/>
        <w:spacing w:before="5"/>
        <w:rPr>
          <w:sz w:val="31"/>
        </w:rPr>
      </w:pPr>
    </w:p>
    <w:p w14:paraId="0DCEE233" w14:textId="0FB926AA" w:rsidR="002F52CA" w:rsidRDefault="00F92742">
      <w:pPr>
        <w:ind w:left="118"/>
        <w:rPr>
          <w:i/>
        </w:rPr>
      </w:pPr>
      <w:r>
        <w:rPr>
          <w:i/>
        </w:rPr>
        <w:t>Document</w:t>
      </w:r>
      <w:r>
        <w:rPr>
          <w:i/>
          <w:spacing w:val="-7"/>
        </w:rPr>
        <w:t xml:space="preserve"> </w:t>
      </w:r>
      <w:r>
        <w:rPr>
          <w:i/>
        </w:rPr>
        <w:t>prepared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 w:rsidR="0027648B">
        <w:rPr>
          <w:i/>
          <w:spacing w:val="-7"/>
        </w:rPr>
        <w:t xml:space="preserve">Sequence Listings </w:t>
      </w:r>
      <w:r>
        <w:rPr>
          <w:i/>
        </w:rPr>
        <w:t>Task</w:t>
      </w:r>
      <w:r>
        <w:rPr>
          <w:i/>
          <w:spacing w:val="-6"/>
        </w:rPr>
        <w:t xml:space="preserve"> </w:t>
      </w:r>
      <w:r>
        <w:rPr>
          <w:i/>
        </w:rPr>
        <w:t>Force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Leader</w:t>
      </w:r>
    </w:p>
    <w:p w14:paraId="54C88795" w14:textId="77777777" w:rsidR="002F52CA" w:rsidRDefault="002F52CA">
      <w:pPr>
        <w:pStyle w:val="BodyText"/>
        <w:rPr>
          <w:i/>
          <w:sz w:val="24"/>
        </w:rPr>
      </w:pPr>
    </w:p>
    <w:p w14:paraId="2C063CCA" w14:textId="77777777" w:rsidR="002F52CA" w:rsidRDefault="002F52CA">
      <w:pPr>
        <w:pStyle w:val="BodyText"/>
        <w:rPr>
          <w:i/>
          <w:sz w:val="24"/>
        </w:rPr>
      </w:pPr>
    </w:p>
    <w:p w14:paraId="0656ED2C" w14:textId="77777777" w:rsidR="002F52CA" w:rsidRDefault="002F52CA">
      <w:pPr>
        <w:pStyle w:val="BodyText"/>
        <w:spacing w:before="5"/>
        <w:rPr>
          <w:i/>
          <w:sz w:val="35"/>
        </w:rPr>
      </w:pPr>
    </w:p>
    <w:p w14:paraId="34A3A43C" w14:textId="7E641A05" w:rsidR="0022013D" w:rsidRDefault="0022013D" w:rsidP="00682CEF">
      <w:pPr>
        <w:pStyle w:val="Heading1"/>
        <w:spacing w:after="240"/>
        <w:rPr>
          <w:spacing w:val="-2"/>
        </w:rPr>
      </w:pPr>
      <w:r>
        <w:rPr>
          <w:spacing w:val="-2"/>
        </w:rPr>
        <w:t>SUMMARY</w:t>
      </w:r>
    </w:p>
    <w:p w14:paraId="03E0B55C" w14:textId="658EE057" w:rsidR="0022013D" w:rsidRDefault="0022013D" w:rsidP="0022013D">
      <w:pPr>
        <w:pStyle w:val="EPONormal"/>
        <w:spacing w:after="240"/>
        <w:ind w:left="90"/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document provides a summary of the progress made by the Sequence Listings Task Force since the last session of the Committee on WIPO Standards (CWS). </w:t>
      </w:r>
      <w:r w:rsidR="00F42F1C">
        <w:t xml:space="preserve"> There is no revision planned for WIPO Standard ST.26 at this session.  </w:t>
      </w:r>
      <w:r>
        <w:t xml:space="preserve"> </w:t>
      </w:r>
    </w:p>
    <w:p w14:paraId="4FD57804" w14:textId="08475C11" w:rsidR="002F52CA" w:rsidRDefault="00F92742" w:rsidP="00682CEF">
      <w:pPr>
        <w:pStyle w:val="Heading1"/>
        <w:spacing w:after="240"/>
      </w:pPr>
      <w:r>
        <w:rPr>
          <w:spacing w:val="-2"/>
        </w:rPr>
        <w:t>BACKGROUND</w:t>
      </w:r>
    </w:p>
    <w:p w14:paraId="2256D39B" w14:textId="57EE1948" w:rsidR="00136390" w:rsidRDefault="0022013D" w:rsidP="00D9405E">
      <w:pPr>
        <w:pStyle w:val="ListParagraph"/>
        <w:tabs>
          <w:tab w:val="left" w:pos="685"/>
        </w:tabs>
        <w:ind w:left="115" w:right="22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92742">
        <w:t>The Sequence Listings Task Force was created by the CWS,</w:t>
      </w:r>
      <w:r w:rsidR="00F92742" w:rsidRPr="00136390">
        <w:rPr>
          <w:spacing w:val="-3"/>
        </w:rPr>
        <w:t xml:space="preserve"> </w:t>
      </w:r>
      <w:r w:rsidR="00F92742">
        <w:t>at</w:t>
      </w:r>
      <w:r w:rsidR="00F92742" w:rsidRPr="00136390">
        <w:rPr>
          <w:spacing w:val="-3"/>
        </w:rPr>
        <w:t xml:space="preserve"> </w:t>
      </w:r>
      <w:r w:rsidR="00F92742">
        <w:t>its</w:t>
      </w:r>
      <w:r w:rsidR="00F92742" w:rsidRPr="00136390">
        <w:rPr>
          <w:spacing w:val="-2"/>
        </w:rPr>
        <w:t xml:space="preserve"> </w:t>
      </w:r>
      <w:r w:rsidR="00F92742">
        <w:t>first</w:t>
      </w:r>
      <w:r w:rsidR="00F92742" w:rsidRPr="00136390">
        <w:rPr>
          <w:spacing w:val="-3"/>
        </w:rPr>
        <w:t xml:space="preserve"> </w:t>
      </w:r>
      <w:r w:rsidR="00F92742">
        <w:t>session</w:t>
      </w:r>
      <w:r w:rsidR="00F92742" w:rsidRPr="00136390">
        <w:rPr>
          <w:spacing w:val="-3"/>
        </w:rPr>
        <w:t xml:space="preserve"> </w:t>
      </w:r>
      <w:r w:rsidR="00F92742">
        <w:t>(October</w:t>
      </w:r>
      <w:r w:rsidR="00F92742" w:rsidRPr="00136390">
        <w:rPr>
          <w:spacing w:val="-3"/>
        </w:rPr>
        <w:t xml:space="preserve"> </w:t>
      </w:r>
      <w:r w:rsidR="00F92742">
        <w:t>25</w:t>
      </w:r>
      <w:r w:rsidR="00F92742" w:rsidRPr="00136390">
        <w:rPr>
          <w:spacing w:val="-3"/>
        </w:rPr>
        <w:t xml:space="preserve"> </w:t>
      </w:r>
      <w:r w:rsidR="00F92742">
        <w:t>to</w:t>
      </w:r>
      <w:r w:rsidR="00F92742" w:rsidRPr="00136390">
        <w:rPr>
          <w:spacing w:val="-2"/>
        </w:rPr>
        <w:t xml:space="preserve"> </w:t>
      </w:r>
      <w:r w:rsidR="00F92742">
        <w:t>29,</w:t>
      </w:r>
      <w:r w:rsidR="00F92742" w:rsidRPr="00136390">
        <w:rPr>
          <w:spacing w:val="-3"/>
        </w:rPr>
        <w:t xml:space="preserve"> </w:t>
      </w:r>
      <w:r w:rsidR="00F92742">
        <w:t>2010),</w:t>
      </w:r>
      <w:r w:rsidR="00F92742" w:rsidRPr="00136390">
        <w:rPr>
          <w:spacing w:val="-2"/>
        </w:rPr>
        <w:t xml:space="preserve"> </w:t>
      </w:r>
      <w:r w:rsidR="00F92742">
        <w:t>to</w:t>
      </w:r>
      <w:r w:rsidR="00F92742" w:rsidRPr="00136390">
        <w:rPr>
          <w:spacing w:val="-3"/>
        </w:rPr>
        <w:t xml:space="preserve"> </w:t>
      </w:r>
      <w:r>
        <w:t>perform</w:t>
      </w:r>
      <w:r w:rsidR="00F92742" w:rsidRPr="00136390">
        <w:rPr>
          <w:spacing w:val="-2"/>
        </w:rPr>
        <w:t xml:space="preserve"> </w:t>
      </w:r>
      <w:r w:rsidR="00F92742">
        <w:t>Task</w:t>
      </w:r>
      <w:r w:rsidR="00F92742" w:rsidRPr="00136390">
        <w:rPr>
          <w:spacing w:val="-2"/>
        </w:rPr>
        <w:t xml:space="preserve"> </w:t>
      </w:r>
      <w:r w:rsidR="00F92742">
        <w:t>No.</w:t>
      </w:r>
      <w:r w:rsidR="00F92742" w:rsidRPr="00136390">
        <w:rPr>
          <w:spacing w:val="-3"/>
        </w:rPr>
        <w:t xml:space="preserve"> </w:t>
      </w:r>
      <w:r w:rsidR="00F92742">
        <w:t xml:space="preserve">44, </w:t>
      </w:r>
      <w:r w:rsidR="00136390">
        <w:t>namely to p</w:t>
      </w:r>
      <w:r w:rsidR="00F92742">
        <w:t xml:space="preserve">repare a recommendation on the presentation of nucleotide and amino acid sequence listings based on eXtensible Markup Language (XML) for adoption as a WIPO standard. </w:t>
      </w:r>
      <w:r w:rsidR="00136390">
        <w:t>The EPO was assigned the role of Task Force Leader.</w:t>
      </w:r>
      <w:r w:rsidR="00D9405E">
        <w:t xml:space="preserve">  </w:t>
      </w:r>
      <w:r w:rsidR="00F92742">
        <w:t>The</w:t>
      </w:r>
      <w:r w:rsidR="00F92742" w:rsidRPr="00D9405E">
        <w:rPr>
          <w:spacing w:val="-6"/>
        </w:rPr>
        <w:t xml:space="preserve"> </w:t>
      </w:r>
      <w:r w:rsidR="00F92742">
        <w:t>Task</w:t>
      </w:r>
      <w:r w:rsidR="00F92742" w:rsidRPr="00D9405E">
        <w:rPr>
          <w:spacing w:val="-6"/>
        </w:rPr>
        <w:t xml:space="preserve"> </w:t>
      </w:r>
      <w:r w:rsidR="00F92742">
        <w:t>Force</w:t>
      </w:r>
      <w:r w:rsidR="00F92742" w:rsidRPr="00D9405E">
        <w:rPr>
          <w:spacing w:val="-6"/>
        </w:rPr>
        <w:t xml:space="preserve"> </w:t>
      </w:r>
      <w:r w:rsidR="00F92742">
        <w:t>was</w:t>
      </w:r>
      <w:r w:rsidR="00F92742" w:rsidRPr="00D9405E">
        <w:rPr>
          <w:spacing w:val="-6"/>
        </w:rPr>
        <w:t xml:space="preserve"> </w:t>
      </w:r>
      <w:r w:rsidR="00F92742">
        <w:t>also</w:t>
      </w:r>
      <w:r w:rsidR="00F92742" w:rsidRPr="00D9405E">
        <w:rPr>
          <w:spacing w:val="-7"/>
        </w:rPr>
        <w:t xml:space="preserve"> </w:t>
      </w:r>
      <w:r w:rsidR="00F92742" w:rsidRPr="00D9405E">
        <w:rPr>
          <w:spacing w:val="-2"/>
        </w:rPr>
        <w:t>requested</w:t>
      </w:r>
      <w:r w:rsidR="00136390" w:rsidRPr="00D9405E">
        <w:rPr>
          <w:spacing w:val="-2"/>
        </w:rPr>
        <w:t xml:space="preserve"> </w:t>
      </w:r>
      <w:r w:rsidRPr="00D9405E">
        <w:rPr>
          <w:spacing w:val="-2"/>
        </w:rPr>
        <w:t>t</w:t>
      </w:r>
      <w:r w:rsidR="00F92742">
        <w:t>o</w:t>
      </w:r>
      <w:r w:rsidR="00F92742" w:rsidRPr="00D9405E">
        <w:rPr>
          <w:spacing w:val="-3"/>
        </w:rPr>
        <w:t xml:space="preserve"> </w:t>
      </w:r>
      <w:r w:rsidR="00F92742">
        <w:t>liaise</w:t>
      </w:r>
      <w:r w:rsidR="00F92742" w:rsidRPr="00D9405E">
        <w:rPr>
          <w:spacing w:val="-3"/>
        </w:rPr>
        <w:t xml:space="preserve"> </w:t>
      </w:r>
      <w:r w:rsidR="00F92742">
        <w:t>with</w:t>
      </w:r>
      <w:r w:rsidR="00F92742" w:rsidRPr="00D9405E">
        <w:rPr>
          <w:spacing w:val="-4"/>
        </w:rPr>
        <w:t xml:space="preserve"> </w:t>
      </w:r>
      <w:r w:rsidR="00F92742">
        <w:t>the</w:t>
      </w:r>
      <w:r w:rsidR="00F92742" w:rsidRPr="00D9405E">
        <w:rPr>
          <w:spacing w:val="-3"/>
        </w:rPr>
        <w:t xml:space="preserve"> </w:t>
      </w:r>
      <w:r w:rsidR="00F92742">
        <w:t>appropriate</w:t>
      </w:r>
      <w:r w:rsidR="00F92742" w:rsidRPr="00D9405E">
        <w:rPr>
          <w:spacing w:val="-4"/>
        </w:rPr>
        <w:t xml:space="preserve"> </w:t>
      </w:r>
      <w:r w:rsidR="00F92742">
        <w:t>PCT</w:t>
      </w:r>
      <w:r w:rsidR="00F92742" w:rsidRPr="00D9405E">
        <w:rPr>
          <w:spacing w:val="-3"/>
        </w:rPr>
        <w:t xml:space="preserve"> </w:t>
      </w:r>
      <w:r w:rsidR="00F92742">
        <w:t>body</w:t>
      </w:r>
      <w:r w:rsidR="00F92742" w:rsidRPr="00D9405E">
        <w:rPr>
          <w:spacing w:val="-4"/>
        </w:rPr>
        <w:t xml:space="preserve"> </w:t>
      </w:r>
      <w:r w:rsidR="0076076E">
        <w:t>regarding</w:t>
      </w:r>
      <w:r w:rsidR="00F92742" w:rsidRPr="00D9405E">
        <w:rPr>
          <w:spacing w:val="-3"/>
        </w:rPr>
        <w:t xml:space="preserve"> </w:t>
      </w:r>
      <w:r w:rsidR="00F92742">
        <w:t>the</w:t>
      </w:r>
      <w:r w:rsidR="00F92742" w:rsidRPr="00D9405E">
        <w:rPr>
          <w:spacing w:val="-4"/>
        </w:rPr>
        <w:t xml:space="preserve"> </w:t>
      </w:r>
      <w:r w:rsidR="00F92742">
        <w:t>possible</w:t>
      </w:r>
      <w:r w:rsidR="00F92742" w:rsidRPr="00D9405E">
        <w:rPr>
          <w:spacing w:val="-4"/>
        </w:rPr>
        <w:t xml:space="preserve"> </w:t>
      </w:r>
      <w:r w:rsidR="00F92742">
        <w:t>impact</w:t>
      </w:r>
      <w:r w:rsidR="00F92742" w:rsidRPr="00D9405E">
        <w:rPr>
          <w:spacing w:val="-4"/>
        </w:rPr>
        <w:t xml:space="preserve"> </w:t>
      </w:r>
      <w:r w:rsidR="00F92742">
        <w:t>of</w:t>
      </w:r>
      <w:r w:rsidR="00F92742" w:rsidRPr="00D9405E">
        <w:rPr>
          <w:spacing w:val="-3"/>
        </w:rPr>
        <w:t xml:space="preserve"> </w:t>
      </w:r>
      <w:r w:rsidR="00F92742">
        <w:t xml:space="preserve">such </w:t>
      </w:r>
      <w:r>
        <w:t>a S</w:t>
      </w:r>
      <w:r w:rsidR="00F92742">
        <w:t>tandard on Annex C to the Administrative Instructions under the PCT.</w:t>
      </w:r>
      <w:r w:rsidR="00D9405E">
        <w:t xml:space="preserve">  (See</w:t>
      </w:r>
      <w:r w:rsidR="00D9405E" w:rsidRPr="00136390">
        <w:rPr>
          <w:spacing w:val="-2"/>
        </w:rPr>
        <w:t xml:space="preserve"> </w:t>
      </w:r>
      <w:r w:rsidR="00D9405E">
        <w:t>paragraph</w:t>
      </w:r>
      <w:r w:rsidR="00D9405E" w:rsidRPr="00136390">
        <w:rPr>
          <w:spacing w:val="-3"/>
        </w:rPr>
        <w:t xml:space="preserve"> </w:t>
      </w:r>
      <w:r w:rsidR="00D9405E">
        <w:t>29 of document CWS/1/10)</w:t>
      </w:r>
    </w:p>
    <w:p w14:paraId="3DBECBDE" w14:textId="77777777" w:rsidR="002F52CA" w:rsidRDefault="002F52CA">
      <w:pPr>
        <w:pStyle w:val="BodyText"/>
        <w:spacing w:before="2"/>
        <w:rPr>
          <w:sz w:val="19"/>
        </w:rPr>
      </w:pPr>
    </w:p>
    <w:p w14:paraId="50FBAFBA" w14:textId="63D80FF2" w:rsidR="002F52CA" w:rsidRPr="00682CEF" w:rsidRDefault="0022013D" w:rsidP="0022013D">
      <w:pPr>
        <w:pStyle w:val="ListParagraph"/>
        <w:tabs>
          <w:tab w:val="left" w:pos="685"/>
        </w:tabs>
        <w:ind w:left="115" w:right="222"/>
        <w:rPr>
          <w:spacing w:val="-2"/>
        </w:rPr>
      </w:pPr>
      <w:r>
        <w:rPr>
          <w:spacing w:val="-3"/>
        </w:rPr>
        <w:fldChar w:fldCharType="begin"/>
      </w:r>
      <w:r>
        <w:rPr>
          <w:spacing w:val="-3"/>
        </w:rPr>
        <w:instrText xml:space="preserve"> AUTONUM  </w:instrText>
      </w:r>
      <w:r>
        <w:rPr>
          <w:spacing w:val="-3"/>
        </w:rPr>
        <w:fldChar w:fldCharType="end"/>
      </w:r>
      <w:r>
        <w:rPr>
          <w:spacing w:val="-3"/>
        </w:rPr>
        <w:tab/>
      </w:r>
      <w:r w:rsidR="00D9405E">
        <w:rPr>
          <w:spacing w:val="-3"/>
        </w:rPr>
        <w:t xml:space="preserve">At its reconvened fourth session, </w:t>
      </w:r>
      <w:r w:rsidR="006C05B2">
        <w:rPr>
          <w:spacing w:val="-3"/>
        </w:rPr>
        <w:t xml:space="preserve">WIPO </w:t>
      </w:r>
      <w:r w:rsidR="006E403F">
        <w:rPr>
          <w:spacing w:val="-3"/>
        </w:rPr>
        <w:t xml:space="preserve">Standard ST.26 was adopted by the </w:t>
      </w:r>
      <w:r w:rsidR="006C05B2">
        <w:rPr>
          <w:spacing w:val="-3"/>
        </w:rPr>
        <w:t>CWS</w:t>
      </w:r>
      <w:r w:rsidR="006E403F">
        <w:rPr>
          <w:spacing w:val="-3"/>
        </w:rPr>
        <w:t xml:space="preserve"> in 2016. </w:t>
      </w:r>
      <w:r w:rsidR="00D9405E">
        <w:rPr>
          <w:spacing w:val="-3"/>
        </w:rPr>
        <w:t xml:space="preserve"> </w:t>
      </w:r>
      <w:r w:rsidR="00AD4DAA">
        <w:rPr>
          <w:spacing w:val="-3"/>
        </w:rPr>
        <w:t>In October 2021</w:t>
      </w:r>
      <w:r w:rsidR="00D9405E">
        <w:rPr>
          <w:spacing w:val="-3"/>
        </w:rPr>
        <w:t>,</w:t>
      </w:r>
      <w:r w:rsidR="00AD4DAA">
        <w:rPr>
          <w:spacing w:val="-3"/>
        </w:rPr>
        <w:t xml:space="preserve"> </w:t>
      </w:r>
      <w:r w:rsidR="00F92742">
        <w:t>at</w:t>
      </w:r>
      <w:r w:rsidR="00F92742">
        <w:rPr>
          <w:spacing w:val="-2"/>
        </w:rPr>
        <w:t xml:space="preserve"> </w:t>
      </w:r>
      <w:r w:rsidR="00AD4DAA">
        <w:rPr>
          <w:spacing w:val="-3"/>
        </w:rPr>
        <w:t xml:space="preserve">the </w:t>
      </w:r>
      <w:r w:rsidR="00F92742">
        <w:t>fifty-third</w:t>
      </w:r>
      <w:r w:rsidR="00F92742">
        <w:rPr>
          <w:spacing w:val="-4"/>
        </w:rPr>
        <w:t xml:space="preserve"> </w:t>
      </w:r>
      <w:r w:rsidR="00F92742">
        <w:t>session</w:t>
      </w:r>
      <w:r w:rsidR="00F92742">
        <w:rPr>
          <w:spacing w:val="-3"/>
        </w:rPr>
        <w:t xml:space="preserve"> </w:t>
      </w:r>
      <w:r w:rsidR="00AD4DAA">
        <w:rPr>
          <w:spacing w:val="-3"/>
        </w:rPr>
        <w:t xml:space="preserve">of the </w:t>
      </w:r>
      <w:r w:rsidR="00AD4DAA">
        <w:t>PCT</w:t>
      </w:r>
      <w:r w:rsidR="00AD4DAA">
        <w:rPr>
          <w:spacing w:val="-4"/>
        </w:rPr>
        <w:t xml:space="preserve"> </w:t>
      </w:r>
      <w:r w:rsidR="00AD4DAA">
        <w:t>Assembly,</w:t>
      </w:r>
      <w:r w:rsidR="00AD4DAA">
        <w:rPr>
          <w:spacing w:val="-4"/>
        </w:rPr>
        <w:t xml:space="preserve"> </w:t>
      </w:r>
      <w:r w:rsidR="00F92742">
        <w:t>the</w:t>
      </w:r>
      <w:r w:rsidR="00F92742">
        <w:rPr>
          <w:spacing w:val="-4"/>
        </w:rPr>
        <w:t xml:space="preserve"> </w:t>
      </w:r>
      <w:r w:rsidR="00F92742">
        <w:t>amendments</w:t>
      </w:r>
      <w:r w:rsidR="00F92742">
        <w:rPr>
          <w:spacing w:val="-3"/>
        </w:rPr>
        <w:t xml:space="preserve"> </w:t>
      </w:r>
      <w:r w:rsidR="00F92742">
        <w:t xml:space="preserve">to the PCT Regulations to implement WIPO Standard ST.26 in the PCT system </w:t>
      </w:r>
      <w:r w:rsidR="00AD4DAA">
        <w:t xml:space="preserve">were adopted. </w:t>
      </w:r>
      <w:r w:rsidR="00D9405E">
        <w:t xml:space="preserve"> </w:t>
      </w:r>
      <w:r w:rsidR="00AD4DAA">
        <w:t>T</w:t>
      </w:r>
      <w:r w:rsidR="00F92742">
        <w:t>he</w:t>
      </w:r>
      <w:r w:rsidR="00F92742">
        <w:rPr>
          <w:spacing w:val="-1"/>
        </w:rPr>
        <w:t xml:space="preserve"> </w:t>
      </w:r>
      <w:r w:rsidR="00F92742">
        <w:t>WIPO</w:t>
      </w:r>
      <w:r w:rsidR="00F92742">
        <w:rPr>
          <w:spacing w:val="-2"/>
        </w:rPr>
        <w:t xml:space="preserve"> </w:t>
      </w:r>
      <w:r w:rsidR="00F92742">
        <w:t xml:space="preserve">General Assembly approved </w:t>
      </w:r>
      <w:r w:rsidR="00D9405E">
        <w:t>to delay the</w:t>
      </w:r>
      <w:r w:rsidR="00F92742">
        <w:t xml:space="preserve"> "big-bang" implementation date of WIPO Standard ST.26 </w:t>
      </w:r>
      <w:r w:rsidR="00D9405E">
        <w:t>to</w:t>
      </w:r>
      <w:r w:rsidR="00F92742">
        <w:t xml:space="preserve"> July 1, 2022, at national, regional and international levels (see document WO/GA/54/14 and paragraphs 178 to 183 of document </w:t>
      </w:r>
      <w:r w:rsidR="00F92742">
        <w:rPr>
          <w:spacing w:val="-2"/>
        </w:rPr>
        <w:t>WO/GA/54/15).</w:t>
      </w:r>
    </w:p>
    <w:p w14:paraId="7D8C0CC1" w14:textId="77777777" w:rsidR="00227373" w:rsidRPr="00682CEF" w:rsidRDefault="00227373" w:rsidP="00682CEF">
      <w:pPr>
        <w:pStyle w:val="ListParagraph"/>
        <w:tabs>
          <w:tab w:val="left" w:pos="685"/>
        </w:tabs>
        <w:ind w:left="115" w:right="222"/>
        <w:rPr>
          <w:spacing w:val="-2"/>
        </w:rPr>
      </w:pPr>
    </w:p>
    <w:p w14:paraId="1EEDB496" w14:textId="77777777" w:rsidR="00227373" w:rsidRDefault="00227373" w:rsidP="0022013D">
      <w:pPr>
        <w:pStyle w:val="ListParagraph"/>
        <w:tabs>
          <w:tab w:val="left" w:pos="685"/>
        </w:tabs>
        <w:ind w:left="115" w:right="222"/>
        <w:rPr>
          <w:spacing w:val="-2"/>
        </w:rPr>
      </w:pPr>
    </w:p>
    <w:p w14:paraId="4310CA0D" w14:textId="77777777" w:rsidR="00227373" w:rsidRDefault="00227373" w:rsidP="0022013D">
      <w:pPr>
        <w:pStyle w:val="ListParagraph"/>
        <w:tabs>
          <w:tab w:val="left" w:pos="685"/>
        </w:tabs>
        <w:ind w:left="115" w:right="222"/>
        <w:rPr>
          <w:spacing w:val="-2"/>
        </w:rPr>
      </w:pPr>
    </w:p>
    <w:p w14:paraId="647013A4" w14:textId="77777777" w:rsidR="00227373" w:rsidRPr="00CB1A5A" w:rsidRDefault="00227373" w:rsidP="0022013D">
      <w:pPr>
        <w:pStyle w:val="ListParagraph"/>
        <w:tabs>
          <w:tab w:val="left" w:pos="685"/>
        </w:tabs>
        <w:ind w:left="115" w:right="222"/>
      </w:pPr>
    </w:p>
    <w:p w14:paraId="4DCB7ECF" w14:textId="77777777" w:rsidR="00CB1A5A" w:rsidRDefault="00CB1A5A" w:rsidP="00CB1A5A">
      <w:pPr>
        <w:pStyle w:val="ListParagraph"/>
      </w:pPr>
    </w:p>
    <w:p w14:paraId="4F01CE16" w14:textId="1C0CC31E" w:rsidR="00CB1A5A" w:rsidRDefault="0022013D" w:rsidP="0022013D">
      <w:pPr>
        <w:pStyle w:val="ListParagraph"/>
        <w:tabs>
          <w:tab w:val="left" w:pos="685"/>
        </w:tabs>
        <w:ind w:left="115" w:right="22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B1A5A">
        <w:t>At the eleventh session of the CWS in 2023, the CWS approved a revision of the description of Task No. 44, which reads now as follows:</w:t>
      </w:r>
    </w:p>
    <w:p w14:paraId="6A540EAE" w14:textId="77777777" w:rsidR="009A0877" w:rsidRDefault="009A0877" w:rsidP="0022013D">
      <w:pPr>
        <w:pStyle w:val="ListParagraph"/>
      </w:pPr>
    </w:p>
    <w:p w14:paraId="2C6BD333" w14:textId="53064D8E" w:rsidR="0022013D" w:rsidRPr="00227373" w:rsidRDefault="00CB1A5A" w:rsidP="00227373">
      <w:pPr>
        <w:pStyle w:val="ListParagraph"/>
        <w:tabs>
          <w:tab w:val="left" w:pos="685"/>
        </w:tabs>
        <w:ind w:left="115" w:right="222"/>
        <w:rPr>
          <w:i/>
          <w:iCs/>
        </w:rPr>
      </w:pPr>
      <w:r>
        <w:tab/>
        <w:t>“</w:t>
      </w:r>
      <w:r w:rsidRPr="00CB1A5A">
        <w:rPr>
          <w:i/>
          <w:iCs/>
        </w:rPr>
        <w:t>Support the International Bureau by testing new releases based on available resources and providing user feedback on the WIPO Sequence Suite; and prepare necessary revisions of WIPO Standard ST.26”</w:t>
      </w:r>
    </w:p>
    <w:p w14:paraId="62916057" w14:textId="77777777" w:rsidR="002F52CA" w:rsidRPr="00682CEF" w:rsidRDefault="002F52CA" w:rsidP="00682CEF">
      <w:pPr>
        <w:pStyle w:val="BodyText"/>
        <w:spacing w:before="9"/>
        <w:rPr>
          <w:sz w:val="20"/>
        </w:rPr>
      </w:pPr>
    </w:p>
    <w:p w14:paraId="63122666" w14:textId="01E4EE85" w:rsidR="00AD4DAA" w:rsidRPr="00682CEF" w:rsidRDefault="0022013D" w:rsidP="00682CEF">
      <w:pPr>
        <w:pStyle w:val="ListParagraph"/>
        <w:tabs>
          <w:tab w:val="left" w:pos="685"/>
        </w:tabs>
        <w:ind w:left="115" w:right="222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D4DAA" w:rsidRPr="00AD4DAA">
        <w:t xml:space="preserve">Since the Standard was first adopted in 2016, there have been </w:t>
      </w:r>
      <w:r w:rsidR="006C05B2">
        <w:t xml:space="preserve">several </w:t>
      </w:r>
      <w:r w:rsidR="00AD4DAA" w:rsidRPr="00AD4DAA">
        <w:t>updates resulting in versions 1.1, 1.2, 1.3, 1.4, 1.5</w:t>
      </w:r>
      <w:r w:rsidR="006C05B2">
        <w:t xml:space="preserve"> and</w:t>
      </w:r>
      <w:r w:rsidR="00AD4DAA" w:rsidRPr="00AD4DAA">
        <w:t xml:space="preserve"> 1.6.  Most recently at the eleventh session, held in December 2023, </w:t>
      </w:r>
      <w:r w:rsidR="006C05B2">
        <w:t xml:space="preserve">the CWS adopted version 1.7, adding </w:t>
      </w:r>
      <w:r w:rsidR="00AD4DAA" w:rsidRPr="00AD4DAA">
        <w:t>new examples to Annex VI of WIPO ST.26 and the Appendix to Annex VI.</w:t>
      </w:r>
    </w:p>
    <w:p w14:paraId="2B56CC24" w14:textId="77777777" w:rsidR="00AD4DAA" w:rsidRDefault="00AD4DAA" w:rsidP="0022013D">
      <w:pPr>
        <w:pStyle w:val="BodyText"/>
        <w:spacing w:before="9"/>
        <w:rPr>
          <w:sz w:val="20"/>
        </w:rPr>
      </w:pPr>
    </w:p>
    <w:p w14:paraId="1A8C17AA" w14:textId="4443FB0E" w:rsidR="002F52CA" w:rsidRDefault="00F92742" w:rsidP="00682CEF">
      <w:pPr>
        <w:pStyle w:val="Heading1"/>
        <w:spacing w:before="1" w:after="240"/>
      </w:pPr>
      <w:r>
        <w:t>PROGRESS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52EBD8D9" w14:textId="06D21361" w:rsidR="0027648B" w:rsidRDefault="0022013D" w:rsidP="00682CEF">
      <w:pPr>
        <w:pStyle w:val="ListParagraph"/>
        <w:tabs>
          <w:tab w:val="left" w:pos="685"/>
        </w:tabs>
        <w:spacing w:after="240"/>
        <w:ind w:left="115" w:right="394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F50B6">
        <w:t>Since the last session of the CWS, t</w:t>
      </w:r>
      <w:r w:rsidR="009A0877">
        <w:t>he Task Force met twice online</w:t>
      </w:r>
      <w:r w:rsidR="006C05B2">
        <w:t xml:space="preserve">, on February </w:t>
      </w:r>
      <w:r w:rsidR="0027648B">
        <w:t xml:space="preserve">27 </w:t>
      </w:r>
      <w:r w:rsidR="006C05B2">
        <w:t xml:space="preserve">and on July </w:t>
      </w:r>
      <w:r w:rsidR="0027648B">
        <w:t xml:space="preserve">18, </w:t>
      </w:r>
      <w:r w:rsidR="006C05B2">
        <w:t>2024,</w:t>
      </w:r>
      <w:r w:rsidR="009A0877">
        <w:t xml:space="preserve"> </w:t>
      </w:r>
      <w:r w:rsidR="00DD0FFE">
        <w:t xml:space="preserve">and </w:t>
      </w:r>
      <w:r w:rsidR="009A0877">
        <w:t>discuss</w:t>
      </w:r>
      <w:r w:rsidR="00DD0FFE">
        <w:t>ed</w:t>
      </w:r>
      <w:r w:rsidR="009A0877">
        <w:t xml:space="preserve"> the </w:t>
      </w:r>
      <w:r w:rsidR="00D9405E">
        <w:t xml:space="preserve">status of the </w:t>
      </w:r>
      <w:r w:rsidR="00241DC9">
        <w:t xml:space="preserve">WIPO Sequence Suite </w:t>
      </w:r>
      <w:r w:rsidR="00D9405E">
        <w:t>performance improvement project</w:t>
      </w:r>
      <w:r w:rsidR="0027648B">
        <w:t xml:space="preserve"> and potential revisions to WIPO Standard ST.26.  </w:t>
      </w:r>
      <w:r w:rsidR="00F42F1C">
        <w:t>Regarding</w:t>
      </w:r>
      <w:r w:rsidR="0027648B">
        <w:t xml:space="preserve"> the </w:t>
      </w:r>
      <w:r w:rsidR="005E6DB0">
        <w:t xml:space="preserve">proposed </w:t>
      </w:r>
      <w:r w:rsidR="0027648B">
        <w:t>revisions</w:t>
      </w:r>
      <w:r w:rsidR="00241DC9">
        <w:t xml:space="preserve">, </w:t>
      </w:r>
      <w:r w:rsidR="0027648B">
        <w:t>the Task Force has discussed:</w:t>
      </w:r>
    </w:p>
    <w:p w14:paraId="491E8900" w14:textId="6EDBEFB2" w:rsidR="00491D50" w:rsidRDefault="0027648B" w:rsidP="00682CEF">
      <w:pPr>
        <w:pStyle w:val="ListParagraph"/>
        <w:numPr>
          <w:ilvl w:val="0"/>
          <w:numId w:val="14"/>
        </w:numPr>
        <w:tabs>
          <w:tab w:val="left" w:pos="685"/>
        </w:tabs>
        <w:spacing w:after="240"/>
        <w:ind w:right="394"/>
      </w:pPr>
      <w:r>
        <w:t>a</w:t>
      </w:r>
      <w:r w:rsidR="00E50A90">
        <w:t xml:space="preserve"> </w:t>
      </w:r>
      <w:r w:rsidR="00241DC9">
        <w:t xml:space="preserve">proposal </w:t>
      </w:r>
      <w:r w:rsidR="00E50A90">
        <w:t xml:space="preserve">to require </w:t>
      </w:r>
      <w:r w:rsidR="002C309E">
        <w:t xml:space="preserve">a </w:t>
      </w:r>
      <w:r w:rsidR="00E50A90" w:rsidRPr="00397623">
        <w:rPr>
          <w:shd w:val="clear" w:color="auto" w:fill="FFFFFF"/>
        </w:rPr>
        <w:t>subset of nucleotide</w:t>
      </w:r>
      <w:r w:rsidR="002C309E">
        <w:rPr>
          <w:shd w:val="clear" w:color="auto" w:fill="FFFFFF"/>
        </w:rPr>
        <w:t xml:space="preserve"> analogs</w:t>
      </w:r>
      <w:r w:rsidR="00E50A90" w:rsidRPr="00397623">
        <w:rPr>
          <w:shd w:val="clear" w:color="auto" w:fill="FFFFFF"/>
        </w:rPr>
        <w:t xml:space="preserve"> and </w:t>
      </w:r>
      <w:r w:rsidR="009E47B3">
        <w:rPr>
          <w:shd w:val="clear" w:color="auto" w:fill="FFFFFF"/>
        </w:rPr>
        <w:t>peptide</w:t>
      </w:r>
      <w:r w:rsidR="00B14C40" w:rsidRPr="00397623">
        <w:rPr>
          <w:shd w:val="clear" w:color="auto" w:fill="FFFFFF"/>
        </w:rPr>
        <w:t xml:space="preserve"> </w:t>
      </w:r>
      <w:r w:rsidR="00E50A90" w:rsidRPr="00397623">
        <w:rPr>
          <w:shd w:val="clear" w:color="auto" w:fill="FFFFFF"/>
        </w:rPr>
        <w:t>analog</w:t>
      </w:r>
      <w:r w:rsidR="002C309E">
        <w:rPr>
          <w:shd w:val="clear" w:color="auto" w:fill="FFFFFF"/>
        </w:rPr>
        <w:t>s</w:t>
      </w:r>
      <w:r w:rsidR="00E50A90" w:rsidRPr="00397623">
        <w:rPr>
          <w:shd w:val="clear" w:color="auto" w:fill="FFFFFF"/>
        </w:rPr>
        <w:t xml:space="preserve"> </w:t>
      </w:r>
      <w:r w:rsidR="00E50A90">
        <w:t>to be</w:t>
      </w:r>
      <w:r w:rsidR="009E47B3">
        <w:t xml:space="preserve"> </w:t>
      </w:r>
      <w:r w:rsidR="002C309E">
        <w:t>represented by the corresponding unmodified residue symbol</w:t>
      </w:r>
      <w:r w:rsidR="00E572FD">
        <w:t xml:space="preserve">, which was presented by the </w:t>
      </w:r>
      <w:r w:rsidR="00E572FD" w:rsidRPr="00D74CAC">
        <w:t>United States Patent and Trademark Office (USPTO)</w:t>
      </w:r>
      <w:r w:rsidR="002C309E">
        <w:t>;</w:t>
      </w:r>
      <w:r w:rsidR="00E50A90">
        <w:t xml:space="preserve"> </w:t>
      </w:r>
    </w:p>
    <w:p w14:paraId="1E893E62" w14:textId="06877B73" w:rsidR="00491D50" w:rsidRDefault="0027648B" w:rsidP="00682CEF">
      <w:pPr>
        <w:pStyle w:val="ListParagraph"/>
        <w:numPr>
          <w:ilvl w:val="0"/>
          <w:numId w:val="14"/>
        </w:numPr>
        <w:tabs>
          <w:tab w:val="left" w:pos="685"/>
        </w:tabs>
        <w:spacing w:after="240"/>
        <w:ind w:right="394"/>
      </w:pPr>
      <w:r>
        <w:t>a</w:t>
      </w:r>
      <w:r w:rsidR="00E50A90">
        <w:t xml:space="preserve"> proposal to </w:t>
      </w:r>
      <w:r w:rsidR="00BE19BD">
        <w:t xml:space="preserve">lift </w:t>
      </w:r>
      <w:r w:rsidR="00E50A90">
        <w:t xml:space="preserve">the minimum </w:t>
      </w:r>
      <w:r w:rsidR="00BE19BD">
        <w:t xml:space="preserve">sequence </w:t>
      </w:r>
      <w:r w:rsidR="00E50A90">
        <w:t xml:space="preserve">length </w:t>
      </w:r>
      <w:r w:rsidR="00BE19BD">
        <w:t>requirement</w:t>
      </w:r>
      <w:r w:rsidR="00E572FD">
        <w:t xml:space="preserve">, which was presented by the European Patent Office </w:t>
      </w:r>
      <w:r w:rsidR="00E572FD" w:rsidRPr="00D74CAC">
        <w:t>(</w:t>
      </w:r>
      <w:r w:rsidR="00E572FD">
        <w:t>EPO</w:t>
      </w:r>
      <w:r w:rsidR="00E572FD" w:rsidRPr="00D74CAC">
        <w:t>)</w:t>
      </w:r>
      <w:r w:rsidR="00491D50">
        <w:t xml:space="preserve">; </w:t>
      </w:r>
      <w:r w:rsidR="006C05B2">
        <w:t>and</w:t>
      </w:r>
      <w:r w:rsidR="00DD0FFE">
        <w:t xml:space="preserve"> </w:t>
      </w:r>
    </w:p>
    <w:p w14:paraId="5C7F65D9" w14:textId="5280E3FF" w:rsidR="00BE19BD" w:rsidRDefault="000830B7" w:rsidP="00682CEF">
      <w:pPr>
        <w:pStyle w:val="ListParagraph"/>
        <w:numPr>
          <w:ilvl w:val="0"/>
          <w:numId w:val="14"/>
        </w:numPr>
        <w:tabs>
          <w:tab w:val="left" w:pos="685"/>
        </w:tabs>
        <w:spacing w:after="240"/>
        <w:ind w:right="394"/>
      </w:pPr>
      <w:r>
        <w:t>some editorial improvement</w:t>
      </w:r>
      <w:r w:rsidR="006F50B6">
        <w:t>s</w:t>
      </w:r>
      <w:r>
        <w:t>.</w:t>
      </w:r>
    </w:p>
    <w:p w14:paraId="7236CCA9" w14:textId="7A84E1B5" w:rsidR="00BE19BD" w:rsidRDefault="0022013D" w:rsidP="0022013D">
      <w:pPr>
        <w:pStyle w:val="ListParagraph"/>
        <w:tabs>
          <w:tab w:val="left" w:pos="685"/>
        </w:tabs>
        <w:ind w:left="115" w:right="394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24248">
        <w:t>The</w:t>
      </w:r>
      <w:r w:rsidR="002C309E">
        <w:t xml:space="preserve"> current version of WIPO Standard ST.26</w:t>
      </w:r>
      <w:r w:rsidR="00924248">
        <w:t xml:space="preserve"> allows for a sequence consisting of</w:t>
      </w:r>
      <w:r w:rsidR="002C309E">
        <w:t xml:space="preserve"> </w:t>
      </w:r>
      <w:r w:rsidR="002C309E" w:rsidRPr="00F16112">
        <w:t xml:space="preserve">nucleotide analog </w:t>
      </w:r>
      <w:r w:rsidR="00924248">
        <w:t>residues</w:t>
      </w:r>
      <w:r w:rsidR="002C309E" w:rsidRPr="00F16112">
        <w:t xml:space="preserve"> or peptide analog </w:t>
      </w:r>
      <w:r w:rsidR="00924248">
        <w:t>residues to be represented</w:t>
      </w:r>
      <w:r w:rsidR="00B14C40">
        <w:t xml:space="preserve"> </w:t>
      </w:r>
      <w:r w:rsidR="002C309E" w:rsidRPr="00F16112">
        <w:t xml:space="preserve">entirely </w:t>
      </w:r>
      <w:r w:rsidR="00674C1F">
        <w:t>as</w:t>
      </w:r>
      <w:r w:rsidR="002C309E" w:rsidRPr="00F16112">
        <w:t xml:space="preserve"> non-specifically defined residues</w:t>
      </w:r>
      <w:r w:rsidR="002C309E">
        <w:t xml:space="preserve"> (i.e., “n” or “X”)</w:t>
      </w:r>
      <w:r w:rsidR="00924248">
        <w:t>, with the effect that such sequences</w:t>
      </w:r>
      <w:r w:rsidR="002C309E" w:rsidRPr="00F16112">
        <w:t xml:space="preserve"> </w:t>
      </w:r>
      <w:r w:rsidR="002C309E">
        <w:t xml:space="preserve">are </w:t>
      </w:r>
      <w:r w:rsidR="002C309E" w:rsidRPr="00F16112">
        <w:t>not required to</w:t>
      </w:r>
      <w:r w:rsidR="002C309E">
        <w:t xml:space="preserve"> be</w:t>
      </w:r>
      <w:r w:rsidR="002C309E" w:rsidRPr="00F16112">
        <w:t xml:space="preserve"> includ</w:t>
      </w:r>
      <w:r w:rsidR="002C309E">
        <w:t>ed</w:t>
      </w:r>
      <w:r w:rsidR="002C309E" w:rsidRPr="00F16112">
        <w:t xml:space="preserve"> </w:t>
      </w:r>
      <w:r w:rsidR="002C309E">
        <w:t>i</w:t>
      </w:r>
      <w:r w:rsidR="002C309E" w:rsidRPr="00F16112">
        <w:t>n a sequence listing</w:t>
      </w:r>
      <w:r w:rsidR="002C309E">
        <w:t xml:space="preserve">.  </w:t>
      </w:r>
      <w:r w:rsidR="006C05B2">
        <w:t>T</w:t>
      </w:r>
      <w:r w:rsidR="0050300B">
        <w:t xml:space="preserve">he </w:t>
      </w:r>
      <w:r w:rsidR="00D43AD9">
        <w:t xml:space="preserve">USPTO </w:t>
      </w:r>
      <w:r w:rsidR="002C309E">
        <w:t>proposal to require</w:t>
      </w:r>
      <w:r w:rsidR="00EB5A12">
        <w:t xml:space="preserve"> </w:t>
      </w:r>
      <w:r w:rsidR="001A627B">
        <w:t xml:space="preserve">that </w:t>
      </w:r>
      <w:r w:rsidR="0069440C" w:rsidRPr="00F16112">
        <w:t xml:space="preserve">certain nucleotide analog residues and peptide analog residues </w:t>
      </w:r>
      <w:r w:rsidR="00EB5A12">
        <w:t xml:space="preserve">be </w:t>
      </w:r>
      <w:r w:rsidR="0069440C" w:rsidRPr="00F16112">
        <w:t>represent</w:t>
      </w:r>
      <w:r w:rsidR="00EB5A12">
        <w:t>ed</w:t>
      </w:r>
      <w:r w:rsidR="0069440C" w:rsidRPr="00F16112">
        <w:t xml:space="preserve"> by the symbol for the corresponding unmodified residue</w:t>
      </w:r>
      <w:r w:rsidR="002C309E">
        <w:t xml:space="preserve"> will make</w:t>
      </w:r>
      <w:r w:rsidR="0069440C" w:rsidRPr="00F16112">
        <w:t xml:space="preserve"> them specifically defined</w:t>
      </w:r>
      <w:r w:rsidR="0069440C">
        <w:t>.</w:t>
      </w:r>
      <w:r w:rsidR="009E4069">
        <w:t xml:space="preserve">  </w:t>
      </w:r>
      <w:r w:rsidR="00674C1F">
        <w:t>As a result</w:t>
      </w:r>
      <w:r w:rsidR="009E4069">
        <w:t xml:space="preserve">, some sequences that were </w:t>
      </w:r>
      <w:r w:rsidR="009E4069" w:rsidRPr="00682CEF">
        <w:rPr>
          <w:u w:val="single"/>
        </w:rPr>
        <w:t>optional</w:t>
      </w:r>
      <w:r w:rsidR="009E4069">
        <w:t xml:space="preserve"> to include in a sequence listing</w:t>
      </w:r>
      <w:r w:rsidR="002C309E">
        <w:t xml:space="preserve"> </w:t>
      </w:r>
      <w:r w:rsidR="00B77060">
        <w:rPr>
          <w:highlight w:val="white"/>
        </w:rPr>
        <w:t xml:space="preserve">under versions </w:t>
      </w:r>
      <w:r w:rsidR="00674C1F">
        <w:rPr>
          <w:highlight w:val="white"/>
        </w:rPr>
        <w:t xml:space="preserve">1.5, 1.6 or 1.7 </w:t>
      </w:r>
      <w:r w:rsidR="00B77060">
        <w:rPr>
          <w:highlight w:val="white"/>
        </w:rPr>
        <w:t>of WIPO ST.26,</w:t>
      </w:r>
      <w:r w:rsidR="00B77060">
        <w:t xml:space="preserve"> </w:t>
      </w:r>
      <w:r w:rsidR="00D43AD9">
        <w:t xml:space="preserve">would </w:t>
      </w:r>
      <w:r w:rsidR="009E4069">
        <w:t xml:space="preserve">become </w:t>
      </w:r>
      <w:r w:rsidR="009E4069" w:rsidRPr="00682CEF">
        <w:rPr>
          <w:u w:val="single"/>
        </w:rPr>
        <w:t>mandatory</w:t>
      </w:r>
      <w:r w:rsidR="009E4069">
        <w:t xml:space="preserve"> to include in a sequence listing</w:t>
      </w:r>
      <w:r w:rsidR="00B77060" w:rsidRPr="00B77060">
        <w:rPr>
          <w:highlight w:val="white"/>
        </w:rPr>
        <w:t xml:space="preserve"> </w:t>
      </w:r>
      <w:r w:rsidR="00B77060">
        <w:rPr>
          <w:highlight w:val="white"/>
        </w:rPr>
        <w:t xml:space="preserve">under the </w:t>
      </w:r>
      <w:r w:rsidR="00674C1F">
        <w:rPr>
          <w:highlight w:val="white"/>
        </w:rPr>
        <w:t>proposed</w:t>
      </w:r>
      <w:r w:rsidR="00B77060">
        <w:rPr>
          <w:highlight w:val="white"/>
        </w:rPr>
        <w:t xml:space="preserve"> WIPO ST.26 version</w:t>
      </w:r>
      <w:r w:rsidR="0047377D">
        <w:t xml:space="preserve"> 2.0</w:t>
      </w:r>
      <w:r w:rsidR="009E4069">
        <w:t>.</w:t>
      </w:r>
      <w:r w:rsidR="0069440C">
        <w:t xml:space="preserve"> </w:t>
      </w:r>
      <w:r w:rsidR="006F50B6">
        <w:t xml:space="preserve"> </w:t>
      </w:r>
    </w:p>
    <w:p w14:paraId="12E2BD38" w14:textId="77777777" w:rsidR="002F52CA" w:rsidRDefault="002F52CA">
      <w:pPr>
        <w:pStyle w:val="BodyText"/>
        <w:spacing w:before="1"/>
        <w:rPr>
          <w:sz w:val="19"/>
        </w:rPr>
      </w:pPr>
    </w:p>
    <w:p w14:paraId="474D50F7" w14:textId="520670A1" w:rsidR="00010815" w:rsidRDefault="006F50B6" w:rsidP="00E572FD">
      <w:pPr>
        <w:pStyle w:val="ListParagraph"/>
        <w:tabs>
          <w:tab w:val="left" w:pos="685"/>
        </w:tabs>
        <w:ind w:left="115" w:right="219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07360">
        <w:t>The T</w:t>
      </w:r>
      <w:r>
        <w:t>ask Force</w:t>
      </w:r>
      <w:r w:rsidR="00B07360">
        <w:t xml:space="preserve"> </w:t>
      </w:r>
      <w:r w:rsidR="00EB5A12">
        <w:t>discussed th</w:t>
      </w:r>
      <w:r w:rsidR="00F42F1C">
        <w:t>is</w:t>
      </w:r>
      <w:r w:rsidR="00EB5A12">
        <w:t xml:space="preserve"> proposal </w:t>
      </w:r>
      <w:r w:rsidR="00AC6D68">
        <w:t xml:space="preserve">concerning </w:t>
      </w:r>
      <w:r w:rsidR="00F42F1C">
        <w:t xml:space="preserve">the </w:t>
      </w:r>
      <w:r w:rsidR="00AC6D68">
        <w:t xml:space="preserve">representation of nucleotide and peptide analogs </w:t>
      </w:r>
      <w:r w:rsidR="00EB5A12">
        <w:t xml:space="preserve">at its meeting on 18 July 2024. </w:t>
      </w:r>
      <w:r>
        <w:t xml:space="preserve"> Task Force </w:t>
      </w:r>
      <w:r w:rsidR="00EB5A12">
        <w:t xml:space="preserve">Members </w:t>
      </w:r>
      <w:r w:rsidR="00AC6D68">
        <w:t xml:space="preserve">generally </w:t>
      </w:r>
      <w:r w:rsidR="00EB5A12">
        <w:t xml:space="preserve">acknowledged </w:t>
      </w:r>
      <w:r w:rsidR="00AC6D68">
        <w:t xml:space="preserve">the </w:t>
      </w:r>
      <w:r w:rsidR="00EB5A12">
        <w:t>benefits</w:t>
      </w:r>
      <w:r w:rsidR="00AC6D68">
        <w:t xml:space="preserve"> of this proposal</w:t>
      </w:r>
      <w:r w:rsidR="00EB5A12">
        <w:t xml:space="preserve"> for </w:t>
      </w:r>
      <w:r w:rsidR="00B07360">
        <w:t>the improvement of search accuracy</w:t>
      </w:r>
      <w:r w:rsidR="00AC6D68">
        <w:t>.  However,</w:t>
      </w:r>
      <w:r w:rsidR="00B07360">
        <w:t xml:space="preserve"> </w:t>
      </w:r>
      <w:r>
        <w:t>they</w:t>
      </w:r>
      <w:r w:rsidR="00B07360">
        <w:t xml:space="preserve"> also </w:t>
      </w:r>
      <w:r w:rsidR="00E015F2">
        <w:t>noted</w:t>
      </w:r>
      <w:r w:rsidR="00AC6D68">
        <w:t xml:space="preserve"> that</w:t>
      </w:r>
      <w:r w:rsidR="00B07360">
        <w:t xml:space="preserve"> it </w:t>
      </w:r>
      <w:r w:rsidR="00EB5A12">
        <w:t xml:space="preserve">would result in </w:t>
      </w:r>
      <w:r w:rsidR="00B07360">
        <w:t xml:space="preserve">additional </w:t>
      </w:r>
      <w:r w:rsidR="00FC6611">
        <w:t xml:space="preserve">effort </w:t>
      </w:r>
      <w:r w:rsidR="00EB5A12">
        <w:t xml:space="preserve">being required </w:t>
      </w:r>
      <w:r w:rsidR="00F42F1C">
        <w:t>by</w:t>
      </w:r>
      <w:r w:rsidR="00B41EDE">
        <w:t xml:space="preserve"> </w:t>
      </w:r>
      <w:r w:rsidR="00FC6611" w:rsidRPr="00FC6611">
        <w:t>examiners</w:t>
      </w:r>
      <w:r w:rsidR="00D43AD9">
        <w:t xml:space="preserve"> for </w:t>
      </w:r>
      <w:r w:rsidR="00F42F1C">
        <w:t xml:space="preserve">the </w:t>
      </w:r>
      <w:r w:rsidR="00D43AD9">
        <w:t>manual review of compliance with the</w:t>
      </w:r>
      <w:r w:rsidR="00017D95">
        <w:t xml:space="preserve"> new</w:t>
      </w:r>
      <w:r w:rsidR="00D43AD9">
        <w:t xml:space="preserve"> requirement</w:t>
      </w:r>
      <w:r w:rsidR="00B41EDE">
        <w:t xml:space="preserve">. </w:t>
      </w:r>
    </w:p>
    <w:p w14:paraId="073C86D0" w14:textId="77777777" w:rsidR="00B41EDE" w:rsidRDefault="00B41EDE" w:rsidP="00B41EDE">
      <w:pPr>
        <w:pStyle w:val="ListParagraph"/>
      </w:pPr>
    </w:p>
    <w:p w14:paraId="46101807" w14:textId="7B7C2B72" w:rsidR="00010815" w:rsidRDefault="006F50B6" w:rsidP="00682CEF">
      <w:pPr>
        <w:pStyle w:val="CommentText"/>
        <w:ind w:left="90"/>
        <w:rPr>
          <w:sz w:val="22"/>
          <w:szCs w:val="22"/>
        </w:rPr>
      </w:pPr>
      <w:r w:rsidRPr="00E572FD">
        <w:rPr>
          <w:sz w:val="22"/>
          <w:szCs w:val="22"/>
        </w:rPr>
        <w:fldChar w:fldCharType="begin"/>
      </w:r>
      <w:r w:rsidRPr="00E572FD">
        <w:rPr>
          <w:sz w:val="22"/>
          <w:szCs w:val="22"/>
        </w:rPr>
        <w:instrText xml:space="preserve"> AUTONUM  </w:instrText>
      </w:r>
      <w:r w:rsidRPr="00E572FD">
        <w:rPr>
          <w:sz w:val="22"/>
          <w:szCs w:val="22"/>
        </w:rPr>
        <w:fldChar w:fldCharType="end"/>
      </w:r>
      <w:r w:rsidR="00010815">
        <w:rPr>
          <w:sz w:val="22"/>
          <w:szCs w:val="22"/>
        </w:rPr>
        <w:tab/>
      </w:r>
      <w:r w:rsidR="005E6DB0">
        <w:rPr>
          <w:sz w:val="22"/>
          <w:szCs w:val="22"/>
        </w:rPr>
        <w:t>For</w:t>
      </w:r>
      <w:r w:rsidR="00017D95">
        <w:rPr>
          <w:sz w:val="22"/>
          <w:szCs w:val="22"/>
        </w:rPr>
        <w:t xml:space="preserve"> the implementation of WIPO Standard ST.26 version 2.0</w:t>
      </w:r>
      <w:r w:rsidR="005E6DB0">
        <w:rPr>
          <w:sz w:val="22"/>
          <w:szCs w:val="22"/>
        </w:rPr>
        <w:t>, the Task Force</w:t>
      </w:r>
      <w:r w:rsidR="00010815" w:rsidRPr="00E572FD">
        <w:rPr>
          <w:sz w:val="22"/>
          <w:szCs w:val="22"/>
          <w:highlight w:val="white"/>
        </w:rPr>
        <w:t xml:space="preserve"> proposed that all patent applications filed on or after the entry into force date of version 2.0 must comply with </w:t>
      </w:r>
      <w:r w:rsidR="005E6DB0">
        <w:rPr>
          <w:sz w:val="22"/>
          <w:szCs w:val="22"/>
          <w:highlight w:val="white"/>
        </w:rPr>
        <w:t>this new version</w:t>
      </w:r>
      <w:r w:rsidR="00010815" w:rsidRPr="00E572FD">
        <w:rPr>
          <w:sz w:val="22"/>
          <w:szCs w:val="22"/>
          <w:highlight w:val="white"/>
        </w:rPr>
        <w:t>.  Any sequence listing furnished in respect of a patent application filed prior to the entry into force date of version 2.0</w:t>
      </w:r>
      <w:r w:rsidR="00010815">
        <w:rPr>
          <w:sz w:val="22"/>
          <w:szCs w:val="22"/>
          <w:highlight w:val="white"/>
        </w:rPr>
        <w:t xml:space="preserve"> </w:t>
      </w:r>
      <w:r w:rsidR="00010815" w:rsidRPr="00E572FD">
        <w:rPr>
          <w:sz w:val="22"/>
          <w:szCs w:val="22"/>
          <w:highlight w:val="white"/>
        </w:rPr>
        <w:t xml:space="preserve">should still comply with one of the earlier versions: versions 1.5, 1.6 or 1.7.  </w:t>
      </w:r>
      <w:r w:rsidR="00B14C40" w:rsidRPr="00E572FD">
        <w:rPr>
          <w:sz w:val="22"/>
          <w:szCs w:val="22"/>
          <w:highlight w:val="white"/>
        </w:rPr>
        <w:t xml:space="preserve">For continuing applications filed on or after the entry into force of the new version 2.0 that have a parent application filed when WIPO ST.26 version 1.5, 1.6 or 1.7 was in effect, there are two alternative </w:t>
      </w:r>
      <w:r w:rsidR="005E6DB0">
        <w:rPr>
          <w:sz w:val="22"/>
          <w:szCs w:val="22"/>
          <w:highlight w:val="white"/>
        </w:rPr>
        <w:t>transition regimes</w:t>
      </w:r>
      <w:r w:rsidR="00B14C40" w:rsidRPr="00E572FD">
        <w:rPr>
          <w:sz w:val="22"/>
          <w:szCs w:val="22"/>
          <w:highlight w:val="white"/>
        </w:rPr>
        <w:t xml:space="preserve"> for implementation:</w:t>
      </w:r>
    </w:p>
    <w:p w14:paraId="619F07C2" w14:textId="77777777" w:rsidR="00010815" w:rsidRPr="00E572FD" w:rsidRDefault="00010815" w:rsidP="00010815">
      <w:pPr>
        <w:pStyle w:val="CommentText"/>
        <w:rPr>
          <w:sz w:val="22"/>
          <w:szCs w:val="22"/>
        </w:rPr>
      </w:pPr>
    </w:p>
    <w:p w14:paraId="54E162EB" w14:textId="0E35C74F" w:rsidR="00010815" w:rsidRPr="00682CEF" w:rsidRDefault="00010815" w:rsidP="00E572FD">
      <w:pPr>
        <w:pStyle w:val="CommentText"/>
        <w:ind w:left="720"/>
        <w:rPr>
          <w:sz w:val="22"/>
          <w:u w:val="single"/>
        </w:rPr>
      </w:pPr>
      <w:r w:rsidRPr="00E572FD">
        <w:rPr>
          <w:sz w:val="22"/>
          <w:szCs w:val="22"/>
          <w:highlight w:val="white"/>
          <w:u w:val="single"/>
        </w:rPr>
        <w:t>Option 1</w:t>
      </w:r>
      <w:r w:rsidRPr="00E572FD">
        <w:rPr>
          <w:sz w:val="22"/>
          <w:szCs w:val="22"/>
          <w:highlight w:val="white"/>
        </w:rPr>
        <w:t xml:space="preserve">: an application filed on or after the entry into force date of version 2.0 that is a continuing application of an application filed </w:t>
      </w:r>
      <w:r w:rsidR="0047377D">
        <w:rPr>
          <w:sz w:val="22"/>
          <w:szCs w:val="22"/>
          <w:highlight w:val="white"/>
        </w:rPr>
        <w:t>under an earlier version of</w:t>
      </w:r>
      <w:r w:rsidRPr="00E572FD">
        <w:rPr>
          <w:sz w:val="22"/>
          <w:szCs w:val="22"/>
          <w:highlight w:val="white"/>
        </w:rPr>
        <w:t xml:space="preserve"> WIPO Standard ST.26 will be evaluated under version 1.7 rule</w:t>
      </w:r>
      <w:r w:rsidR="00BA7FD8">
        <w:rPr>
          <w:sz w:val="22"/>
          <w:szCs w:val="22"/>
          <w:highlight w:val="white"/>
        </w:rPr>
        <w:t xml:space="preserve">s; i.e., </w:t>
      </w:r>
      <w:r w:rsidRPr="00E572FD">
        <w:rPr>
          <w:sz w:val="22"/>
          <w:szCs w:val="22"/>
          <w:highlight w:val="white"/>
        </w:rPr>
        <w:t xml:space="preserve">modified residues should be represented in a sequence as the corresponding unmodified residue whenever possible, but this representation is </w:t>
      </w:r>
      <w:r w:rsidRPr="00682CEF">
        <w:rPr>
          <w:sz w:val="22"/>
          <w:highlight w:val="white"/>
          <w:u w:val="single"/>
        </w:rPr>
        <w:t>not</w:t>
      </w:r>
      <w:r w:rsidRPr="00E572FD">
        <w:rPr>
          <w:sz w:val="22"/>
          <w:szCs w:val="22"/>
          <w:highlight w:val="white"/>
        </w:rPr>
        <w:t xml:space="preserve"> a requirement; </w:t>
      </w:r>
      <w:r w:rsidRPr="00E572FD">
        <w:rPr>
          <w:sz w:val="22"/>
          <w:szCs w:val="22"/>
          <w:highlight w:val="white"/>
          <w:u w:val="single"/>
        </w:rPr>
        <w:t>or</w:t>
      </w:r>
    </w:p>
    <w:p w14:paraId="19DD2A88" w14:textId="0A6CE92B" w:rsidR="00682CEF" w:rsidRDefault="00682CEF">
      <w:pPr>
        <w:rPr>
          <w:highlight w:val="white"/>
          <w:u w:val="single"/>
        </w:rPr>
      </w:pPr>
    </w:p>
    <w:p w14:paraId="149B9D7A" w14:textId="43C28E62" w:rsidR="00010815" w:rsidRPr="00227373" w:rsidRDefault="00010815" w:rsidP="00227373">
      <w:pPr>
        <w:pStyle w:val="CommentText"/>
        <w:ind w:left="720"/>
        <w:rPr>
          <w:sz w:val="22"/>
          <w:szCs w:val="22"/>
        </w:rPr>
      </w:pPr>
      <w:r w:rsidRPr="00E572FD">
        <w:rPr>
          <w:sz w:val="22"/>
          <w:szCs w:val="22"/>
          <w:highlight w:val="white"/>
          <w:u w:val="single"/>
        </w:rPr>
        <w:lastRenderedPageBreak/>
        <w:t>Option 2</w:t>
      </w:r>
      <w:r w:rsidRPr="00E572FD">
        <w:rPr>
          <w:sz w:val="22"/>
          <w:szCs w:val="22"/>
          <w:highlight w:val="white"/>
        </w:rPr>
        <w:t>: an application filed on or after the entry into force date of version 2.0</w:t>
      </w:r>
      <w:r w:rsidR="001624FF" w:rsidRPr="001624FF">
        <w:rPr>
          <w:sz w:val="22"/>
          <w:szCs w:val="22"/>
          <w:highlight w:val="white"/>
        </w:rPr>
        <w:t xml:space="preserve"> </w:t>
      </w:r>
      <w:r w:rsidR="001624FF" w:rsidRPr="0050798F">
        <w:rPr>
          <w:sz w:val="22"/>
          <w:szCs w:val="22"/>
          <w:highlight w:val="white"/>
        </w:rPr>
        <w:t xml:space="preserve">that is a continuing application of an application filed </w:t>
      </w:r>
      <w:r w:rsidR="001624FF">
        <w:rPr>
          <w:sz w:val="22"/>
          <w:szCs w:val="22"/>
          <w:highlight w:val="white"/>
        </w:rPr>
        <w:t>under an earlier version of</w:t>
      </w:r>
      <w:r w:rsidR="001624FF" w:rsidRPr="0050798F">
        <w:rPr>
          <w:sz w:val="22"/>
          <w:szCs w:val="22"/>
          <w:highlight w:val="white"/>
        </w:rPr>
        <w:t xml:space="preserve"> WIPO Standard ST.26 </w:t>
      </w:r>
      <w:r w:rsidRPr="00E572FD">
        <w:rPr>
          <w:sz w:val="22"/>
          <w:szCs w:val="22"/>
          <w:highlight w:val="white"/>
        </w:rPr>
        <w:t xml:space="preserve">will be evaluated under </w:t>
      </w:r>
      <w:r w:rsidR="0047377D">
        <w:rPr>
          <w:sz w:val="22"/>
          <w:szCs w:val="22"/>
          <w:highlight w:val="white"/>
        </w:rPr>
        <w:t>version 2.0 rules</w:t>
      </w:r>
      <w:r w:rsidR="00BA7FD8">
        <w:rPr>
          <w:sz w:val="22"/>
          <w:szCs w:val="22"/>
          <w:highlight w:val="white"/>
        </w:rPr>
        <w:t>; i.e.,</w:t>
      </w:r>
      <w:r w:rsidRPr="00E572FD">
        <w:rPr>
          <w:sz w:val="22"/>
          <w:szCs w:val="22"/>
          <w:highlight w:val="white"/>
        </w:rPr>
        <w:t xml:space="preserve"> it </w:t>
      </w:r>
      <w:r w:rsidR="00E76F79">
        <w:rPr>
          <w:sz w:val="22"/>
          <w:szCs w:val="22"/>
          <w:highlight w:val="white"/>
        </w:rPr>
        <w:t>is</w:t>
      </w:r>
      <w:r w:rsidRPr="00E572FD">
        <w:rPr>
          <w:sz w:val="22"/>
          <w:szCs w:val="22"/>
          <w:highlight w:val="white"/>
        </w:rPr>
        <w:t xml:space="preserve"> </w:t>
      </w:r>
      <w:r w:rsidRPr="00682CEF">
        <w:rPr>
          <w:sz w:val="22"/>
          <w:highlight w:val="white"/>
          <w:u w:val="single"/>
        </w:rPr>
        <w:t>mandatory</w:t>
      </w:r>
      <w:r w:rsidRPr="00E572FD">
        <w:rPr>
          <w:sz w:val="22"/>
          <w:szCs w:val="22"/>
          <w:highlight w:val="white"/>
        </w:rPr>
        <w:t xml:space="preserve"> to represent certain modified residues using the symbol of the corresponding unmodified residue in a sequence.  </w:t>
      </w:r>
    </w:p>
    <w:p w14:paraId="42167FAC" w14:textId="77777777" w:rsidR="00010815" w:rsidRDefault="00010815" w:rsidP="006F50B6">
      <w:pPr>
        <w:pStyle w:val="ListParagraph"/>
        <w:tabs>
          <w:tab w:val="left" w:pos="685"/>
        </w:tabs>
        <w:ind w:left="115" w:right="219"/>
      </w:pPr>
    </w:p>
    <w:p w14:paraId="71EB87ED" w14:textId="54095291" w:rsidR="00032531" w:rsidRDefault="0076076E" w:rsidP="006F50B6">
      <w:pPr>
        <w:pStyle w:val="ListParagraph"/>
        <w:tabs>
          <w:tab w:val="left" w:pos="685"/>
        </w:tabs>
        <w:ind w:left="115" w:right="219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32531">
        <w:t>Members of the T</w:t>
      </w:r>
      <w:r w:rsidR="006F50B6">
        <w:t xml:space="preserve">ask </w:t>
      </w:r>
      <w:r w:rsidR="00032531">
        <w:t>F</w:t>
      </w:r>
      <w:r w:rsidR="006F50B6">
        <w:t>orce</w:t>
      </w:r>
      <w:r w:rsidR="00032531">
        <w:t xml:space="preserve"> agreed that this proposal would result in a </w:t>
      </w:r>
      <w:r w:rsidR="00604917">
        <w:t xml:space="preserve">substantive </w:t>
      </w:r>
      <w:r w:rsidR="006F50B6">
        <w:t xml:space="preserve">revision to WIPO </w:t>
      </w:r>
      <w:r w:rsidR="005E6DB0">
        <w:t xml:space="preserve">Standard </w:t>
      </w:r>
      <w:r w:rsidR="006F50B6">
        <w:t>ST.26</w:t>
      </w:r>
      <w:r w:rsidR="00C45DB9">
        <w:t xml:space="preserve"> and that more time would be needed to consider the impact </w:t>
      </w:r>
      <w:r w:rsidR="006F50B6">
        <w:t xml:space="preserve">of the </w:t>
      </w:r>
      <w:r w:rsidR="00C45DB9">
        <w:t xml:space="preserve">proposed amendment and </w:t>
      </w:r>
      <w:r w:rsidR="006F50B6">
        <w:t xml:space="preserve">the two proposed </w:t>
      </w:r>
      <w:r w:rsidR="00C45DB9" w:rsidRPr="00C45DB9">
        <w:t>transition regime</w:t>
      </w:r>
      <w:r w:rsidR="006F50B6">
        <w:t>s</w:t>
      </w:r>
      <w:r w:rsidR="00C45DB9">
        <w:t xml:space="preserve">. </w:t>
      </w:r>
    </w:p>
    <w:p w14:paraId="1238C59F" w14:textId="77777777" w:rsidR="00032531" w:rsidRDefault="00032531" w:rsidP="0009423B">
      <w:pPr>
        <w:pStyle w:val="ListParagraph"/>
      </w:pPr>
    </w:p>
    <w:p w14:paraId="4E8CFACF" w14:textId="1C20274D" w:rsidR="0076076E" w:rsidRDefault="0076076E" w:rsidP="0076076E">
      <w:pPr>
        <w:pStyle w:val="ListParagraph"/>
        <w:tabs>
          <w:tab w:val="left" w:pos="685"/>
        </w:tabs>
        <w:spacing w:after="240"/>
        <w:ind w:left="115" w:right="219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30F5D">
        <w:t xml:space="preserve">The </w:t>
      </w:r>
      <w:r w:rsidR="00685757">
        <w:t xml:space="preserve">EPO </w:t>
      </w:r>
      <w:r w:rsidR="006F50B6">
        <w:t xml:space="preserve">proposal </w:t>
      </w:r>
      <w:r w:rsidR="00C45DB9">
        <w:t xml:space="preserve">concerns </w:t>
      </w:r>
      <w:r w:rsidR="00685757">
        <w:t xml:space="preserve">the </w:t>
      </w:r>
      <w:r w:rsidR="006F50B6">
        <w:t>lifting</w:t>
      </w:r>
      <w:r w:rsidR="00685757">
        <w:t xml:space="preserve"> of the minimum sequence length requirement</w:t>
      </w:r>
      <w:r w:rsidR="006F50B6">
        <w:t>,</w:t>
      </w:r>
      <w:r w:rsidR="00685757">
        <w:t xml:space="preserve"> </w:t>
      </w:r>
      <w:r w:rsidR="006F50B6">
        <w:t>which restricts the inclusion of short sequences</w:t>
      </w:r>
      <w:r w:rsidR="00421C66">
        <w:t xml:space="preserve"> (nucleotide sequences less than 10 specifically defined residues and amino acid sequences less than 4 specifically defined amino acids)</w:t>
      </w:r>
      <w:r w:rsidR="00685757">
        <w:t>, on the grounds that these sequences are important to search for specific domains such as</w:t>
      </w:r>
      <w:r w:rsidR="00E30F5D" w:rsidRPr="00E30F5D">
        <w:t xml:space="preserve"> antibodies</w:t>
      </w:r>
      <w:r w:rsidR="005E6DB0">
        <w:t xml:space="preserve">, </w:t>
      </w:r>
      <w:r w:rsidR="00E30F5D" w:rsidRPr="00E30F5D">
        <w:t xml:space="preserve">defined by short </w:t>
      </w:r>
      <w:r w:rsidR="005E6DB0">
        <w:t>Complementarity Determining Regions (</w:t>
      </w:r>
      <w:r w:rsidR="00E30F5D" w:rsidRPr="00E30F5D">
        <w:t>CDRs), therapeutic nucleic acids, aptamers and peptides</w:t>
      </w:r>
      <w:r w:rsidR="00E30F5D">
        <w:t xml:space="preserve">. </w:t>
      </w:r>
      <w:r w:rsidR="00055C00">
        <w:t xml:space="preserve"> </w:t>
      </w:r>
      <w:r w:rsidR="00C45DB9">
        <w:t>T</w:t>
      </w:r>
      <w:r w:rsidR="00E30F5D">
        <w:t xml:space="preserve">he </w:t>
      </w:r>
      <w:r w:rsidR="00E572FD" w:rsidRPr="00D74CAC">
        <w:t xml:space="preserve">European Bioinformatics Institute </w:t>
      </w:r>
      <w:r w:rsidR="00E572FD">
        <w:t>(</w:t>
      </w:r>
      <w:r w:rsidR="00C21C22">
        <w:t>EBI</w:t>
      </w:r>
      <w:r w:rsidR="00E572FD">
        <w:t>)</w:t>
      </w:r>
      <w:r w:rsidR="00E30F5D">
        <w:t xml:space="preserve"> confirmed </w:t>
      </w:r>
      <w:r w:rsidR="00C21C22">
        <w:t xml:space="preserve">with the EPO </w:t>
      </w:r>
      <w:r w:rsidR="00E30F5D">
        <w:t xml:space="preserve">that </w:t>
      </w:r>
      <w:r w:rsidR="00C21C22">
        <w:t xml:space="preserve">they do not reject </w:t>
      </w:r>
      <w:r w:rsidR="00E30F5D">
        <w:t>small sequences</w:t>
      </w:r>
      <w:r w:rsidR="00C45DB9">
        <w:t xml:space="preserve">. </w:t>
      </w:r>
      <w:r w:rsidR="00055C00">
        <w:t xml:space="preserve"> </w:t>
      </w:r>
      <w:r w:rsidR="00C45DB9">
        <w:t>A</w:t>
      </w:r>
      <w:r w:rsidR="0050300B">
        <w:t xml:space="preserve">s </w:t>
      </w:r>
      <w:r w:rsidR="00C21C22">
        <w:t>the members of the</w:t>
      </w:r>
      <w:r w:rsidR="00364FA7" w:rsidRPr="00364FA7">
        <w:t xml:space="preserve"> International Nucleotide Sequence Database Collaboration</w:t>
      </w:r>
      <w:r w:rsidR="00C21C22">
        <w:t xml:space="preserve"> </w:t>
      </w:r>
      <w:r w:rsidR="00364FA7">
        <w:t>(</w:t>
      </w:r>
      <w:r w:rsidR="00C21C22">
        <w:t>INSDC</w:t>
      </w:r>
      <w:r w:rsidR="00364FA7">
        <w:t>)</w:t>
      </w:r>
      <w:r w:rsidR="00E30F5D">
        <w:t xml:space="preserve"> exchange data </w:t>
      </w:r>
      <w:r>
        <w:t>daily</w:t>
      </w:r>
      <w:r w:rsidR="0050300B">
        <w:t xml:space="preserve">, the </w:t>
      </w:r>
      <w:r w:rsidR="00C21C22">
        <w:t xml:space="preserve">potential inclusion of </w:t>
      </w:r>
      <w:r w:rsidR="0050300B">
        <w:t xml:space="preserve">small sequences in the public </w:t>
      </w:r>
      <w:r w:rsidR="00055C00">
        <w:t>databases</w:t>
      </w:r>
      <w:r w:rsidR="00C21C22">
        <w:t xml:space="preserve"> merits further investigation by the Task Force</w:t>
      </w:r>
      <w:r w:rsidR="00E30F5D">
        <w:t>.</w:t>
      </w:r>
      <w:r w:rsidR="00055C00">
        <w:t xml:space="preserve"> </w:t>
      </w:r>
      <w:r w:rsidR="00E30F5D">
        <w:t xml:space="preserve"> </w:t>
      </w:r>
      <w:r w:rsidR="00DD0FFE">
        <w:t>This proposal would</w:t>
      </w:r>
      <w:r w:rsidR="006B075C">
        <w:t xml:space="preserve"> also</w:t>
      </w:r>
      <w:r w:rsidR="004066F5">
        <w:t xml:space="preserve"> likely</w:t>
      </w:r>
      <w:r w:rsidR="00DD0FFE">
        <w:t xml:space="preserve"> result in a </w:t>
      </w:r>
      <w:r w:rsidR="00604917">
        <w:t xml:space="preserve">substantive </w:t>
      </w:r>
      <w:r w:rsidR="00055C00">
        <w:t>revision</w:t>
      </w:r>
      <w:r w:rsidR="00DD0FFE">
        <w:t xml:space="preserve"> </w:t>
      </w:r>
      <w:r w:rsidR="00055C00">
        <w:t>to</w:t>
      </w:r>
      <w:r w:rsidR="00DD0FFE">
        <w:t xml:space="preserve"> the Standard.</w:t>
      </w:r>
      <w:r w:rsidR="00055C00">
        <w:t xml:space="preserve">  </w:t>
      </w:r>
    </w:p>
    <w:p w14:paraId="059B69A8" w14:textId="28716F77" w:rsidR="00685757" w:rsidRDefault="0076076E" w:rsidP="00055C00">
      <w:pPr>
        <w:pStyle w:val="ListParagraph"/>
        <w:tabs>
          <w:tab w:val="left" w:pos="685"/>
        </w:tabs>
        <w:ind w:left="115" w:right="219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D0FFE">
        <w:t>The T</w:t>
      </w:r>
      <w:r w:rsidR="00055C00">
        <w:t xml:space="preserve">ask </w:t>
      </w:r>
      <w:r w:rsidR="00DD0FFE">
        <w:t>F</w:t>
      </w:r>
      <w:r w:rsidR="00055C00">
        <w:t>orce</w:t>
      </w:r>
      <w:r w:rsidR="00DD0FFE">
        <w:t xml:space="preserve"> agreed </w:t>
      </w:r>
      <w:r w:rsidR="00E572FD">
        <w:t>to</w:t>
      </w:r>
      <w:r w:rsidR="00C21C22">
        <w:t xml:space="preserve"> collect the arguments and counterarguments for the short sequence proposal </w:t>
      </w:r>
      <w:r w:rsidR="00E572FD">
        <w:t>in</w:t>
      </w:r>
      <w:r w:rsidR="00B8172B">
        <w:t xml:space="preserve"> </w:t>
      </w:r>
      <w:r w:rsidR="00E572FD">
        <w:t xml:space="preserve">order </w:t>
      </w:r>
      <w:r w:rsidR="00C21C22">
        <w:t>to ensure that all Task Force members understand the issues and can discuss them</w:t>
      </w:r>
      <w:r w:rsidR="005E6DB0">
        <w:t xml:space="preserve">. </w:t>
      </w:r>
      <w:r w:rsidR="00C21C22">
        <w:t xml:space="preserve"> </w:t>
      </w:r>
      <w:bookmarkStart w:id="0" w:name="_Hlk174549866"/>
      <w:r w:rsidR="004066F5">
        <w:t>The Task Force also agreed to collect feedback on the proposal from the users of WIPO Standard ST.26</w:t>
      </w:r>
      <w:r w:rsidR="00094340">
        <w:t xml:space="preserve"> through a formal survey</w:t>
      </w:r>
      <w:r w:rsidR="004066F5">
        <w:t>.  Therefore</w:t>
      </w:r>
      <w:r w:rsidR="005C0527">
        <w:t>,</w:t>
      </w:r>
      <w:r w:rsidR="004066F5">
        <w:t xml:space="preserve"> the Task Force plans to prepare a survey questionnaire</w:t>
      </w:r>
      <w:r w:rsidR="00094340">
        <w:t xml:space="preserve"> which should be addressed to patent applicants, IPOs and any </w:t>
      </w:r>
      <w:r>
        <w:t xml:space="preserve">other </w:t>
      </w:r>
      <w:r w:rsidR="00094340">
        <w:t xml:space="preserve">interested parties. </w:t>
      </w:r>
      <w:r w:rsidR="004066F5">
        <w:t xml:space="preserve"> </w:t>
      </w:r>
      <w:r w:rsidR="00094340">
        <w:t>The Task Force proposes to discuss the survey scope and process, and potential questions for the survey questionnaire at the present session.</w:t>
      </w:r>
      <w:bookmarkEnd w:id="0"/>
    </w:p>
    <w:p w14:paraId="30BF9AA8" w14:textId="77777777" w:rsidR="00DD0FFE" w:rsidRDefault="00DD0FFE" w:rsidP="0009423B">
      <w:pPr>
        <w:pStyle w:val="ListParagraph"/>
        <w:tabs>
          <w:tab w:val="left" w:pos="685"/>
        </w:tabs>
        <w:ind w:left="115" w:right="219"/>
      </w:pPr>
    </w:p>
    <w:p w14:paraId="2C44A668" w14:textId="00B678D4" w:rsidR="00055C00" w:rsidRDefault="007040C4" w:rsidP="000977B1">
      <w:pPr>
        <w:pStyle w:val="ListParagraph"/>
        <w:tabs>
          <w:tab w:val="left" w:pos="685"/>
        </w:tabs>
        <w:ind w:left="115" w:right="219"/>
      </w:pPr>
      <w:r>
        <w:t>1</w:t>
      </w:r>
      <w:r w:rsidR="00C21C22">
        <w:t>2</w:t>
      </w:r>
      <w:r w:rsidR="00F14B20">
        <w:t>.</w:t>
      </w:r>
      <w:r w:rsidR="006F50B6">
        <w:tab/>
      </w:r>
      <w:r w:rsidR="00B41EDE">
        <w:t xml:space="preserve">As the </w:t>
      </w:r>
      <w:r w:rsidR="00055C00">
        <w:t>WIPO</w:t>
      </w:r>
      <w:r w:rsidR="00B41EDE">
        <w:t xml:space="preserve"> </w:t>
      </w:r>
      <w:r w:rsidR="00CA0AB0">
        <w:t xml:space="preserve">ST.26 </w:t>
      </w:r>
      <w:r w:rsidR="00B41EDE">
        <w:t xml:space="preserve">is </w:t>
      </w:r>
      <w:r w:rsidR="00055C00">
        <w:t>considered</w:t>
      </w:r>
      <w:r w:rsidR="00B41EDE">
        <w:t xml:space="preserve"> stable </w:t>
      </w:r>
      <w:r w:rsidR="00CA0AB0">
        <w:t>at this moment, the</w:t>
      </w:r>
      <w:r w:rsidR="00B41EDE">
        <w:t xml:space="preserve"> T</w:t>
      </w:r>
      <w:r w:rsidR="00364FA7">
        <w:t xml:space="preserve">ask </w:t>
      </w:r>
      <w:r w:rsidR="00B41EDE">
        <w:t>F</w:t>
      </w:r>
      <w:r w:rsidR="00364FA7">
        <w:t>orce</w:t>
      </w:r>
      <w:r w:rsidR="00B41EDE">
        <w:t xml:space="preserve"> concluded that </w:t>
      </w:r>
      <w:r w:rsidR="004807E9">
        <w:t xml:space="preserve">more discussions </w:t>
      </w:r>
      <w:r w:rsidR="00227373">
        <w:t xml:space="preserve">and further consultations </w:t>
      </w:r>
      <w:r w:rsidR="004807E9">
        <w:t xml:space="preserve">are </w:t>
      </w:r>
      <w:r w:rsidR="00055C00">
        <w:t>required</w:t>
      </w:r>
      <w:r w:rsidR="004807E9">
        <w:t xml:space="preserve"> </w:t>
      </w:r>
      <w:r w:rsidR="000547FA">
        <w:t xml:space="preserve">before </w:t>
      </w:r>
      <w:r w:rsidR="00227373">
        <w:t xml:space="preserve">the </w:t>
      </w:r>
      <w:r w:rsidR="000547FA">
        <w:t xml:space="preserve">submission of </w:t>
      </w:r>
      <w:r w:rsidR="00227373">
        <w:t xml:space="preserve">these two </w:t>
      </w:r>
      <w:r w:rsidR="00364FA7">
        <w:t xml:space="preserve">proposals for </w:t>
      </w:r>
      <w:r w:rsidR="000547FA">
        <w:t xml:space="preserve">revision to the CWS for </w:t>
      </w:r>
      <w:r w:rsidR="00364FA7">
        <w:t xml:space="preserve">consideration and </w:t>
      </w:r>
      <w:r w:rsidR="000547FA">
        <w:t xml:space="preserve">approval. </w:t>
      </w:r>
      <w:r w:rsidR="00055C00">
        <w:t xml:space="preserve"> </w:t>
      </w:r>
      <w:r w:rsidR="00DD0FFE">
        <w:t>Pending such</w:t>
      </w:r>
      <w:r w:rsidR="00055C00">
        <w:t xml:space="preserve"> a</w:t>
      </w:r>
      <w:r w:rsidR="00DD0FFE">
        <w:t xml:space="preserve"> </w:t>
      </w:r>
      <w:r w:rsidR="00604917">
        <w:t>substantive update</w:t>
      </w:r>
      <w:r w:rsidR="00DD0FFE">
        <w:t>, the T</w:t>
      </w:r>
      <w:r w:rsidR="00227373">
        <w:t xml:space="preserve">ask </w:t>
      </w:r>
      <w:r w:rsidR="00DD0FFE">
        <w:t>F</w:t>
      </w:r>
      <w:r w:rsidR="00227373">
        <w:t>orce</w:t>
      </w:r>
      <w:r w:rsidR="00DD0FFE">
        <w:t xml:space="preserve"> </w:t>
      </w:r>
      <w:r w:rsidR="00227373">
        <w:t>selected to not</w:t>
      </w:r>
      <w:r w:rsidR="00DD0FFE">
        <w:t xml:space="preserve"> propose a</w:t>
      </w:r>
      <w:r w:rsidR="00604917">
        <w:t xml:space="preserve"> new </w:t>
      </w:r>
      <w:r w:rsidR="00227373">
        <w:t>minor revision of WIPO</w:t>
      </w:r>
      <w:r w:rsidR="00DD0FFE">
        <w:t xml:space="preserve"> Standard ST.26 </w:t>
      </w:r>
      <w:r w:rsidR="00604917">
        <w:t xml:space="preserve">for </w:t>
      </w:r>
      <w:r w:rsidR="00227373">
        <w:t xml:space="preserve">consideration and </w:t>
      </w:r>
      <w:r w:rsidR="00364FA7">
        <w:t>approval</w:t>
      </w:r>
      <w:r w:rsidR="00227373">
        <w:t>,</w:t>
      </w:r>
      <w:r w:rsidR="00604917">
        <w:t xml:space="preserve"> </w:t>
      </w:r>
      <w:r w:rsidR="0076076E">
        <w:t xml:space="preserve">which would be </w:t>
      </w:r>
      <w:r w:rsidR="00DD0FFE">
        <w:t>limited to</w:t>
      </w:r>
      <w:r w:rsidR="009C3640">
        <w:t xml:space="preserve"> </w:t>
      </w:r>
      <w:r w:rsidR="00DD0FFE">
        <w:t>editorial improvement</w:t>
      </w:r>
      <w:r w:rsidR="009C3640">
        <w:t>s</w:t>
      </w:r>
      <w:r w:rsidR="00F92742">
        <w:t xml:space="preserve"> only</w:t>
      </w:r>
      <w:r w:rsidR="00DD0FFE">
        <w:t xml:space="preserve">. </w:t>
      </w:r>
    </w:p>
    <w:p w14:paraId="62C8465E" w14:textId="77777777" w:rsidR="002F52CA" w:rsidRDefault="002F52CA">
      <w:pPr>
        <w:pStyle w:val="BodyText"/>
        <w:spacing w:before="11"/>
        <w:rPr>
          <w:sz w:val="20"/>
        </w:rPr>
      </w:pPr>
    </w:p>
    <w:p w14:paraId="782D23F5" w14:textId="5A1EFE00" w:rsidR="00DD0FFE" w:rsidRPr="005E6DB0" w:rsidRDefault="00F92742" w:rsidP="00682CEF">
      <w:pPr>
        <w:pStyle w:val="Heading1"/>
        <w:spacing w:after="240"/>
        <w:rPr>
          <w:spacing w:val="-4"/>
        </w:rPr>
      </w:pPr>
      <w:r>
        <w:t>WORK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1C4517D6" w14:textId="4081EA35" w:rsidR="002F52CA" w:rsidRDefault="007040C4" w:rsidP="00055C00">
      <w:pPr>
        <w:pStyle w:val="ListParagraph"/>
        <w:tabs>
          <w:tab w:val="left" w:pos="685"/>
        </w:tabs>
        <w:spacing w:before="59"/>
        <w:ind w:left="115" w:right="760"/>
      </w:pPr>
      <w:r>
        <w:t>1</w:t>
      </w:r>
      <w:r w:rsidR="00C21C22">
        <w:t>3</w:t>
      </w:r>
      <w:r w:rsidR="00F14B20">
        <w:t>.</w:t>
      </w:r>
      <w:r w:rsidR="00055C00">
        <w:tab/>
      </w:r>
      <w:r w:rsidR="00F92742">
        <w:t>The</w:t>
      </w:r>
      <w:r w:rsidR="00F92742">
        <w:rPr>
          <w:spacing w:val="-3"/>
        </w:rPr>
        <w:t xml:space="preserve"> </w:t>
      </w:r>
      <w:r w:rsidR="00F92742">
        <w:t>following</w:t>
      </w:r>
      <w:r w:rsidR="00F92742">
        <w:rPr>
          <w:spacing w:val="-4"/>
        </w:rPr>
        <w:t xml:space="preserve"> </w:t>
      </w:r>
      <w:r w:rsidR="00F92742">
        <w:t>items</w:t>
      </w:r>
      <w:r w:rsidR="00F92742">
        <w:rPr>
          <w:spacing w:val="-4"/>
        </w:rPr>
        <w:t xml:space="preserve"> </w:t>
      </w:r>
      <w:r w:rsidR="00F92742">
        <w:t>are</w:t>
      </w:r>
      <w:r w:rsidR="00F92742">
        <w:rPr>
          <w:spacing w:val="-3"/>
        </w:rPr>
        <w:t xml:space="preserve"> </w:t>
      </w:r>
      <w:r w:rsidR="00F92742">
        <w:t>considered</w:t>
      </w:r>
      <w:r w:rsidR="00F92742">
        <w:rPr>
          <w:spacing w:val="-4"/>
        </w:rPr>
        <w:t xml:space="preserve"> </w:t>
      </w:r>
      <w:r w:rsidR="00F92742">
        <w:t>a</w:t>
      </w:r>
      <w:r w:rsidR="00F92742">
        <w:rPr>
          <w:spacing w:val="-4"/>
        </w:rPr>
        <w:t xml:space="preserve"> </w:t>
      </w:r>
      <w:r w:rsidR="00F92742">
        <w:t>priority</w:t>
      </w:r>
      <w:r w:rsidR="00F92742">
        <w:rPr>
          <w:spacing w:val="-4"/>
        </w:rPr>
        <w:t xml:space="preserve"> </w:t>
      </w:r>
      <w:r w:rsidR="00F92742">
        <w:t>in</w:t>
      </w:r>
      <w:r w:rsidR="00F92742">
        <w:rPr>
          <w:spacing w:val="-4"/>
        </w:rPr>
        <w:t xml:space="preserve"> </w:t>
      </w:r>
      <w:r w:rsidR="00F92742">
        <w:t>the</w:t>
      </w:r>
      <w:r w:rsidR="00F92742">
        <w:rPr>
          <w:spacing w:val="-4"/>
        </w:rPr>
        <w:t xml:space="preserve"> </w:t>
      </w:r>
      <w:r w:rsidR="00F92742">
        <w:t>upcoming</w:t>
      </w:r>
      <w:r w:rsidR="00F92742">
        <w:rPr>
          <w:spacing w:val="-3"/>
        </w:rPr>
        <w:t xml:space="preserve"> </w:t>
      </w:r>
      <w:r w:rsidR="00F92742">
        <w:t>year</w:t>
      </w:r>
      <w:r w:rsidR="00F92742">
        <w:rPr>
          <w:spacing w:val="-4"/>
        </w:rPr>
        <w:t xml:space="preserve"> </w:t>
      </w:r>
      <w:r w:rsidR="00F92742">
        <w:t>for</w:t>
      </w:r>
      <w:r w:rsidR="00F92742">
        <w:rPr>
          <w:spacing w:val="-4"/>
        </w:rPr>
        <w:t xml:space="preserve"> </w:t>
      </w:r>
      <w:r w:rsidR="00F92742">
        <w:t>the</w:t>
      </w:r>
      <w:r w:rsidR="00F92742">
        <w:rPr>
          <w:spacing w:val="-4"/>
        </w:rPr>
        <w:t xml:space="preserve"> </w:t>
      </w:r>
      <w:r w:rsidR="00F92742">
        <w:t>Sequence Listings Task Force:</w:t>
      </w:r>
    </w:p>
    <w:p w14:paraId="21B03FB1" w14:textId="77777777" w:rsidR="002F52CA" w:rsidRDefault="002F52CA">
      <w:pPr>
        <w:pStyle w:val="BodyText"/>
        <w:spacing w:before="10"/>
        <w:rPr>
          <w:sz w:val="20"/>
        </w:rPr>
      </w:pPr>
    </w:p>
    <w:p w14:paraId="26E0668E" w14:textId="50BABC5D" w:rsidR="00227373" w:rsidRDefault="00227373">
      <w:pPr>
        <w:pStyle w:val="ListParagraph"/>
        <w:numPr>
          <w:ilvl w:val="1"/>
          <w:numId w:val="1"/>
        </w:numPr>
        <w:tabs>
          <w:tab w:val="left" w:pos="1252"/>
        </w:tabs>
        <w:spacing w:before="120"/>
        <w:ind w:left="680" w:right="455" w:firstLine="0"/>
      </w:pPr>
      <w:r>
        <w:t xml:space="preserve">Preparation of the formal survey questionnaire regarding </w:t>
      </w:r>
      <w:r w:rsidR="003D5B10">
        <w:t xml:space="preserve">the </w:t>
      </w:r>
      <w:r>
        <w:t>EPO proposal</w:t>
      </w:r>
      <w:r w:rsidR="003D5B10">
        <w:t>, as referred to in paragraph 11 above</w:t>
      </w:r>
      <w:r>
        <w:t xml:space="preserve">; </w:t>
      </w:r>
    </w:p>
    <w:p w14:paraId="5E34EAEB" w14:textId="7C5D6B0A" w:rsidR="002F52CA" w:rsidRDefault="00F92742">
      <w:pPr>
        <w:pStyle w:val="ListParagraph"/>
        <w:numPr>
          <w:ilvl w:val="1"/>
          <w:numId w:val="1"/>
        </w:numPr>
        <w:tabs>
          <w:tab w:val="left" w:pos="1252"/>
        </w:tabs>
        <w:spacing w:before="120"/>
        <w:ind w:left="680" w:right="455" w:firstLine="0"/>
      </w:pP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releases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user feedback regarding their use of WIPO Sequence; and</w:t>
      </w:r>
    </w:p>
    <w:p w14:paraId="2F2531DC" w14:textId="7F5967B6" w:rsidR="002F52CA" w:rsidRDefault="00055C00">
      <w:pPr>
        <w:pStyle w:val="ListParagraph"/>
        <w:numPr>
          <w:ilvl w:val="1"/>
          <w:numId w:val="1"/>
        </w:numPr>
        <w:tabs>
          <w:tab w:val="left" w:pos="1252"/>
        </w:tabs>
        <w:spacing w:before="120"/>
        <w:ind w:left="680" w:right="500" w:firstLine="0"/>
      </w:pPr>
      <w:r>
        <w:t>Collaborating</w:t>
      </w:r>
      <w:r w:rsidR="00F92742">
        <w:rPr>
          <w:spacing w:val="-3"/>
        </w:rPr>
        <w:t xml:space="preserve"> </w:t>
      </w:r>
      <w:r w:rsidR="00F92742">
        <w:t>on</w:t>
      </w:r>
      <w:r w:rsidR="00F92742">
        <w:rPr>
          <w:spacing w:val="-4"/>
        </w:rPr>
        <w:t xml:space="preserve"> </w:t>
      </w:r>
      <w:r w:rsidR="00F92742">
        <w:t>any</w:t>
      </w:r>
      <w:r w:rsidR="00F92742">
        <w:rPr>
          <w:spacing w:val="-4"/>
        </w:rPr>
        <w:t xml:space="preserve"> </w:t>
      </w:r>
      <w:r w:rsidR="00F92742">
        <w:t>further</w:t>
      </w:r>
      <w:r w:rsidR="00F92742">
        <w:rPr>
          <w:spacing w:val="-4"/>
        </w:rPr>
        <w:t xml:space="preserve"> </w:t>
      </w:r>
      <w:r w:rsidR="00F92742">
        <w:t>revision</w:t>
      </w:r>
      <w:r>
        <w:t>s</w:t>
      </w:r>
      <w:r w:rsidR="00F92742">
        <w:rPr>
          <w:spacing w:val="-3"/>
        </w:rPr>
        <w:t xml:space="preserve"> </w:t>
      </w:r>
      <w:r w:rsidR="00F92742">
        <w:t>of</w:t>
      </w:r>
      <w:r w:rsidR="00F92742">
        <w:rPr>
          <w:spacing w:val="-4"/>
        </w:rPr>
        <w:t xml:space="preserve"> </w:t>
      </w:r>
      <w:r w:rsidR="00F92742">
        <w:t>WIPO</w:t>
      </w:r>
      <w:r w:rsidR="00F92742">
        <w:rPr>
          <w:spacing w:val="-4"/>
        </w:rPr>
        <w:t xml:space="preserve"> </w:t>
      </w:r>
      <w:r w:rsidR="00F92742">
        <w:t>ST.26,</w:t>
      </w:r>
      <w:r w:rsidR="00F92742">
        <w:rPr>
          <w:spacing w:val="-4"/>
        </w:rPr>
        <w:t xml:space="preserve"> </w:t>
      </w:r>
      <w:r w:rsidR="00F92742">
        <w:t>if</w:t>
      </w:r>
      <w:r w:rsidR="00F92742">
        <w:rPr>
          <w:spacing w:val="-4"/>
        </w:rPr>
        <w:t xml:space="preserve"> </w:t>
      </w:r>
      <w:r w:rsidR="00F92742">
        <w:t>required,</w:t>
      </w:r>
      <w:r w:rsidR="00F92742">
        <w:rPr>
          <w:spacing w:val="-4"/>
        </w:rPr>
        <w:t xml:space="preserve"> </w:t>
      </w:r>
      <w:r w:rsidR="00F92742">
        <w:t>to</w:t>
      </w:r>
      <w:r w:rsidR="00F92742">
        <w:rPr>
          <w:spacing w:val="-4"/>
        </w:rPr>
        <w:t xml:space="preserve"> </w:t>
      </w:r>
      <w:r w:rsidR="00F92742">
        <w:t>further</w:t>
      </w:r>
      <w:r w:rsidR="00F92742">
        <w:rPr>
          <w:spacing w:val="-4"/>
        </w:rPr>
        <w:t xml:space="preserve"> </w:t>
      </w:r>
      <w:r w:rsidR="00F92742">
        <w:t>facilitate</w:t>
      </w:r>
      <w:r w:rsidR="00F92742">
        <w:rPr>
          <w:spacing w:val="-3"/>
        </w:rPr>
        <w:t xml:space="preserve"> </w:t>
      </w:r>
      <w:r w:rsidR="00F92742">
        <w:t xml:space="preserve">its implementation by Offices and applicants while </w:t>
      </w:r>
      <w:r w:rsidR="0064175F">
        <w:t xml:space="preserve">remaining aligned </w:t>
      </w:r>
      <w:r w:rsidR="00F92742">
        <w:t>with the requirements of INSDC and</w:t>
      </w:r>
      <w:r w:rsidR="00604612">
        <w:rPr>
          <w:rFonts w:eastAsia="MS Mincho" w:hint="eastAsia"/>
          <w:lang w:eastAsia="ja-JP"/>
        </w:rPr>
        <w:t xml:space="preserve"> the </w:t>
      </w:r>
      <w:r w:rsidR="00604612" w:rsidRPr="00604612">
        <w:rPr>
          <w:rFonts w:eastAsia="MS Mincho"/>
          <w:lang w:eastAsia="ja-JP"/>
        </w:rPr>
        <w:t>Universal Protein Resource</w:t>
      </w:r>
      <w:r w:rsidR="00F92742">
        <w:t xml:space="preserve"> </w:t>
      </w:r>
      <w:r w:rsidR="00604612">
        <w:rPr>
          <w:rFonts w:eastAsia="MS Mincho" w:hint="eastAsia"/>
          <w:lang w:eastAsia="ja-JP"/>
        </w:rPr>
        <w:t>(</w:t>
      </w:r>
      <w:r w:rsidR="00F92742">
        <w:t>UniProt</w:t>
      </w:r>
      <w:r w:rsidR="00604612">
        <w:rPr>
          <w:rFonts w:eastAsia="MS Mincho" w:hint="eastAsia"/>
          <w:lang w:eastAsia="ja-JP"/>
        </w:rPr>
        <w:t>)</w:t>
      </w:r>
      <w:r w:rsidR="00F92742">
        <w:t>.</w:t>
      </w:r>
    </w:p>
    <w:p w14:paraId="40F686DC" w14:textId="77777777" w:rsidR="002F52CA" w:rsidRDefault="002F52CA">
      <w:pPr>
        <w:pStyle w:val="BodyText"/>
        <w:spacing w:before="2"/>
        <w:rPr>
          <w:sz w:val="19"/>
        </w:rPr>
      </w:pPr>
    </w:p>
    <w:p w14:paraId="7381636E" w14:textId="61FF02ED" w:rsidR="002F52CA" w:rsidRDefault="007040C4" w:rsidP="00055C00">
      <w:pPr>
        <w:pStyle w:val="ListParagraph"/>
        <w:tabs>
          <w:tab w:val="left" w:pos="685"/>
        </w:tabs>
        <w:ind w:left="115" w:right="370"/>
      </w:pPr>
      <w:r>
        <w:t>1</w:t>
      </w:r>
      <w:r w:rsidR="00C21C22">
        <w:t>4</w:t>
      </w:r>
      <w:r w:rsidR="00F14B20">
        <w:t>.</w:t>
      </w:r>
      <w:r w:rsidR="00055C00">
        <w:tab/>
        <w:t>Regarding revisions to WIPO ST.26, t</w:t>
      </w:r>
      <w:r w:rsidR="00F92742">
        <w:t>he</w:t>
      </w:r>
      <w:r w:rsidR="00F92742">
        <w:rPr>
          <w:spacing w:val="-3"/>
        </w:rPr>
        <w:t xml:space="preserve"> </w:t>
      </w:r>
      <w:r w:rsidR="00F92742">
        <w:t>Sequence</w:t>
      </w:r>
      <w:r w:rsidR="00F92742">
        <w:rPr>
          <w:spacing w:val="-4"/>
        </w:rPr>
        <w:t xml:space="preserve"> </w:t>
      </w:r>
      <w:r w:rsidR="00F92742">
        <w:t>Listings</w:t>
      </w:r>
      <w:r w:rsidR="00F92742">
        <w:rPr>
          <w:spacing w:val="-4"/>
        </w:rPr>
        <w:t xml:space="preserve"> </w:t>
      </w:r>
      <w:r w:rsidR="00F92742">
        <w:t>Task</w:t>
      </w:r>
      <w:r w:rsidR="00F92742">
        <w:rPr>
          <w:spacing w:val="-3"/>
        </w:rPr>
        <w:t xml:space="preserve"> </w:t>
      </w:r>
      <w:r w:rsidR="00F92742">
        <w:t>Force</w:t>
      </w:r>
      <w:r w:rsidR="00F92742">
        <w:rPr>
          <w:spacing w:val="-4"/>
        </w:rPr>
        <w:t xml:space="preserve"> </w:t>
      </w:r>
      <w:r w:rsidR="00F92742">
        <w:t>will</w:t>
      </w:r>
      <w:r w:rsidR="00055C00">
        <w:t xml:space="preserve"> </w:t>
      </w:r>
      <w:r w:rsidR="00F92742">
        <w:t>continue</w:t>
      </w:r>
      <w:r w:rsidR="00F92742">
        <w:rPr>
          <w:spacing w:val="-3"/>
        </w:rPr>
        <w:t xml:space="preserve"> </w:t>
      </w:r>
      <w:r w:rsidR="00F92742">
        <w:t>deliberations on whether there should be a removal of the minimum length requirement defined in WIPO ST.26 and</w:t>
      </w:r>
      <w:r w:rsidR="0064175F">
        <w:t>/or</w:t>
      </w:r>
      <w:r w:rsidR="00F92742">
        <w:t xml:space="preserve"> an </w:t>
      </w:r>
      <w:r w:rsidR="0064175F">
        <w:t>amendment to require representation of certain amino acid and nucleotide analogs by the corresponding unmodified residue symbol</w:t>
      </w:r>
      <w:r w:rsidR="00F92742">
        <w:t>.</w:t>
      </w:r>
      <w:r w:rsidR="00F92742">
        <w:rPr>
          <w:spacing w:val="40"/>
        </w:rPr>
        <w:t xml:space="preserve"> </w:t>
      </w:r>
      <w:r w:rsidR="0076076E">
        <w:rPr>
          <w:spacing w:val="40"/>
        </w:rPr>
        <w:t xml:space="preserve"> </w:t>
      </w:r>
      <w:r w:rsidR="00F92742">
        <w:t>These changes will require a substantive update to the Standard</w:t>
      </w:r>
      <w:r w:rsidR="00055C00">
        <w:t>,</w:t>
      </w:r>
      <w:r w:rsidR="00F92742">
        <w:t xml:space="preserve"> if approved.</w:t>
      </w:r>
    </w:p>
    <w:p w14:paraId="20C79D71" w14:textId="31332868" w:rsidR="00227373" w:rsidRDefault="00FC4AE7" w:rsidP="00FC4AE7">
      <w:r>
        <w:br w:type="page"/>
      </w:r>
    </w:p>
    <w:p w14:paraId="436C37DC" w14:textId="77777777" w:rsidR="002F52CA" w:rsidRDefault="002F52CA">
      <w:pPr>
        <w:pStyle w:val="BodyText"/>
        <w:rPr>
          <w:sz w:val="24"/>
        </w:rPr>
      </w:pPr>
    </w:p>
    <w:p w14:paraId="29A7BCBA" w14:textId="77777777" w:rsidR="002F52CA" w:rsidRDefault="002F52CA">
      <w:pPr>
        <w:pStyle w:val="BodyText"/>
        <w:rPr>
          <w:sz w:val="24"/>
        </w:rPr>
      </w:pPr>
    </w:p>
    <w:p w14:paraId="23000231" w14:textId="29CC6A47" w:rsidR="002F52CA" w:rsidRPr="00055C00" w:rsidRDefault="00C21C22" w:rsidP="00055C00">
      <w:pPr>
        <w:spacing w:before="143"/>
        <w:ind w:left="5580"/>
        <w:rPr>
          <w:i/>
        </w:rPr>
      </w:pPr>
      <w:r>
        <w:rPr>
          <w:i/>
        </w:rPr>
        <w:t>15.</w:t>
      </w:r>
      <w:r w:rsidR="00055C00">
        <w:rPr>
          <w:i/>
        </w:rPr>
        <w:tab/>
      </w:r>
      <w:r w:rsidR="00F92742" w:rsidRPr="00055C00">
        <w:rPr>
          <w:i/>
        </w:rPr>
        <w:t>The</w:t>
      </w:r>
      <w:r w:rsidR="00F92742" w:rsidRPr="00055C00">
        <w:rPr>
          <w:i/>
          <w:spacing w:val="-5"/>
        </w:rPr>
        <w:t xml:space="preserve"> </w:t>
      </w:r>
      <w:r w:rsidR="00F92742" w:rsidRPr="00055C00">
        <w:rPr>
          <w:i/>
        </w:rPr>
        <w:t>CWS</w:t>
      </w:r>
      <w:r w:rsidR="00F92742" w:rsidRPr="00055C00">
        <w:rPr>
          <w:i/>
          <w:spacing w:val="-5"/>
        </w:rPr>
        <w:t xml:space="preserve"> </w:t>
      </w:r>
      <w:r w:rsidR="00F92742" w:rsidRPr="00055C00">
        <w:rPr>
          <w:i/>
        </w:rPr>
        <w:t>is</w:t>
      </w:r>
      <w:r w:rsidR="00F92742" w:rsidRPr="00055C00">
        <w:rPr>
          <w:i/>
          <w:spacing w:val="-4"/>
        </w:rPr>
        <w:t xml:space="preserve"> </w:t>
      </w:r>
      <w:r w:rsidR="00F92742" w:rsidRPr="00055C00">
        <w:rPr>
          <w:i/>
        </w:rPr>
        <w:t>invited</w:t>
      </w:r>
      <w:r w:rsidR="00F92742" w:rsidRPr="00055C00">
        <w:rPr>
          <w:i/>
          <w:spacing w:val="-8"/>
        </w:rPr>
        <w:t xml:space="preserve"> </w:t>
      </w:r>
      <w:r w:rsidR="00F92742" w:rsidRPr="00055C00">
        <w:rPr>
          <w:i/>
          <w:spacing w:val="-5"/>
        </w:rPr>
        <w:t>to:</w:t>
      </w:r>
    </w:p>
    <w:p w14:paraId="5260C460" w14:textId="77777777" w:rsidR="002F52CA" w:rsidRDefault="002F52CA" w:rsidP="00055C00">
      <w:pPr>
        <w:pStyle w:val="BodyText"/>
        <w:spacing w:before="1"/>
        <w:ind w:left="5580"/>
        <w:rPr>
          <w:i/>
          <w:sz w:val="19"/>
        </w:rPr>
      </w:pPr>
    </w:p>
    <w:p w14:paraId="70A93579" w14:textId="72306BC5" w:rsidR="00E572FD" w:rsidRDefault="00F92742" w:rsidP="0076076E">
      <w:pPr>
        <w:pStyle w:val="ListParagraph"/>
        <w:numPr>
          <w:ilvl w:val="0"/>
          <w:numId w:val="13"/>
        </w:numPr>
        <w:tabs>
          <w:tab w:val="left" w:pos="6903"/>
        </w:tabs>
        <w:spacing w:after="240"/>
        <w:ind w:left="5580" w:right="747" w:firstLine="720"/>
        <w:rPr>
          <w:i/>
        </w:rPr>
      </w:pPr>
      <w:r>
        <w:rPr>
          <w:i/>
        </w:rPr>
        <w:t>note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contents</w:t>
      </w:r>
      <w:r>
        <w:rPr>
          <w:i/>
          <w:spacing w:val="-11"/>
        </w:rPr>
        <w:t xml:space="preserve"> </w:t>
      </w:r>
      <w:r>
        <w:rPr>
          <w:i/>
        </w:rPr>
        <w:t>of th</w:t>
      </w:r>
      <w:r w:rsidR="005C0527">
        <w:rPr>
          <w:i/>
        </w:rPr>
        <w:t>e</w:t>
      </w:r>
      <w:r>
        <w:rPr>
          <w:i/>
        </w:rPr>
        <w:t xml:space="preserve"> present document</w:t>
      </w:r>
      <w:r w:rsidR="00E572FD">
        <w:rPr>
          <w:i/>
        </w:rPr>
        <w:t xml:space="preserve"> in particular </w:t>
      </w:r>
      <w:r w:rsidR="005E6DB0">
        <w:rPr>
          <w:i/>
        </w:rPr>
        <w:t>the</w:t>
      </w:r>
      <w:r w:rsidR="00E572FD">
        <w:rPr>
          <w:i/>
        </w:rPr>
        <w:t xml:space="preserve"> proposals </w:t>
      </w:r>
      <w:r w:rsidR="005E6DB0">
        <w:rPr>
          <w:i/>
        </w:rPr>
        <w:t xml:space="preserve">by the USPTO and </w:t>
      </w:r>
      <w:r w:rsidR="00604612">
        <w:rPr>
          <w:rFonts w:eastAsia="MS Mincho" w:hint="eastAsia"/>
          <w:i/>
          <w:lang w:eastAsia="ja-JP"/>
        </w:rPr>
        <w:t xml:space="preserve">the </w:t>
      </w:r>
      <w:r w:rsidR="005E6DB0">
        <w:rPr>
          <w:i/>
        </w:rPr>
        <w:t xml:space="preserve">EPO </w:t>
      </w:r>
      <w:r w:rsidR="00E572FD">
        <w:rPr>
          <w:i/>
        </w:rPr>
        <w:t>which require substantive changes to WIPO ST.26</w:t>
      </w:r>
      <w:r w:rsidR="005E6DB0">
        <w:rPr>
          <w:i/>
        </w:rPr>
        <w:t>, as referred to in paragraphs 7 and 11</w:t>
      </w:r>
      <w:r w:rsidR="00E572FD">
        <w:rPr>
          <w:i/>
        </w:rPr>
        <w:t xml:space="preserve">; </w:t>
      </w:r>
    </w:p>
    <w:p w14:paraId="5E0C9E0D" w14:textId="6233EAF4" w:rsidR="006B075C" w:rsidRDefault="00094340" w:rsidP="0076076E">
      <w:pPr>
        <w:pStyle w:val="ListParagraph"/>
        <w:numPr>
          <w:ilvl w:val="0"/>
          <w:numId w:val="13"/>
        </w:numPr>
        <w:tabs>
          <w:tab w:val="left" w:pos="6903"/>
        </w:tabs>
        <w:spacing w:after="240"/>
        <w:ind w:left="5580" w:right="747" w:firstLine="720"/>
        <w:rPr>
          <w:i/>
        </w:rPr>
      </w:pPr>
      <w:r>
        <w:rPr>
          <w:i/>
        </w:rPr>
        <w:t>discuss the survey process and scope</w:t>
      </w:r>
      <w:r w:rsidR="00246B43">
        <w:rPr>
          <w:i/>
        </w:rPr>
        <w:t>,</w:t>
      </w:r>
      <w:r>
        <w:rPr>
          <w:i/>
        </w:rPr>
        <w:t xml:space="preserve"> and potential </w:t>
      </w:r>
      <w:r w:rsidR="00246B43">
        <w:rPr>
          <w:i/>
        </w:rPr>
        <w:t xml:space="preserve">survey </w:t>
      </w:r>
      <w:r>
        <w:rPr>
          <w:i/>
        </w:rPr>
        <w:t xml:space="preserve">questions </w:t>
      </w:r>
      <w:r w:rsidR="00364FA7">
        <w:rPr>
          <w:i/>
        </w:rPr>
        <w:t>as referred to paragraph 1</w:t>
      </w:r>
      <w:r w:rsidR="0076076E">
        <w:rPr>
          <w:i/>
        </w:rPr>
        <w:t>2</w:t>
      </w:r>
      <w:r w:rsidR="00364FA7">
        <w:rPr>
          <w:i/>
        </w:rPr>
        <w:t xml:space="preserve"> above</w:t>
      </w:r>
      <w:r w:rsidR="006B075C">
        <w:rPr>
          <w:i/>
        </w:rPr>
        <w:t>;</w:t>
      </w:r>
      <w:r w:rsidR="005C0527">
        <w:rPr>
          <w:i/>
        </w:rPr>
        <w:t xml:space="preserve"> and</w:t>
      </w:r>
    </w:p>
    <w:p w14:paraId="655A8804" w14:textId="48248F43" w:rsidR="002F52CA" w:rsidRDefault="00F92742" w:rsidP="0076076E">
      <w:pPr>
        <w:pStyle w:val="ListParagraph"/>
        <w:numPr>
          <w:ilvl w:val="0"/>
          <w:numId w:val="13"/>
        </w:numPr>
        <w:tabs>
          <w:tab w:val="left" w:pos="6903"/>
        </w:tabs>
        <w:spacing w:after="240"/>
        <w:ind w:left="5580" w:right="747" w:firstLine="720"/>
        <w:rPr>
          <w:i/>
        </w:rPr>
      </w:pPr>
      <w:r>
        <w:rPr>
          <w:i/>
        </w:rPr>
        <w:t>the work plan of the Sequence Listings Task Force</w:t>
      </w:r>
      <w:r w:rsidR="00055C00">
        <w:rPr>
          <w:i/>
        </w:rPr>
        <w:t>, as detailed above in paragraph</w:t>
      </w:r>
      <w:r w:rsidR="003D6C02">
        <w:rPr>
          <w:i/>
        </w:rPr>
        <w:t>s</w:t>
      </w:r>
      <w:r w:rsidR="00055C00">
        <w:rPr>
          <w:i/>
        </w:rPr>
        <w:t xml:space="preserve"> 1</w:t>
      </w:r>
      <w:r w:rsidR="00364FA7">
        <w:rPr>
          <w:i/>
        </w:rPr>
        <w:t>3</w:t>
      </w:r>
      <w:r w:rsidR="003D6C02">
        <w:rPr>
          <w:i/>
        </w:rPr>
        <w:t xml:space="preserve"> and 14</w:t>
      </w:r>
      <w:r w:rsidR="00604917">
        <w:rPr>
          <w:i/>
        </w:rPr>
        <w:t>.</w:t>
      </w:r>
    </w:p>
    <w:p w14:paraId="2479FA7A" w14:textId="77777777" w:rsidR="002F52CA" w:rsidRDefault="002F52CA">
      <w:pPr>
        <w:pStyle w:val="BodyText"/>
        <w:spacing w:before="2"/>
        <w:rPr>
          <w:i/>
          <w:sz w:val="34"/>
        </w:rPr>
      </w:pPr>
    </w:p>
    <w:p w14:paraId="768AE9E4" w14:textId="77777777" w:rsidR="002F52CA" w:rsidRDefault="00F92742">
      <w:pPr>
        <w:pStyle w:val="BodyText"/>
        <w:ind w:left="5636"/>
      </w:pPr>
      <w:r>
        <w:t>[End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document]</w:t>
      </w:r>
    </w:p>
    <w:sectPr w:rsidR="002F52CA" w:rsidSect="00055C00">
      <w:headerReference w:type="default" r:id="rId9"/>
      <w:footerReference w:type="first" r:id="rId10"/>
      <w:pgSz w:w="11910" w:h="16840"/>
      <w:pgMar w:top="1000" w:right="1020" w:bottom="280" w:left="1300" w:header="51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9B82" w14:textId="77777777" w:rsidR="00875B08" w:rsidRDefault="00875B08">
      <w:r>
        <w:separator/>
      </w:r>
    </w:p>
  </w:endnote>
  <w:endnote w:type="continuationSeparator" w:id="0">
    <w:p w14:paraId="52E7E289" w14:textId="77777777" w:rsidR="00875B08" w:rsidRDefault="00875B08">
      <w:r>
        <w:continuationSeparator/>
      </w:r>
    </w:p>
  </w:endnote>
  <w:endnote w:type="continuationNotice" w:id="1">
    <w:p w14:paraId="522A8621" w14:textId="77777777" w:rsidR="00875B08" w:rsidRDefault="0087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19D20" w14:textId="1AC1FB2C" w:rsidR="00EB3FB9" w:rsidRDefault="00EB3FB9">
    <w:pPr>
      <w:pStyle w:val="Footer"/>
    </w:pPr>
  </w:p>
  <w:p w14:paraId="36FB3E4B" w14:textId="77777777" w:rsidR="005E6DB0" w:rsidRDefault="005E6DB0">
    <w:pPr>
      <w:pStyle w:val="Footer"/>
    </w:pPr>
  </w:p>
  <w:p w14:paraId="6FFF29C4" w14:textId="77777777" w:rsidR="005E6DB0" w:rsidRDefault="005E6DB0">
    <w:pPr>
      <w:pStyle w:val="Footer"/>
    </w:pPr>
  </w:p>
  <w:p w14:paraId="7A94947B" w14:textId="77777777" w:rsidR="00227373" w:rsidRDefault="0022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03DA3" w14:textId="77777777" w:rsidR="00875B08" w:rsidRDefault="00875B08">
      <w:r>
        <w:separator/>
      </w:r>
    </w:p>
  </w:footnote>
  <w:footnote w:type="continuationSeparator" w:id="0">
    <w:p w14:paraId="1560C628" w14:textId="77777777" w:rsidR="00875B08" w:rsidRDefault="00875B08">
      <w:r>
        <w:continuationSeparator/>
      </w:r>
    </w:p>
  </w:footnote>
  <w:footnote w:type="continuationNotice" w:id="1">
    <w:p w14:paraId="2FF6B5A9" w14:textId="77777777" w:rsidR="00875B08" w:rsidRDefault="0087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C58D" w14:textId="3B010E8D" w:rsidR="002F52CA" w:rsidRDefault="00055C00" w:rsidP="00055C00">
    <w:pPr>
      <w:pStyle w:val="Header"/>
      <w:jc w:val="right"/>
    </w:pPr>
    <w:r>
      <w:t>CWS/12/5</w:t>
    </w:r>
  </w:p>
  <w:p w14:paraId="0E71A8E3" w14:textId="0D5E2870" w:rsidR="00055C00" w:rsidRDefault="00055C00" w:rsidP="00055C00">
    <w:pPr>
      <w:pStyle w:val="Head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802A1BA" w14:textId="77777777" w:rsidR="00055C00" w:rsidRPr="00055C00" w:rsidRDefault="00055C00" w:rsidP="00055C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2E66"/>
    <w:multiLevelType w:val="hybridMultilevel"/>
    <w:tmpl w:val="5C2456AE"/>
    <w:lvl w:ilvl="0" w:tplc="AE9E5CA6">
      <w:start w:val="1"/>
      <w:numFmt w:val="lowerLetter"/>
      <w:lvlText w:val="%1)"/>
      <w:lvlJc w:val="left"/>
      <w:pPr>
        <w:ind w:left="1440" w:hanging="360"/>
      </w:pPr>
    </w:lvl>
    <w:lvl w:ilvl="1" w:tplc="B1F472C0">
      <w:start w:val="1"/>
      <w:numFmt w:val="lowerLetter"/>
      <w:lvlText w:val="%2)"/>
      <w:lvlJc w:val="left"/>
      <w:pPr>
        <w:ind w:left="1440" w:hanging="360"/>
      </w:pPr>
    </w:lvl>
    <w:lvl w:ilvl="2" w:tplc="A49C6414">
      <w:start w:val="1"/>
      <w:numFmt w:val="lowerLetter"/>
      <w:lvlText w:val="%3)"/>
      <w:lvlJc w:val="left"/>
      <w:pPr>
        <w:ind w:left="1440" w:hanging="360"/>
      </w:pPr>
    </w:lvl>
    <w:lvl w:ilvl="3" w:tplc="CEAAD2D2">
      <w:start w:val="1"/>
      <w:numFmt w:val="lowerLetter"/>
      <w:lvlText w:val="%4)"/>
      <w:lvlJc w:val="left"/>
      <w:pPr>
        <w:ind w:left="1440" w:hanging="360"/>
      </w:pPr>
    </w:lvl>
    <w:lvl w:ilvl="4" w:tplc="6F88395C">
      <w:start w:val="1"/>
      <w:numFmt w:val="lowerLetter"/>
      <w:lvlText w:val="%5)"/>
      <w:lvlJc w:val="left"/>
      <w:pPr>
        <w:ind w:left="1440" w:hanging="360"/>
      </w:pPr>
    </w:lvl>
    <w:lvl w:ilvl="5" w:tplc="D402D80C">
      <w:start w:val="1"/>
      <w:numFmt w:val="lowerLetter"/>
      <w:lvlText w:val="%6)"/>
      <w:lvlJc w:val="left"/>
      <w:pPr>
        <w:ind w:left="1440" w:hanging="360"/>
      </w:pPr>
    </w:lvl>
    <w:lvl w:ilvl="6" w:tplc="029A28B6">
      <w:start w:val="1"/>
      <w:numFmt w:val="lowerLetter"/>
      <w:lvlText w:val="%7)"/>
      <w:lvlJc w:val="left"/>
      <w:pPr>
        <w:ind w:left="1440" w:hanging="360"/>
      </w:pPr>
    </w:lvl>
    <w:lvl w:ilvl="7" w:tplc="5824C36C">
      <w:start w:val="1"/>
      <w:numFmt w:val="lowerLetter"/>
      <w:lvlText w:val="%8)"/>
      <w:lvlJc w:val="left"/>
      <w:pPr>
        <w:ind w:left="1440" w:hanging="360"/>
      </w:pPr>
    </w:lvl>
    <w:lvl w:ilvl="8" w:tplc="B3B0E766">
      <w:start w:val="1"/>
      <w:numFmt w:val="lowerLetter"/>
      <w:lvlText w:val="%9)"/>
      <w:lvlJc w:val="left"/>
      <w:pPr>
        <w:ind w:left="1440" w:hanging="360"/>
      </w:pPr>
    </w:lvl>
  </w:abstractNum>
  <w:abstractNum w:abstractNumId="1" w15:restartNumberingAfterBreak="0">
    <w:nsid w:val="1AB554E6"/>
    <w:multiLevelType w:val="multilevel"/>
    <w:tmpl w:val="7C483E8C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" w15:restartNumberingAfterBreak="0">
    <w:nsid w:val="1D4B6EC3"/>
    <w:multiLevelType w:val="multilevel"/>
    <w:tmpl w:val="F0581F10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3" w15:restartNumberingAfterBreak="0">
    <w:nsid w:val="21D94286"/>
    <w:multiLevelType w:val="hybridMultilevel"/>
    <w:tmpl w:val="491E82DC"/>
    <w:lvl w:ilvl="0" w:tplc="A9F4714E">
      <w:start w:val="1"/>
      <w:numFmt w:val="lowerLetter"/>
      <w:lvlText w:val="(%1)"/>
      <w:lvlJc w:val="left"/>
      <w:pPr>
        <w:ind w:left="1069" w:hanging="360"/>
      </w:pPr>
      <w:rPr>
        <w:rFonts w:hint="default"/>
        <w:spacing w:val="-2"/>
        <w:w w:val="99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C23C0D"/>
    <w:multiLevelType w:val="multilevel"/>
    <w:tmpl w:val="2084BD7C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5" w15:restartNumberingAfterBreak="0">
    <w:nsid w:val="30057C19"/>
    <w:multiLevelType w:val="hybridMultilevel"/>
    <w:tmpl w:val="16FC37F0"/>
    <w:lvl w:ilvl="0" w:tplc="4E78C42E">
      <w:start w:val="1"/>
      <w:numFmt w:val="decimal"/>
      <w:lvlText w:val="%1."/>
      <w:lvlJc w:val="left"/>
      <w:pPr>
        <w:ind w:left="115" w:hanging="568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A9F4714E">
      <w:start w:val="1"/>
      <w:numFmt w:val="lowerLetter"/>
      <w:lvlText w:val="(%2)"/>
      <w:lvlJc w:val="left"/>
      <w:pPr>
        <w:ind w:left="5633" w:hanging="567"/>
        <w:jc w:val="left"/>
      </w:pPr>
      <w:rPr>
        <w:rFonts w:hint="default"/>
        <w:spacing w:val="-2"/>
        <w:w w:val="99"/>
        <w:lang w:val="en-US" w:eastAsia="en-US" w:bidi="ar-SA"/>
      </w:rPr>
    </w:lvl>
    <w:lvl w:ilvl="2" w:tplc="50624328">
      <w:numFmt w:val="bullet"/>
      <w:lvlText w:val="•"/>
      <w:lvlJc w:val="left"/>
      <w:pPr>
        <w:ind w:left="5637" w:hanging="567"/>
      </w:pPr>
      <w:rPr>
        <w:rFonts w:hint="default"/>
        <w:lang w:val="en-US" w:eastAsia="en-US" w:bidi="ar-SA"/>
      </w:rPr>
    </w:lvl>
    <w:lvl w:ilvl="3" w:tplc="DE6A438E">
      <w:numFmt w:val="bullet"/>
      <w:lvlText w:val="•"/>
      <w:lvlJc w:val="left"/>
      <w:pPr>
        <w:ind w:left="6130" w:hanging="567"/>
      </w:pPr>
      <w:rPr>
        <w:rFonts w:hint="default"/>
        <w:lang w:val="en-US" w:eastAsia="en-US" w:bidi="ar-SA"/>
      </w:rPr>
    </w:lvl>
    <w:lvl w:ilvl="4" w:tplc="2922693E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5" w:tplc="E852155A">
      <w:numFmt w:val="bullet"/>
      <w:lvlText w:val="•"/>
      <w:lvlJc w:val="left"/>
      <w:pPr>
        <w:ind w:left="7117" w:hanging="567"/>
      </w:pPr>
      <w:rPr>
        <w:rFonts w:hint="default"/>
        <w:lang w:val="en-US" w:eastAsia="en-US" w:bidi="ar-SA"/>
      </w:rPr>
    </w:lvl>
    <w:lvl w:ilvl="6" w:tplc="7DDCC11C">
      <w:numFmt w:val="bullet"/>
      <w:lvlText w:val="•"/>
      <w:lvlJc w:val="left"/>
      <w:pPr>
        <w:ind w:left="7610" w:hanging="567"/>
      </w:pPr>
      <w:rPr>
        <w:rFonts w:hint="default"/>
        <w:lang w:val="en-US" w:eastAsia="en-US" w:bidi="ar-SA"/>
      </w:rPr>
    </w:lvl>
    <w:lvl w:ilvl="7" w:tplc="CADE61E2">
      <w:numFmt w:val="bullet"/>
      <w:lvlText w:val="•"/>
      <w:lvlJc w:val="left"/>
      <w:pPr>
        <w:ind w:left="8104" w:hanging="567"/>
      </w:pPr>
      <w:rPr>
        <w:rFonts w:hint="default"/>
        <w:lang w:val="en-US" w:eastAsia="en-US" w:bidi="ar-SA"/>
      </w:rPr>
    </w:lvl>
    <w:lvl w:ilvl="8" w:tplc="AD621CE8">
      <w:numFmt w:val="bullet"/>
      <w:lvlText w:val="•"/>
      <w:lvlJc w:val="left"/>
      <w:pPr>
        <w:ind w:left="8597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40A0E53"/>
    <w:multiLevelType w:val="hybridMultilevel"/>
    <w:tmpl w:val="96E69172"/>
    <w:lvl w:ilvl="0" w:tplc="A9F4714E">
      <w:start w:val="1"/>
      <w:numFmt w:val="lowerLetter"/>
      <w:lvlText w:val="(%1)"/>
      <w:lvlJc w:val="left"/>
      <w:pPr>
        <w:ind w:left="5426" w:hanging="360"/>
      </w:pPr>
      <w:rPr>
        <w:rFonts w:hint="default"/>
        <w:spacing w:val="-2"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6146" w:hanging="360"/>
      </w:pPr>
    </w:lvl>
    <w:lvl w:ilvl="2" w:tplc="0409001B" w:tentative="1">
      <w:start w:val="1"/>
      <w:numFmt w:val="lowerRoman"/>
      <w:lvlText w:val="%3."/>
      <w:lvlJc w:val="right"/>
      <w:pPr>
        <w:ind w:left="6866" w:hanging="180"/>
      </w:pPr>
    </w:lvl>
    <w:lvl w:ilvl="3" w:tplc="0409000F" w:tentative="1">
      <w:start w:val="1"/>
      <w:numFmt w:val="decimal"/>
      <w:lvlText w:val="%4."/>
      <w:lvlJc w:val="left"/>
      <w:pPr>
        <w:ind w:left="7586" w:hanging="360"/>
      </w:pPr>
    </w:lvl>
    <w:lvl w:ilvl="4" w:tplc="04090019" w:tentative="1">
      <w:start w:val="1"/>
      <w:numFmt w:val="lowerLetter"/>
      <w:lvlText w:val="%5."/>
      <w:lvlJc w:val="left"/>
      <w:pPr>
        <w:ind w:left="8306" w:hanging="360"/>
      </w:pPr>
    </w:lvl>
    <w:lvl w:ilvl="5" w:tplc="0409001B" w:tentative="1">
      <w:start w:val="1"/>
      <w:numFmt w:val="lowerRoman"/>
      <w:lvlText w:val="%6."/>
      <w:lvlJc w:val="right"/>
      <w:pPr>
        <w:ind w:left="9026" w:hanging="180"/>
      </w:pPr>
    </w:lvl>
    <w:lvl w:ilvl="6" w:tplc="0409000F" w:tentative="1">
      <w:start w:val="1"/>
      <w:numFmt w:val="decimal"/>
      <w:lvlText w:val="%7."/>
      <w:lvlJc w:val="left"/>
      <w:pPr>
        <w:ind w:left="9746" w:hanging="360"/>
      </w:pPr>
    </w:lvl>
    <w:lvl w:ilvl="7" w:tplc="04090019" w:tentative="1">
      <w:start w:val="1"/>
      <w:numFmt w:val="lowerLetter"/>
      <w:lvlText w:val="%8."/>
      <w:lvlJc w:val="left"/>
      <w:pPr>
        <w:ind w:left="10466" w:hanging="360"/>
      </w:pPr>
    </w:lvl>
    <w:lvl w:ilvl="8" w:tplc="0409001B" w:tentative="1">
      <w:start w:val="1"/>
      <w:numFmt w:val="lowerRoman"/>
      <w:lvlText w:val="%9."/>
      <w:lvlJc w:val="right"/>
      <w:pPr>
        <w:ind w:left="11186" w:hanging="180"/>
      </w:pPr>
    </w:lvl>
  </w:abstractNum>
  <w:abstractNum w:abstractNumId="7" w15:restartNumberingAfterBreak="0">
    <w:nsid w:val="398E2ADF"/>
    <w:multiLevelType w:val="multilevel"/>
    <w:tmpl w:val="ED2C3B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7B70FC"/>
    <w:multiLevelType w:val="multilevel"/>
    <w:tmpl w:val="5F4E9480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925086"/>
    <w:multiLevelType w:val="multilevel"/>
    <w:tmpl w:val="DE7269E0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0" w15:restartNumberingAfterBreak="0">
    <w:nsid w:val="53B471BE"/>
    <w:multiLevelType w:val="multilevel"/>
    <w:tmpl w:val="1D56C0A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F674ED"/>
    <w:multiLevelType w:val="hybridMultilevel"/>
    <w:tmpl w:val="CD44228C"/>
    <w:lvl w:ilvl="0" w:tplc="6026303C">
      <w:start w:val="1"/>
      <w:numFmt w:val="bullet"/>
      <w:lvlText w:val="­"/>
      <w:lvlJc w:val="left"/>
      <w:pPr>
        <w:ind w:left="83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76DF130C"/>
    <w:multiLevelType w:val="multilevel"/>
    <w:tmpl w:val="43440994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3" w15:restartNumberingAfterBreak="0">
    <w:nsid w:val="784B2E9B"/>
    <w:multiLevelType w:val="multilevel"/>
    <w:tmpl w:val="2ED276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DA39AA"/>
    <w:multiLevelType w:val="hybridMultilevel"/>
    <w:tmpl w:val="706ECD54"/>
    <w:lvl w:ilvl="0" w:tplc="9DC62E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0152656">
    <w:abstractNumId w:val="5"/>
  </w:num>
  <w:num w:numId="2" w16cid:durableId="1777211013">
    <w:abstractNumId w:val="2"/>
  </w:num>
  <w:num w:numId="3" w16cid:durableId="2008556515">
    <w:abstractNumId w:val="7"/>
  </w:num>
  <w:num w:numId="4" w16cid:durableId="1170213467">
    <w:abstractNumId w:val="13"/>
  </w:num>
  <w:num w:numId="5" w16cid:durableId="1761440897">
    <w:abstractNumId w:val="10"/>
  </w:num>
  <w:num w:numId="6" w16cid:durableId="279382090">
    <w:abstractNumId w:val="8"/>
  </w:num>
  <w:num w:numId="7" w16cid:durableId="1949577964">
    <w:abstractNumId w:val="1"/>
  </w:num>
  <w:num w:numId="8" w16cid:durableId="1297296477">
    <w:abstractNumId w:val="4"/>
  </w:num>
  <w:num w:numId="9" w16cid:durableId="894464721">
    <w:abstractNumId w:val="12"/>
  </w:num>
  <w:num w:numId="10" w16cid:durableId="694617420">
    <w:abstractNumId w:val="9"/>
  </w:num>
  <w:num w:numId="11" w16cid:durableId="1141340516">
    <w:abstractNumId w:val="14"/>
  </w:num>
  <w:num w:numId="12" w16cid:durableId="675694276">
    <w:abstractNumId w:val="3"/>
  </w:num>
  <w:num w:numId="13" w16cid:durableId="514076850">
    <w:abstractNumId w:val="6"/>
  </w:num>
  <w:num w:numId="14" w16cid:durableId="496766783">
    <w:abstractNumId w:val="11"/>
  </w:num>
  <w:num w:numId="15" w16cid:durableId="208837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A"/>
    <w:rsid w:val="00010815"/>
    <w:rsid w:val="00017D95"/>
    <w:rsid w:val="00032531"/>
    <w:rsid w:val="000547FA"/>
    <w:rsid w:val="00055C00"/>
    <w:rsid w:val="00067CB6"/>
    <w:rsid w:val="000830B7"/>
    <w:rsid w:val="00084B91"/>
    <w:rsid w:val="0009423B"/>
    <w:rsid w:val="00094340"/>
    <w:rsid w:val="000977B1"/>
    <w:rsid w:val="00102E1B"/>
    <w:rsid w:val="00120012"/>
    <w:rsid w:val="00136390"/>
    <w:rsid w:val="001624FF"/>
    <w:rsid w:val="00182B1E"/>
    <w:rsid w:val="00186514"/>
    <w:rsid w:val="001A627B"/>
    <w:rsid w:val="001B5626"/>
    <w:rsid w:val="001D7056"/>
    <w:rsid w:val="00206112"/>
    <w:rsid w:val="0022013D"/>
    <w:rsid w:val="00227373"/>
    <w:rsid w:val="00241DC9"/>
    <w:rsid w:val="00246B43"/>
    <w:rsid w:val="0027648B"/>
    <w:rsid w:val="002779E8"/>
    <w:rsid w:val="002C309E"/>
    <w:rsid w:val="002E02E5"/>
    <w:rsid w:val="002F52CA"/>
    <w:rsid w:val="00352093"/>
    <w:rsid w:val="00364FA7"/>
    <w:rsid w:val="003830D5"/>
    <w:rsid w:val="003D5B10"/>
    <w:rsid w:val="003D6C02"/>
    <w:rsid w:val="003F4651"/>
    <w:rsid w:val="004066F5"/>
    <w:rsid w:val="00421C66"/>
    <w:rsid w:val="00443BFC"/>
    <w:rsid w:val="004465A9"/>
    <w:rsid w:val="0047377D"/>
    <w:rsid w:val="004807E9"/>
    <w:rsid w:val="00491D50"/>
    <w:rsid w:val="004C6273"/>
    <w:rsid w:val="004D55CE"/>
    <w:rsid w:val="004D6CC9"/>
    <w:rsid w:val="0050300B"/>
    <w:rsid w:val="005620BA"/>
    <w:rsid w:val="00567BF0"/>
    <w:rsid w:val="0057070A"/>
    <w:rsid w:val="005A5A5D"/>
    <w:rsid w:val="005A7BC5"/>
    <w:rsid w:val="005A7E26"/>
    <w:rsid w:val="005C0527"/>
    <w:rsid w:val="005C1651"/>
    <w:rsid w:val="005C6E75"/>
    <w:rsid w:val="005D5A58"/>
    <w:rsid w:val="005E2AC5"/>
    <w:rsid w:val="005E6DB0"/>
    <w:rsid w:val="00604612"/>
    <w:rsid w:val="00604917"/>
    <w:rsid w:val="00637264"/>
    <w:rsid w:val="0064175F"/>
    <w:rsid w:val="00642D64"/>
    <w:rsid w:val="006620CE"/>
    <w:rsid w:val="00674C1F"/>
    <w:rsid w:val="00682CEF"/>
    <w:rsid w:val="00685757"/>
    <w:rsid w:val="0068781B"/>
    <w:rsid w:val="0069440C"/>
    <w:rsid w:val="006B075C"/>
    <w:rsid w:val="006C05B2"/>
    <w:rsid w:val="006E403F"/>
    <w:rsid w:val="006F50B6"/>
    <w:rsid w:val="007040C4"/>
    <w:rsid w:val="00722835"/>
    <w:rsid w:val="007313D8"/>
    <w:rsid w:val="0076076E"/>
    <w:rsid w:val="007917DC"/>
    <w:rsid w:val="007E5E3C"/>
    <w:rsid w:val="00850381"/>
    <w:rsid w:val="00861AB1"/>
    <w:rsid w:val="00862D63"/>
    <w:rsid w:val="008633AF"/>
    <w:rsid w:val="00866042"/>
    <w:rsid w:val="00875B08"/>
    <w:rsid w:val="008B6068"/>
    <w:rsid w:val="00924248"/>
    <w:rsid w:val="00950F1E"/>
    <w:rsid w:val="0099253E"/>
    <w:rsid w:val="009A04B5"/>
    <w:rsid w:val="009A0877"/>
    <w:rsid w:val="009B6E80"/>
    <w:rsid w:val="009C3640"/>
    <w:rsid w:val="009E4069"/>
    <w:rsid w:val="009E47B3"/>
    <w:rsid w:val="009E7047"/>
    <w:rsid w:val="00A044CB"/>
    <w:rsid w:val="00A065AD"/>
    <w:rsid w:val="00A14683"/>
    <w:rsid w:val="00A74E30"/>
    <w:rsid w:val="00A81342"/>
    <w:rsid w:val="00AA4A49"/>
    <w:rsid w:val="00AC43FB"/>
    <w:rsid w:val="00AC6D68"/>
    <w:rsid w:val="00AD4DAA"/>
    <w:rsid w:val="00AE6003"/>
    <w:rsid w:val="00AE7192"/>
    <w:rsid w:val="00B07360"/>
    <w:rsid w:val="00B14C40"/>
    <w:rsid w:val="00B25C10"/>
    <w:rsid w:val="00B25DEE"/>
    <w:rsid w:val="00B41EDE"/>
    <w:rsid w:val="00B61A58"/>
    <w:rsid w:val="00B75BF5"/>
    <w:rsid w:val="00B77060"/>
    <w:rsid w:val="00B8172B"/>
    <w:rsid w:val="00BA2893"/>
    <w:rsid w:val="00BA7FD8"/>
    <w:rsid w:val="00BB1233"/>
    <w:rsid w:val="00BB3639"/>
    <w:rsid w:val="00BD66AC"/>
    <w:rsid w:val="00BE19BD"/>
    <w:rsid w:val="00BE7CED"/>
    <w:rsid w:val="00C21C22"/>
    <w:rsid w:val="00C45DB9"/>
    <w:rsid w:val="00C5049A"/>
    <w:rsid w:val="00CA0AB0"/>
    <w:rsid w:val="00CB1A5A"/>
    <w:rsid w:val="00CD7084"/>
    <w:rsid w:val="00CE3E6D"/>
    <w:rsid w:val="00D114DF"/>
    <w:rsid w:val="00D16162"/>
    <w:rsid w:val="00D43AD9"/>
    <w:rsid w:val="00D9405E"/>
    <w:rsid w:val="00DB4E28"/>
    <w:rsid w:val="00DD0FFE"/>
    <w:rsid w:val="00E015F2"/>
    <w:rsid w:val="00E049CB"/>
    <w:rsid w:val="00E30F5D"/>
    <w:rsid w:val="00E41767"/>
    <w:rsid w:val="00E50A90"/>
    <w:rsid w:val="00E572FD"/>
    <w:rsid w:val="00E727A5"/>
    <w:rsid w:val="00E76F79"/>
    <w:rsid w:val="00E95B27"/>
    <w:rsid w:val="00EA6511"/>
    <w:rsid w:val="00EB3FB9"/>
    <w:rsid w:val="00EB5A12"/>
    <w:rsid w:val="00EC28D5"/>
    <w:rsid w:val="00EF2FEF"/>
    <w:rsid w:val="00F00762"/>
    <w:rsid w:val="00F14B20"/>
    <w:rsid w:val="00F32D43"/>
    <w:rsid w:val="00F42F1C"/>
    <w:rsid w:val="00F47B37"/>
    <w:rsid w:val="00F65891"/>
    <w:rsid w:val="00F81562"/>
    <w:rsid w:val="00F82254"/>
    <w:rsid w:val="00F92742"/>
    <w:rsid w:val="00FC16DD"/>
    <w:rsid w:val="00FC4AE7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683C"/>
  <w15:docId w15:val="{13386B7D-C7BC-4E9B-8272-DE0664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D64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D64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D64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D64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D64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D64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D64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D64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11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PONormal">
    <w:name w:val="EPO Normal"/>
    <w:qFormat/>
    <w:rsid w:val="00642D64"/>
    <w:pPr>
      <w:spacing w:line="287" w:lineRule="auto"/>
      <w:jc w:val="both"/>
    </w:pPr>
    <w:rPr>
      <w:rFonts w:ascii="Arial" w:eastAsia="Arial" w:hAnsi="Arial" w:cs="Arial"/>
    </w:rPr>
  </w:style>
  <w:style w:type="paragraph" w:customStyle="1" w:styleId="EPOSubheading11pt">
    <w:name w:val="EPO Subheading 11pt"/>
    <w:next w:val="EPONormal"/>
    <w:qFormat/>
    <w:rsid w:val="00642D64"/>
    <w:pPr>
      <w:keepNext/>
      <w:spacing w:before="220" w:after="220" w:line="287" w:lineRule="auto"/>
    </w:pPr>
    <w:rPr>
      <w:rFonts w:ascii="Arial" w:eastAsia="Arial" w:hAnsi="Arial" w:cs="Arial"/>
      <w:b/>
    </w:rPr>
  </w:style>
  <w:style w:type="paragraph" w:customStyle="1" w:styleId="EPOFootnote">
    <w:name w:val="EPO Footnote"/>
    <w:qFormat/>
    <w:rsid w:val="00642D64"/>
    <w:pPr>
      <w:spacing w:line="287" w:lineRule="auto"/>
      <w:jc w:val="both"/>
    </w:pPr>
    <w:rPr>
      <w:rFonts w:ascii="Arial" w:eastAsia="Arial" w:hAnsi="Arial" w:cs="Arial"/>
      <w:sz w:val="16"/>
    </w:rPr>
  </w:style>
  <w:style w:type="paragraph" w:customStyle="1" w:styleId="EPOFooter">
    <w:name w:val="EPO Footer"/>
    <w:qFormat/>
    <w:rsid w:val="00642D64"/>
    <w:pPr>
      <w:spacing w:line="287" w:lineRule="auto"/>
    </w:pPr>
    <w:rPr>
      <w:rFonts w:ascii="Arial" w:eastAsia="Arial" w:hAnsi="Arial" w:cs="Arial"/>
      <w:sz w:val="16"/>
    </w:rPr>
  </w:style>
  <w:style w:type="paragraph" w:customStyle="1" w:styleId="EPOHeader">
    <w:name w:val="EPO Header"/>
    <w:qFormat/>
    <w:rsid w:val="00642D64"/>
    <w:pPr>
      <w:spacing w:line="287" w:lineRule="auto"/>
    </w:pPr>
    <w:rPr>
      <w:rFonts w:ascii="Arial" w:eastAsia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642D64"/>
    <w:pPr>
      <w:keepNext/>
      <w:spacing w:before="220" w:after="220" w:line="287" w:lineRule="auto"/>
    </w:pPr>
    <w:rPr>
      <w:rFonts w:ascii="Arial" w:eastAsia="Arial" w:hAnsi="Arial" w:cs="Arial"/>
      <w:b/>
      <w:sz w:val="28"/>
    </w:rPr>
  </w:style>
  <w:style w:type="paragraph" w:customStyle="1" w:styleId="EPOAnnex">
    <w:name w:val="EPO Annex"/>
    <w:next w:val="EPONormal"/>
    <w:qFormat/>
    <w:rsid w:val="00642D64"/>
    <w:pPr>
      <w:pageBreakBefore/>
      <w:numPr>
        <w:numId w:val="2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eastAsia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D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D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D6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D6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D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D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D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D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642D64"/>
    <w:pPr>
      <w:spacing w:after="220" w:line="287" w:lineRule="auto"/>
    </w:pPr>
    <w:rPr>
      <w:rFonts w:ascii="Arial" w:eastAsia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642D64"/>
    <w:pPr>
      <w:spacing w:after="220" w:line="287" w:lineRule="auto"/>
    </w:pPr>
    <w:rPr>
      <w:rFonts w:ascii="Arial" w:eastAsia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642D64"/>
    <w:pPr>
      <w:keepNext/>
      <w:numPr>
        <w:numId w:val="6"/>
      </w:numPr>
      <w:spacing w:before="220" w:after="220" w:line="287" w:lineRule="auto"/>
      <w:outlineLvl w:val="0"/>
    </w:pPr>
    <w:rPr>
      <w:rFonts w:ascii="Arial" w:eastAsia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642D64"/>
    <w:pPr>
      <w:keepNext/>
      <w:numPr>
        <w:ilvl w:val="1"/>
        <w:numId w:val="6"/>
      </w:numPr>
      <w:spacing w:before="220" w:after="220" w:line="287" w:lineRule="auto"/>
      <w:outlineLvl w:val="1"/>
    </w:pPr>
    <w:rPr>
      <w:rFonts w:ascii="Arial" w:eastAsia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642D64"/>
    <w:pPr>
      <w:keepNext/>
      <w:numPr>
        <w:ilvl w:val="2"/>
        <w:numId w:val="6"/>
      </w:numPr>
      <w:spacing w:before="220" w:after="220" w:line="287" w:lineRule="auto"/>
      <w:outlineLvl w:val="2"/>
    </w:pPr>
    <w:rPr>
      <w:rFonts w:ascii="Arial" w:eastAsia="Arial" w:hAnsi="Arial" w:cs="Arial"/>
      <w:b/>
    </w:rPr>
  </w:style>
  <w:style w:type="paragraph" w:customStyle="1" w:styleId="EPOHeading4">
    <w:name w:val="EPO Heading 4"/>
    <w:next w:val="EPONormal"/>
    <w:qFormat/>
    <w:rsid w:val="00642D64"/>
    <w:pPr>
      <w:keepNext/>
      <w:numPr>
        <w:ilvl w:val="3"/>
        <w:numId w:val="6"/>
      </w:numPr>
      <w:spacing w:before="220" w:after="220" w:line="287" w:lineRule="auto"/>
      <w:outlineLvl w:val="3"/>
    </w:pPr>
    <w:rPr>
      <w:rFonts w:ascii="Arial" w:eastAsia="Arial" w:hAnsi="Arial" w:cs="Arial"/>
      <w:b/>
    </w:rPr>
  </w:style>
  <w:style w:type="paragraph" w:customStyle="1" w:styleId="EPOBullet1stlevel">
    <w:name w:val="EPO Bullet 1st level"/>
    <w:qFormat/>
    <w:rsid w:val="00642D64"/>
    <w:pPr>
      <w:numPr>
        <w:numId w:val="7"/>
      </w:numPr>
      <w:tabs>
        <w:tab w:val="clear" w:pos="1134"/>
      </w:tabs>
      <w:spacing w:line="287" w:lineRule="auto"/>
      <w:ind w:left="397" w:hanging="397"/>
      <w:jc w:val="both"/>
    </w:pPr>
    <w:rPr>
      <w:rFonts w:ascii="Arial" w:eastAsia="Arial" w:hAnsi="Arial" w:cs="Arial"/>
    </w:rPr>
  </w:style>
  <w:style w:type="paragraph" w:customStyle="1" w:styleId="EPOBullet2ndlevel">
    <w:name w:val="EPO Bullet 2nd level"/>
    <w:qFormat/>
    <w:rsid w:val="00642D64"/>
    <w:pPr>
      <w:numPr>
        <w:numId w:val="8"/>
      </w:numPr>
      <w:tabs>
        <w:tab w:val="clear" w:pos="1701"/>
      </w:tabs>
      <w:spacing w:line="287" w:lineRule="auto"/>
      <w:ind w:left="794" w:hanging="397"/>
      <w:jc w:val="both"/>
    </w:pPr>
    <w:rPr>
      <w:rFonts w:ascii="Arial" w:eastAsia="Arial" w:hAnsi="Arial" w:cs="Arial"/>
    </w:rPr>
  </w:style>
  <w:style w:type="paragraph" w:customStyle="1" w:styleId="EPOList-numbers">
    <w:name w:val="EPO List - numbers"/>
    <w:qFormat/>
    <w:rsid w:val="00642D64"/>
    <w:pPr>
      <w:numPr>
        <w:numId w:val="9"/>
      </w:numPr>
      <w:tabs>
        <w:tab w:val="left" w:pos="397"/>
      </w:tabs>
      <w:spacing w:line="287" w:lineRule="auto"/>
      <w:jc w:val="both"/>
    </w:pPr>
    <w:rPr>
      <w:rFonts w:ascii="Arial" w:eastAsia="Arial" w:hAnsi="Arial" w:cs="Arial"/>
    </w:rPr>
  </w:style>
  <w:style w:type="paragraph" w:customStyle="1" w:styleId="EPOList-letters">
    <w:name w:val="EPO List - letters"/>
    <w:qFormat/>
    <w:rsid w:val="00642D64"/>
    <w:pPr>
      <w:numPr>
        <w:numId w:val="10"/>
      </w:numPr>
      <w:tabs>
        <w:tab w:val="left" w:pos="397"/>
      </w:tabs>
      <w:spacing w:line="287" w:lineRule="auto"/>
      <w:jc w:val="both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A04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4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04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B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C05B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91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D5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D5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4E3C-7FB2-49D8-920F-00A6C793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1495</Words>
  <Characters>7823</Characters>
  <Application>Microsoft Office Word</Application>
  <DocSecurity>0</DocSecurity>
  <Lines>173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CWS/12/5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CWS/12/5</dc:title>
  <dc:subject>11th Session Committee on WIPO Standards</dc:subject>
  <dc:creator>WIPO</dc:creator>
  <cp:keywords>CWS/12</cp:keywords>
  <cp:lastModifiedBy>BLANCHET Gaspard</cp:lastModifiedBy>
  <cp:revision>17</cp:revision>
  <dcterms:created xsi:type="dcterms:W3CDTF">2024-08-13T08:50:00Z</dcterms:created>
  <dcterms:modified xsi:type="dcterms:W3CDTF">2024-08-15T08:09:00Z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2024-08-09T13:45:22Z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700d1ab8-56f5-494b-9bce-d94b12086ad3</vt:lpwstr>
  </property>
  <property fmtid="{D5CDD505-2E9C-101B-9397-08002B2CF9AE}" pid="12" name="MSIP_Label_bfc084f7-b690-4c43-8ee6-d475b6d3461d_ContentBits">
    <vt:lpwstr>2</vt:lpwstr>
  </property>
</Properties>
</file>