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6412" w14:textId="77777777" w:rsidR="008B2CC1" w:rsidRPr="008B2CC1" w:rsidRDefault="00873EE5" w:rsidP="00F11D94">
      <w:pPr>
        <w:spacing w:after="120"/>
        <w:jc w:val="right"/>
      </w:pPr>
      <w:r>
        <w:rPr>
          <w:noProof/>
          <w:sz w:val="28"/>
          <w:szCs w:val="28"/>
          <w:lang w:eastAsia="ja-JP"/>
        </w:rPr>
        <w:drawing>
          <wp:inline distT="0" distB="0" distL="0" distR="0" wp14:anchorId="752B48EC" wp14:editId="189976A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5269B451" wp14:editId="3C37647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0C8339A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E1FD48A" w14:textId="522B44EB"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82EA2">
        <w:rPr>
          <w:rFonts w:ascii="Arial Black" w:hAnsi="Arial Black"/>
          <w:caps/>
          <w:sz w:val="15"/>
          <w:szCs w:val="15"/>
        </w:rPr>
        <w:t>2</w:t>
      </w:r>
      <w:r>
        <w:rPr>
          <w:rFonts w:ascii="Arial Black" w:hAnsi="Arial Black"/>
          <w:caps/>
          <w:sz w:val="15"/>
          <w:szCs w:val="15"/>
        </w:rPr>
        <w:t>/</w:t>
      </w:r>
      <w:bookmarkStart w:id="0" w:name="Code"/>
      <w:bookmarkEnd w:id="0"/>
      <w:r w:rsidR="00D57B60">
        <w:rPr>
          <w:rFonts w:ascii="Arial Black" w:hAnsi="Arial Black"/>
          <w:caps/>
          <w:sz w:val="15"/>
          <w:szCs w:val="15"/>
        </w:rPr>
        <w:t>14</w:t>
      </w:r>
    </w:p>
    <w:p w14:paraId="06298F59" w14:textId="71EEDC5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D57B60">
        <w:rPr>
          <w:rFonts w:ascii="Arial Black" w:hAnsi="Arial Black"/>
          <w:caps/>
          <w:sz w:val="15"/>
          <w:szCs w:val="15"/>
        </w:rPr>
        <w:t>English</w:t>
      </w:r>
    </w:p>
    <w:bookmarkEnd w:id="1"/>
    <w:p w14:paraId="036CFB50" w14:textId="103E3420" w:rsidR="008B2CC1" w:rsidRPr="00CE65D4" w:rsidRDefault="00CE65D4" w:rsidP="00CE65D4">
      <w:pPr>
        <w:spacing w:after="1200"/>
        <w:jc w:val="right"/>
        <w:rPr>
          <w:rFonts w:ascii="Arial Black" w:hAnsi="Arial Black"/>
          <w:caps/>
          <w:sz w:val="15"/>
          <w:szCs w:val="15"/>
        </w:rPr>
      </w:pPr>
      <w:r w:rsidRPr="00C51767">
        <w:rPr>
          <w:rFonts w:ascii="Arial Black" w:hAnsi="Arial Black"/>
          <w:caps/>
          <w:sz w:val="15"/>
          <w:szCs w:val="15"/>
        </w:rPr>
        <w:t xml:space="preserve">DATE: </w:t>
      </w:r>
      <w:bookmarkStart w:id="2" w:name="Date"/>
      <w:r w:rsidR="00D57B60" w:rsidRPr="00C51767">
        <w:rPr>
          <w:rFonts w:ascii="Arial Black" w:hAnsi="Arial Black"/>
          <w:caps/>
          <w:sz w:val="15"/>
          <w:szCs w:val="15"/>
        </w:rPr>
        <w:t xml:space="preserve">July </w:t>
      </w:r>
      <w:r w:rsidR="00C51767" w:rsidRPr="00C51767">
        <w:rPr>
          <w:rFonts w:ascii="Arial Black" w:hAnsi="Arial Black"/>
          <w:caps/>
          <w:sz w:val="15"/>
          <w:szCs w:val="15"/>
        </w:rPr>
        <w:t>18</w:t>
      </w:r>
      <w:r w:rsidR="00D57B60" w:rsidRPr="00C51767">
        <w:rPr>
          <w:rFonts w:ascii="Arial Black" w:hAnsi="Arial Black"/>
          <w:caps/>
          <w:sz w:val="15"/>
          <w:szCs w:val="15"/>
        </w:rPr>
        <w:t>, 2024</w:t>
      </w:r>
    </w:p>
    <w:bookmarkEnd w:id="2"/>
    <w:p w14:paraId="06F1E576" w14:textId="77777777" w:rsidR="008B2CC1" w:rsidRPr="000817DB" w:rsidRDefault="000817DB" w:rsidP="00CE65D4">
      <w:pPr>
        <w:spacing w:after="600"/>
        <w:rPr>
          <w:b/>
          <w:sz w:val="28"/>
          <w:szCs w:val="28"/>
        </w:rPr>
      </w:pPr>
      <w:r w:rsidRPr="000817DB">
        <w:rPr>
          <w:b/>
          <w:sz w:val="28"/>
          <w:szCs w:val="28"/>
        </w:rPr>
        <w:t>Committee on WIPO Standards (CWS)</w:t>
      </w:r>
    </w:p>
    <w:p w14:paraId="08FC9897" w14:textId="10FB6BF2" w:rsidR="008B2CC1" w:rsidRPr="000817DB" w:rsidRDefault="00F82EA2" w:rsidP="008B2CC1">
      <w:pPr>
        <w:rPr>
          <w:b/>
          <w:sz w:val="28"/>
          <w:szCs w:val="24"/>
        </w:rPr>
      </w:pPr>
      <w:r>
        <w:rPr>
          <w:b/>
          <w:sz w:val="24"/>
        </w:rPr>
        <w:t>Twelf</w:t>
      </w:r>
      <w:r w:rsidR="000817DB" w:rsidRPr="000817DB">
        <w:rPr>
          <w:b/>
          <w:sz w:val="24"/>
        </w:rPr>
        <w:t>th Session</w:t>
      </w:r>
    </w:p>
    <w:p w14:paraId="5D769F96" w14:textId="2D72091D" w:rsidR="008B2CC1" w:rsidRPr="000817DB" w:rsidRDefault="000817DB" w:rsidP="00CE65D4">
      <w:pPr>
        <w:spacing w:after="720"/>
        <w:rPr>
          <w:sz w:val="24"/>
        </w:rPr>
      </w:pPr>
      <w:r w:rsidRPr="000817DB">
        <w:rPr>
          <w:b/>
          <w:sz w:val="24"/>
        </w:rPr>
        <w:t xml:space="preserve">Geneva, </w:t>
      </w:r>
      <w:r w:rsidR="00F82EA2">
        <w:rPr>
          <w:b/>
          <w:sz w:val="24"/>
        </w:rPr>
        <w:t>September</w:t>
      </w:r>
      <w:r w:rsidRPr="000817DB">
        <w:rPr>
          <w:b/>
          <w:sz w:val="24"/>
        </w:rPr>
        <w:t xml:space="preserve"> </w:t>
      </w:r>
      <w:r w:rsidR="00F82EA2">
        <w:rPr>
          <w:b/>
          <w:sz w:val="24"/>
        </w:rPr>
        <w:t>16</w:t>
      </w:r>
      <w:r w:rsidRPr="000817DB">
        <w:rPr>
          <w:b/>
          <w:sz w:val="24"/>
        </w:rPr>
        <w:t xml:space="preserve"> to </w:t>
      </w:r>
      <w:r w:rsidR="00A945AC">
        <w:rPr>
          <w:b/>
          <w:sz w:val="24"/>
        </w:rPr>
        <w:t>19</w:t>
      </w:r>
      <w:r w:rsidRPr="000817DB">
        <w:rPr>
          <w:b/>
          <w:sz w:val="24"/>
        </w:rPr>
        <w:t>, 202</w:t>
      </w:r>
      <w:r w:rsidR="00F82EA2">
        <w:rPr>
          <w:b/>
          <w:sz w:val="24"/>
        </w:rPr>
        <w:t>4</w:t>
      </w:r>
    </w:p>
    <w:p w14:paraId="2AD52951" w14:textId="73E378AF" w:rsidR="008B2CC1" w:rsidRDefault="00D57B60" w:rsidP="00CE65D4">
      <w:pPr>
        <w:spacing w:after="360"/>
        <w:rPr>
          <w:caps/>
          <w:sz w:val="24"/>
        </w:rPr>
      </w:pPr>
      <w:bookmarkStart w:id="3" w:name="TitleOfDoc"/>
      <w:r>
        <w:rPr>
          <w:caps/>
          <w:sz w:val="24"/>
        </w:rPr>
        <w:t>Report on Task No. 66</w:t>
      </w:r>
      <w:r w:rsidR="008328FD">
        <w:rPr>
          <w:caps/>
          <w:sz w:val="24"/>
        </w:rPr>
        <w:t xml:space="preserve"> by the International Bureau</w:t>
      </w:r>
    </w:p>
    <w:p w14:paraId="4E9ECA83" w14:textId="0E1C901D" w:rsidR="008B2CC1" w:rsidRDefault="00D57B60" w:rsidP="00A945AC">
      <w:pPr>
        <w:spacing w:after="240"/>
        <w:rPr>
          <w:i/>
          <w:iCs/>
        </w:rPr>
      </w:pPr>
      <w:r w:rsidRPr="00D57B60">
        <w:rPr>
          <w:i/>
          <w:iCs/>
        </w:rPr>
        <w:t>Document prepared by the International Bureau</w:t>
      </w:r>
      <w:bookmarkStart w:id="4" w:name="Prepared"/>
      <w:bookmarkEnd w:id="3"/>
    </w:p>
    <w:p w14:paraId="7495B9A3" w14:textId="77777777" w:rsidR="00D206A6" w:rsidRPr="00A945AC" w:rsidRDefault="00D206A6" w:rsidP="00A945AC">
      <w:pPr>
        <w:spacing w:after="240"/>
        <w:rPr>
          <w:i/>
          <w:iCs/>
        </w:rPr>
      </w:pPr>
    </w:p>
    <w:p w14:paraId="71B7029A" w14:textId="1710BABE" w:rsidR="00D57B60" w:rsidRDefault="00D57B60" w:rsidP="00D57B60">
      <w:pPr>
        <w:pStyle w:val="Heading2"/>
      </w:pPr>
      <w:r w:rsidRPr="00D57B60">
        <w:t>Summary</w:t>
      </w:r>
    </w:p>
    <w:p w14:paraId="6AE560D6" w14:textId="7A67C160" w:rsidR="00D57B60" w:rsidRDefault="00D57B60" w:rsidP="00D57B60">
      <w:r>
        <w:fldChar w:fldCharType="begin"/>
      </w:r>
      <w:r>
        <w:instrText xml:space="preserve"> AUTONUM  </w:instrText>
      </w:r>
      <w:r>
        <w:fldChar w:fldCharType="end"/>
      </w:r>
      <w:r>
        <w:tab/>
        <w:t xml:space="preserve"> </w:t>
      </w:r>
      <w:r w:rsidR="00FA0FFD">
        <w:t xml:space="preserve">The International Bureau </w:t>
      </w:r>
      <w:r w:rsidR="00BF7F74">
        <w:t>presents a progress report on Task No. 66, including its effort</w:t>
      </w:r>
      <w:r w:rsidR="00DE1E91">
        <w:t>s</w:t>
      </w:r>
      <w:r w:rsidR="00B102A4">
        <w:t xml:space="preserve"> to produce a series of clinic</w:t>
      </w:r>
      <w:r w:rsidR="00DE1E91">
        <w:t>s</w:t>
      </w:r>
      <w:r w:rsidR="00B102A4">
        <w:t xml:space="preserve"> to support </w:t>
      </w:r>
      <w:r w:rsidR="002464BC">
        <w:t xml:space="preserve">Intellectual Property (IP) </w:t>
      </w:r>
      <w:r w:rsidR="00C04F12">
        <w:t>o</w:t>
      </w:r>
      <w:r w:rsidR="00B102A4">
        <w:t xml:space="preserve">ffices, at various stages </w:t>
      </w:r>
      <w:r w:rsidR="00DE1E91">
        <w:t>of</w:t>
      </w:r>
      <w:r w:rsidR="00B102A4">
        <w:t xml:space="preserve"> authoring their WIPO ST.37-compliant authority file. </w:t>
      </w:r>
    </w:p>
    <w:p w14:paraId="05FE5A2F" w14:textId="77777777" w:rsidR="00D57B60" w:rsidRDefault="00D57B60" w:rsidP="00D57B60"/>
    <w:p w14:paraId="03B11700" w14:textId="3E750EEC" w:rsidR="00D57B60" w:rsidRDefault="00D57B60" w:rsidP="00D57B60">
      <w:pPr>
        <w:pStyle w:val="Heading2"/>
      </w:pPr>
      <w:r>
        <w:t>Background</w:t>
      </w:r>
    </w:p>
    <w:p w14:paraId="0A25FC8E" w14:textId="36524BA8" w:rsidR="00D57B60" w:rsidRDefault="00D57B60" w:rsidP="00BF7F74">
      <w:r>
        <w:fldChar w:fldCharType="begin"/>
      </w:r>
      <w:r>
        <w:instrText xml:space="preserve"> AUTONUM  </w:instrText>
      </w:r>
      <w:r>
        <w:fldChar w:fldCharType="end"/>
      </w:r>
      <w:r>
        <w:tab/>
        <w:t xml:space="preserve">At </w:t>
      </w:r>
      <w:r w:rsidR="002464BC">
        <w:t>its</w:t>
      </w:r>
      <w:r>
        <w:t xml:space="preserve"> eleventh session, </w:t>
      </w:r>
      <w:r w:rsidR="002464BC">
        <w:t>the Committee on WIPO Standards (CWS)</w:t>
      </w:r>
      <w:r>
        <w:t xml:space="preserve"> </w:t>
      </w:r>
      <w:r w:rsidR="00BF7F74">
        <w:t xml:space="preserve">considered a proposal for a new Task to support IP offices in the production of their WIPO ST.37-compliant authority files, particularly in light of the agreements reached by the bodies of the Patent Cooperation Treaty (PCT) regarding PCT Minimum Documentation (see paragraph 6 of document CWS/11/15).  The CWS </w:t>
      </w:r>
      <w:r>
        <w:t>approved the new Task No. 66, with the following description:</w:t>
      </w:r>
    </w:p>
    <w:p w14:paraId="11BB6720" w14:textId="77777777" w:rsidR="00D57B60" w:rsidRDefault="00D57B60" w:rsidP="00D57B60"/>
    <w:p w14:paraId="288BE398" w14:textId="64BBEDC5" w:rsidR="00D57B60" w:rsidRPr="00D57B60" w:rsidRDefault="00D57B60" w:rsidP="00D57B60">
      <w:pPr>
        <w:rPr>
          <w:i/>
          <w:iCs/>
        </w:rPr>
      </w:pPr>
      <w:r>
        <w:tab/>
      </w:r>
      <w:r w:rsidR="00A945AC">
        <w:t>“</w:t>
      </w:r>
      <w:r w:rsidRPr="00D57B60">
        <w:rPr>
          <w:i/>
          <w:iCs/>
        </w:rPr>
        <w:t>Encourage IP offices to provide their patent authority file in compliance with WIPO Standard ST.37 by providing any technical support or training necessary, based on available resources.</w:t>
      </w:r>
      <w:r w:rsidR="00A945AC">
        <w:rPr>
          <w:i/>
          <w:iCs/>
        </w:rPr>
        <w:t>”</w:t>
      </w:r>
    </w:p>
    <w:p w14:paraId="7B462F66" w14:textId="77777777" w:rsidR="00D57B60" w:rsidRDefault="00D57B60" w:rsidP="00D57B60"/>
    <w:p w14:paraId="31A21669" w14:textId="62E6847A" w:rsidR="00AE51D6" w:rsidRDefault="00D57B60" w:rsidP="00D57B60">
      <w:r>
        <w:fldChar w:fldCharType="begin"/>
      </w:r>
      <w:r>
        <w:instrText xml:space="preserve"> AUTONUM  </w:instrText>
      </w:r>
      <w:r>
        <w:fldChar w:fldCharType="end"/>
      </w:r>
      <w:r>
        <w:tab/>
      </w:r>
      <w:r w:rsidR="002464BC">
        <w:t>At its same session, the CWS designated the International Bureau as the Task leader</w:t>
      </w:r>
      <w:r w:rsidR="00EB5DD9">
        <w:t xml:space="preserve"> and noted</w:t>
      </w:r>
      <w:r w:rsidR="002464BC">
        <w:t xml:space="preserve"> </w:t>
      </w:r>
      <w:r w:rsidR="00EB5DD9">
        <w:t>this Task can be considered complete once all of the IP offices who contribute to both the PCT Minimum Documentation inventory and PATENTSCOPE database have provided a WIPO ST.37-compliant authority file to the International Bureau</w:t>
      </w:r>
      <w:r w:rsidR="000826F9">
        <w:t xml:space="preserve">.  In order to be able to commence the work of the new Task, the CWS requested IP offices to communicate with the International Bureau the type of support that would be required for the production of WIPO Standard ST.37-compliant authority files.  (See paragraphs 30 and 32 of document CWS/11/28.) </w:t>
      </w:r>
    </w:p>
    <w:p w14:paraId="407E96EF" w14:textId="2B6F27D6" w:rsidR="00D57B60" w:rsidRDefault="00D57B60" w:rsidP="00D57B60">
      <w:pPr>
        <w:pStyle w:val="Heading2"/>
      </w:pPr>
      <w:r>
        <w:lastRenderedPageBreak/>
        <w:t>Progress report on Task No. 66</w:t>
      </w:r>
    </w:p>
    <w:p w14:paraId="2CC83DD5" w14:textId="0A1EFE5E" w:rsidR="00D206A6" w:rsidRDefault="00D206A6" w:rsidP="00D206A6">
      <w:pPr>
        <w:pStyle w:val="Heading3"/>
      </w:pPr>
      <w:r>
        <w:t>Objectives</w:t>
      </w:r>
    </w:p>
    <w:p w14:paraId="65E58E7D" w14:textId="2E43BC3E" w:rsidR="00D206A6" w:rsidRDefault="00D206A6" w:rsidP="00D206A6">
      <w:r>
        <w:fldChar w:fldCharType="begin"/>
      </w:r>
      <w:r>
        <w:instrText xml:space="preserve"> AUTONUM  </w:instrText>
      </w:r>
      <w:r>
        <w:fldChar w:fldCharType="end"/>
      </w:r>
      <w:r>
        <w:tab/>
      </w:r>
      <w:r w:rsidR="00781023">
        <w:t>The objectives of the International Bureau would like to achieve under the framework of Task No. 66 are as follows:</w:t>
      </w:r>
    </w:p>
    <w:p w14:paraId="5050E14F" w14:textId="584D89EB" w:rsidR="00781023" w:rsidRDefault="00781023" w:rsidP="00781023">
      <w:pPr>
        <w:pStyle w:val="ListParagraph"/>
        <w:numPr>
          <w:ilvl w:val="0"/>
          <w:numId w:val="10"/>
        </w:numPr>
      </w:pPr>
      <w:r>
        <w:t xml:space="preserve">Increase the number of WIPO ST.37 compliant authority files which are available on the </w:t>
      </w:r>
      <w:hyperlink r:id="rId9" w:history="1">
        <w:r w:rsidRPr="00DE1E91">
          <w:rPr>
            <w:rStyle w:val="Hyperlink"/>
          </w:rPr>
          <w:t>WIPO Authority File portal</w:t>
        </w:r>
      </w:hyperlink>
      <w:r>
        <w:t>; and</w:t>
      </w:r>
    </w:p>
    <w:p w14:paraId="65F0F981" w14:textId="1C93D037" w:rsidR="00781023" w:rsidRDefault="00781023" w:rsidP="00781023">
      <w:pPr>
        <w:pStyle w:val="ListParagraph"/>
        <w:numPr>
          <w:ilvl w:val="0"/>
          <w:numId w:val="10"/>
        </w:numPr>
      </w:pPr>
      <w:r>
        <w:t xml:space="preserve">Support the activities of the PCT Minimum Documentation Task Force. </w:t>
      </w:r>
    </w:p>
    <w:p w14:paraId="173DD432" w14:textId="4A092D9B" w:rsidR="00D206A6" w:rsidRPr="00D206A6" w:rsidRDefault="00D206A6" w:rsidP="00D206A6">
      <w:pPr>
        <w:pStyle w:val="Heading3"/>
      </w:pPr>
      <w:r>
        <w:t>Progress</w:t>
      </w:r>
    </w:p>
    <w:p w14:paraId="641A3555" w14:textId="40751D94" w:rsidR="00D57B60" w:rsidRDefault="00D57B60" w:rsidP="00FA0FFD">
      <w:pPr>
        <w:spacing w:after="240"/>
      </w:pPr>
      <w:r>
        <w:fldChar w:fldCharType="begin"/>
      </w:r>
      <w:r>
        <w:instrText xml:space="preserve"> AUTONUM  </w:instrText>
      </w:r>
      <w:r>
        <w:fldChar w:fldCharType="end"/>
      </w:r>
      <w:r>
        <w:tab/>
        <w:t xml:space="preserve">Since the </w:t>
      </w:r>
      <w:r w:rsidR="00B6211E">
        <w:rPr>
          <w:rFonts w:eastAsiaTheme="minorEastAsia" w:hint="eastAsia"/>
          <w:lang w:eastAsia="ja-JP"/>
        </w:rPr>
        <w:t>eleventh</w:t>
      </w:r>
      <w:r>
        <w:t xml:space="preserve"> session</w:t>
      </w:r>
      <w:r w:rsidR="00B6211E">
        <w:rPr>
          <w:rFonts w:eastAsiaTheme="minorEastAsia" w:hint="eastAsia"/>
          <w:lang w:eastAsia="ja-JP"/>
        </w:rPr>
        <w:t xml:space="preserve"> of the CWS</w:t>
      </w:r>
      <w:r>
        <w:t xml:space="preserve">, the </w:t>
      </w:r>
      <w:r w:rsidR="000826F9">
        <w:t>Secretariat</w:t>
      </w:r>
      <w:r>
        <w:t xml:space="preserve"> sent out </w:t>
      </w:r>
      <w:r w:rsidR="00C04F12">
        <w:t xml:space="preserve">the </w:t>
      </w:r>
      <w:r w:rsidR="00DE1E91">
        <w:t>c</w:t>
      </w:r>
      <w:r>
        <w:t xml:space="preserve">ircular </w:t>
      </w:r>
      <w:hyperlink r:id="rId10" w:history="1">
        <w:r w:rsidR="000826F9" w:rsidRPr="00DE1E91">
          <w:rPr>
            <w:rStyle w:val="Hyperlink"/>
          </w:rPr>
          <w:t xml:space="preserve">C.CWS </w:t>
        </w:r>
        <w:r w:rsidR="009323BA" w:rsidRPr="00DE1E91">
          <w:rPr>
            <w:rStyle w:val="Hyperlink"/>
          </w:rPr>
          <w:t>177</w:t>
        </w:r>
      </w:hyperlink>
      <w:r w:rsidR="009323BA">
        <w:t xml:space="preserve"> </w:t>
      </w:r>
      <w:r>
        <w:t xml:space="preserve">inviting </w:t>
      </w:r>
      <w:r w:rsidR="009323BA">
        <w:t>IP offices</w:t>
      </w:r>
      <w:r>
        <w:t xml:space="preserve"> to provide their annual updates to currently published authority files</w:t>
      </w:r>
      <w:r w:rsidR="009323BA">
        <w:t xml:space="preserve"> as well as</w:t>
      </w:r>
      <w:r w:rsidR="00C35835">
        <w:t xml:space="preserve"> any </w:t>
      </w:r>
      <w:r w:rsidR="00A321C9">
        <w:t>requests</w:t>
      </w:r>
      <w:r>
        <w:t xml:space="preserve"> </w:t>
      </w:r>
      <w:r w:rsidR="00A321C9">
        <w:t>for support that they may have.</w:t>
      </w:r>
      <w:r w:rsidR="00A945AC">
        <w:t xml:space="preserve"> </w:t>
      </w:r>
      <w:r w:rsidR="00A321C9">
        <w:t xml:space="preserve"> </w:t>
      </w:r>
      <w:r w:rsidR="00A945AC">
        <w:t xml:space="preserve">As no feedback was received from Offices </w:t>
      </w:r>
      <w:r w:rsidR="00FA0FFD">
        <w:t xml:space="preserve">in response to the </w:t>
      </w:r>
      <w:r w:rsidR="00DE1E91">
        <w:t>c</w:t>
      </w:r>
      <w:r w:rsidR="00FA0FFD">
        <w:t xml:space="preserve">ircular </w:t>
      </w:r>
      <w:r w:rsidR="00A945AC">
        <w:t xml:space="preserve">regarding the support required, it is difficult to determine </w:t>
      </w:r>
      <w:r w:rsidR="00FA0FFD">
        <w:t xml:space="preserve">exactly what </w:t>
      </w:r>
      <w:r w:rsidR="009323BA">
        <w:t>the International Bureau</w:t>
      </w:r>
      <w:r w:rsidR="00FA0FFD">
        <w:t xml:space="preserve"> </w:t>
      </w:r>
      <w:r w:rsidR="009323BA">
        <w:t xml:space="preserve">should </w:t>
      </w:r>
      <w:r w:rsidR="00FA0FFD">
        <w:t xml:space="preserve">do to support </w:t>
      </w:r>
      <w:r w:rsidR="00965C1E">
        <w:t xml:space="preserve">these Offices. </w:t>
      </w:r>
    </w:p>
    <w:p w14:paraId="2AB9E92A" w14:textId="381B776D" w:rsidR="00B102A4" w:rsidRDefault="00B102A4" w:rsidP="00FA0FFD">
      <w:pPr>
        <w:spacing w:after="240"/>
      </w:pPr>
      <w:r>
        <w:fldChar w:fldCharType="begin"/>
      </w:r>
      <w:r>
        <w:instrText xml:space="preserve"> AUTONUM  </w:instrText>
      </w:r>
      <w:r>
        <w:fldChar w:fldCharType="end"/>
      </w:r>
      <w:r>
        <w:tab/>
      </w:r>
      <w:r w:rsidR="00D24FA8">
        <w:t xml:space="preserve">The PCT Minimum Documentation Task Force held its seventh session in April 2024.  At this meeting, updates to the PCT </w:t>
      </w:r>
      <w:r w:rsidR="00375CA7">
        <w:t>Administrative</w:t>
      </w:r>
      <w:r w:rsidR="009323BA">
        <w:t xml:space="preserve"> Instructions</w:t>
      </w:r>
      <w:r w:rsidR="00D24FA8">
        <w:t xml:space="preserve"> were agreed, including an update to Annex H. </w:t>
      </w:r>
      <w:r w:rsidR="00375CA7">
        <w:t xml:space="preserve"> </w:t>
      </w:r>
      <w:r w:rsidR="00C04F12">
        <w:t>The Task Force</w:t>
      </w:r>
      <w:r w:rsidR="00375CA7">
        <w:t xml:space="preserve"> Offices were also requested to provide updates on the status of their preparations for the new</w:t>
      </w:r>
      <w:r w:rsidR="00FE4DEC" w:rsidRPr="00FE4DEC">
        <w:t xml:space="preserve"> </w:t>
      </w:r>
      <w:r w:rsidR="00FE4DEC">
        <w:t>PCT Minimum Documentation</w:t>
      </w:r>
      <w:r w:rsidR="00375CA7">
        <w:t xml:space="preserve"> requirements that start from January 1, 2026</w:t>
      </w:r>
      <w:r w:rsidR="009323BA">
        <w:t>,</w:t>
      </w:r>
      <w:r w:rsidR="002C7083">
        <w:t xml:space="preserve"> and the E</w:t>
      </w:r>
      <w:r w:rsidR="00DE1E91">
        <w:t xml:space="preserve">uropean </w:t>
      </w:r>
      <w:r w:rsidR="002C7083">
        <w:t>P</w:t>
      </w:r>
      <w:r w:rsidR="00DE1E91">
        <w:t xml:space="preserve">atent </w:t>
      </w:r>
      <w:r w:rsidR="002C7083">
        <w:t>O</w:t>
      </w:r>
      <w:r w:rsidR="00DE1E91">
        <w:t>ffice</w:t>
      </w:r>
      <w:r w:rsidR="00FE4DEC">
        <w:t xml:space="preserve"> (EPO)</w:t>
      </w:r>
      <w:r w:rsidR="009323BA">
        <w:t xml:space="preserve">, as the Task Force Leader, </w:t>
      </w:r>
      <w:r w:rsidR="002C7083">
        <w:t xml:space="preserve">prepared a series of checklists to support this activity.  </w:t>
      </w:r>
    </w:p>
    <w:p w14:paraId="08CA03BC" w14:textId="456D902D" w:rsidR="00E33DEE" w:rsidRDefault="00B102A4" w:rsidP="00FA0FFD">
      <w:pPr>
        <w:spacing w:after="240"/>
      </w:pPr>
      <w:r>
        <w:fldChar w:fldCharType="begin"/>
      </w:r>
      <w:r>
        <w:instrText xml:space="preserve"> AUTONUM  </w:instrText>
      </w:r>
      <w:r>
        <w:fldChar w:fldCharType="end"/>
      </w:r>
      <w:r>
        <w:tab/>
      </w:r>
      <w:r w:rsidR="00396501">
        <w:t xml:space="preserve">During this Task Force meeting, the International Bureau offered to provide a series of clinics for IP </w:t>
      </w:r>
      <w:r w:rsidR="009323BA">
        <w:t>o</w:t>
      </w:r>
      <w:r w:rsidR="00396501">
        <w:t xml:space="preserve">ffices pitched at different levels to support them regardless of their stage </w:t>
      </w:r>
      <w:r w:rsidR="00B6211E">
        <w:rPr>
          <w:rFonts w:eastAsiaTheme="minorEastAsia" w:hint="eastAsia"/>
          <w:lang w:eastAsia="ja-JP"/>
        </w:rPr>
        <w:t xml:space="preserve">on </w:t>
      </w:r>
      <w:r w:rsidR="00396501">
        <w:t>implementation of the new patent documentation requirements</w:t>
      </w:r>
      <w:r w:rsidR="00DE1E91">
        <w:t xml:space="preserve">, </w:t>
      </w:r>
      <w:r w:rsidR="00DE1E91" w:rsidRPr="00C04F12">
        <w:t>specified in paragraph 6</w:t>
      </w:r>
      <w:r w:rsidR="00C04F12" w:rsidRPr="004C37FF">
        <w:t xml:space="preserve"> above</w:t>
      </w:r>
      <w:r w:rsidR="00396501" w:rsidRPr="00C04F12">
        <w:t>.</w:t>
      </w:r>
      <w:r w:rsidR="00396501">
        <w:t xml:space="preserve">  Participation in these clinics would be voluntary and </w:t>
      </w:r>
      <w:r w:rsidR="00E33DEE">
        <w:t>typically conducted bilaterally.  A</w:t>
      </w:r>
      <w:r w:rsidR="00396501">
        <w:t xml:space="preserve">s a first step, the International Bureau produced a self-assessment checklist to determine </w:t>
      </w:r>
      <w:r w:rsidR="00E33DEE">
        <w:t xml:space="preserve">which type of clinic would be the best match for an Office.  The criteria to assess an Office readiness </w:t>
      </w:r>
      <w:r w:rsidR="002F53B4">
        <w:t>were published on the PCT Minimum Documentation Task Force wiki space and indicated</w:t>
      </w:r>
      <w:r w:rsidR="00E33DEE">
        <w:t xml:space="preserve"> as follows:</w:t>
      </w:r>
    </w:p>
    <w:p w14:paraId="58490A57" w14:textId="0CB9F4E9" w:rsidR="00E33DEE" w:rsidRDefault="00E33DEE" w:rsidP="00E33DEE">
      <w:pPr>
        <w:pStyle w:val="ListParagraph"/>
        <w:numPr>
          <w:ilvl w:val="0"/>
          <w:numId w:val="8"/>
        </w:numPr>
        <w:spacing w:after="240"/>
      </w:pPr>
      <w:r>
        <w:t>Capability to produce text-searchable, machine-readable full text of abstract, description and claims for documents belonging to the PCT Min</w:t>
      </w:r>
      <w:r w:rsidR="00FE4DEC">
        <w:t>imum</w:t>
      </w:r>
      <w:r>
        <w:t xml:space="preserve"> Doc</w:t>
      </w:r>
      <w:r w:rsidR="00FE4DEC">
        <w:t>umentation</w:t>
      </w:r>
      <w:r>
        <w:t xml:space="preserve"> published on or after January 1, 2026</w:t>
      </w:r>
      <w:r w:rsidR="00DE1E91">
        <w:t>;</w:t>
      </w:r>
    </w:p>
    <w:p w14:paraId="051EA2BF" w14:textId="0709A089" w:rsidR="00E33DEE" w:rsidRDefault="00E33DEE" w:rsidP="00E33DEE">
      <w:pPr>
        <w:pStyle w:val="ListParagraph"/>
        <w:numPr>
          <w:ilvl w:val="0"/>
          <w:numId w:val="8"/>
        </w:numPr>
        <w:spacing w:after="240"/>
      </w:pPr>
      <w:r>
        <w:t>Inventory of published data on or after January 1, 1991, available in machine-readable format</w:t>
      </w:r>
      <w:r w:rsidR="00DE1E91">
        <w:t>;</w:t>
      </w:r>
    </w:p>
    <w:p w14:paraId="03562586" w14:textId="2D6726AF" w:rsidR="00E33DEE" w:rsidRDefault="00E33DEE" w:rsidP="00E33DEE">
      <w:pPr>
        <w:pStyle w:val="ListParagraph"/>
        <w:numPr>
          <w:ilvl w:val="0"/>
          <w:numId w:val="8"/>
        </w:numPr>
        <w:spacing w:after="240"/>
      </w:pPr>
      <w:r>
        <w:t>Capability to format the patent data in WIPO Standards ST</w:t>
      </w:r>
      <w:r w:rsidR="00FE4DEC">
        <w:t>.</w:t>
      </w:r>
      <w:r>
        <w:t>36 or ST</w:t>
      </w:r>
      <w:r w:rsidR="00FE4DEC">
        <w:t>.</w:t>
      </w:r>
      <w:r>
        <w:t>96, plain text or any combination thereof</w:t>
      </w:r>
      <w:r w:rsidR="00DE1E91">
        <w:t>;</w:t>
      </w:r>
    </w:p>
    <w:p w14:paraId="1AEA38A2" w14:textId="25A973E2" w:rsidR="00E33DEE" w:rsidRDefault="00E33DEE" w:rsidP="00E33DEE">
      <w:pPr>
        <w:pStyle w:val="ListParagraph"/>
        <w:numPr>
          <w:ilvl w:val="0"/>
          <w:numId w:val="8"/>
        </w:numPr>
        <w:spacing w:after="240"/>
      </w:pPr>
      <w:r>
        <w:t xml:space="preserve">Capability to produce authority file in </w:t>
      </w:r>
      <w:r w:rsidR="00FE4DEC">
        <w:t xml:space="preserve">WIPO </w:t>
      </w:r>
      <w:r>
        <w:t>ST</w:t>
      </w:r>
      <w:r w:rsidR="00FE4DEC">
        <w:t>.</w:t>
      </w:r>
      <w:r>
        <w:t>37 containing inventory as of January 1, 1991</w:t>
      </w:r>
      <w:r w:rsidR="00DE1E91">
        <w:t>;</w:t>
      </w:r>
    </w:p>
    <w:p w14:paraId="268B661C" w14:textId="60F7221C" w:rsidR="00E33DEE" w:rsidRDefault="00E33DEE" w:rsidP="00E33DEE">
      <w:pPr>
        <w:pStyle w:val="ListParagraph"/>
        <w:numPr>
          <w:ilvl w:val="0"/>
          <w:numId w:val="8"/>
        </w:numPr>
        <w:spacing w:after="240"/>
      </w:pPr>
      <w:r>
        <w:t xml:space="preserve">Capability to produce authority file in </w:t>
      </w:r>
      <w:r w:rsidR="00FE4DEC">
        <w:t xml:space="preserve">WIPO </w:t>
      </w:r>
      <w:r>
        <w:t>ST</w:t>
      </w:r>
      <w:r w:rsidR="00FE4DEC">
        <w:t>.</w:t>
      </w:r>
      <w:r>
        <w:t>37 including information about availability of full text as of Jan</w:t>
      </w:r>
      <w:r w:rsidR="00FE4DEC">
        <w:t>uary</w:t>
      </w:r>
      <w:r>
        <w:t xml:space="preserve"> 1, 2026</w:t>
      </w:r>
      <w:r w:rsidR="00DE1E91">
        <w:t>;</w:t>
      </w:r>
    </w:p>
    <w:p w14:paraId="4CD9100C" w14:textId="03565E45" w:rsidR="00E33DEE" w:rsidRDefault="00E33DEE" w:rsidP="00E33DEE">
      <w:pPr>
        <w:pStyle w:val="ListParagraph"/>
        <w:numPr>
          <w:ilvl w:val="0"/>
          <w:numId w:val="8"/>
        </w:numPr>
        <w:spacing w:after="240"/>
      </w:pPr>
      <w:r>
        <w:t>Secure repository to store patent data belonging to PCT Minimum Documentation</w:t>
      </w:r>
      <w:r w:rsidR="00DE1E91">
        <w:t>;</w:t>
      </w:r>
    </w:p>
    <w:p w14:paraId="3E4967F6" w14:textId="1B075C3C" w:rsidR="00E33DEE" w:rsidRDefault="00E33DEE" w:rsidP="00E33DEE">
      <w:pPr>
        <w:pStyle w:val="ListParagraph"/>
        <w:numPr>
          <w:ilvl w:val="0"/>
          <w:numId w:val="8"/>
        </w:numPr>
        <w:spacing w:after="240"/>
      </w:pPr>
      <w:r>
        <w:t>Processes/Procedures to make data available preferably within one month but no later than two months from publication</w:t>
      </w:r>
      <w:r w:rsidR="00DE1E91">
        <w:t>; and</w:t>
      </w:r>
    </w:p>
    <w:p w14:paraId="11466F46" w14:textId="0FA491A3" w:rsidR="00B102A4" w:rsidRDefault="00E33DEE" w:rsidP="00E33DEE">
      <w:pPr>
        <w:pStyle w:val="ListParagraph"/>
        <w:numPr>
          <w:ilvl w:val="0"/>
          <w:numId w:val="8"/>
        </w:numPr>
        <w:spacing w:after="240"/>
      </w:pPr>
      <w:r>
        <w:t>Definition file with exception codes available.</w:t>
      </w:r>
    </w:p>
    <w:p w14:paraId="53D7063A" w14:textId="5F14FEB8" w:rsidR="00D57B60" w:rsidRDefault="00FA0FFD" w:rsidP="004C7DBF">
      <w:pPr>
        <w:spacing w:after="240"/>
      </w:pPr>
      <w:r>
        <w:fldChar w:fldCharType="begin"/>
      </w:r>
      <w:r>
        <w:instrText xml:space="preserve"> AUTONUM  </w:instrText>
      </w:r>
      <w:r>
        <w:fldChar w:fldCharType="end"/>
      </w:r>
      <w:r>
        <w:tab/>
      </w:r>
      <w:r w:rsidR="00396501">
        <w:t>After the Task Force meeting, s</w:t>
      </w:r>
      <w:r w:rsidR="00965C1E">
        <w:t xml:space="preserve">everal Offices have reached out to </w:t>
      </w:r>
      <w:r w:rsidR="00396501">
        <w:t>the EPO and International Bureau</w:t>
      </w:r>
      <w:r w:rsidR="00965C1E">
        <w:t xml:space="preserve"> for assistance in producing their authority file including Brazil, Singapore and Ukraine. </w:t>
      </w:r>
      <w:r w:rsidR="00396501">
        <w:t xml:space="preserve"> Support was provided to these Offices via email and through online meetings.  </w:t>
      </w:r>
    </w:p>
    <w:p w14:paraId="3EB661A4" w14:textId="53CBD8EF" w:rsidR="00D206A6" w:rsidRDefault="00D206A6" w:rsidP="00D206A6">
      <w:pPr>
        <w:pStyle w:val="Heading3"/>
      </w:pPr>
      <w:r>
        <w:lastRenderedPageBreak/>
        <w:t>Challenges</w:t>
      </w:r>
    </w:p>
    <w:p w14:paraId="7703A48E" w14:textId="711AE4EF" w:rsidR="00D206A6" w:rsidRDefault="00D206A6" w:rsidP="00D206A6">
      <w:r>
        <w:fldChar w:fldCharType="begin"/>
      </w:r>
      <w:r>
        <w:instrText xml:space="preserve"> AUTONUM  </w:instrText>
      </w:r>
      <w:r>
        <w:fldChar w:fldCharType="end"/>
      </w:r>
      <w:r>
        <w:tab/>
        <w:t xml:space="preserve"> </w:t>
      </w:r>
      <w:r w:rsidR="00AE51D6">
        <w:t>The following challenges have been experienced by the International Bureau in its attempt to encourage more Offices to produce an authority file compliant with WIPO Standard ST.37:</w:t>
      </w:r>
    </w:p>
    <w:p w14:paraId="585D64A3" w14:textId="36BF7CD4" w:rsidR="00AE51D6" w:rsidRDefault="00AE51D6" w:rsidP="00AE51D6">
      <w:pPr>
        <w:pStyle w:val="ListParagraph"/>
        <w:numPr>
          <w:ilvl w:val="0"/>
          <w:numId w:val="11"/>
        </w:numPr>
      </w:pPr>
      <w:r>
        <w:t xml:space="preserve">Without more patent Office feedback, it is difficult for the International Bureau to </w:t>
      </w:r>
      <w:r w:rsidR="00C73052">
        <w:t xml:space="preserve">plan </w:t>
      </w:r>
      <w:r>
        <w:t>to resource undertaking this Task.  It is a different set of skills required to support the digitization of patent gazettes versus production of an authority file;</w:t>
      </w:r>
      <w:r w:rsidR="00C73052">
        <w:t xml:space="preserve"> and</w:t>
      </w:r>
    </w:p>
    <w:p w14:paraId="2932674C" w14:textId="0E616AB2" w:rsidR="00D206A6" w:rsidRDefault="00AE51D6" w:rsidP="00B102A4">
      <w:pPr>
        <w:pStyle w:val="ListParagraph"/>
        <w:numPr>
          <w:ilvl w:val="0"/>
          <w:numId w:val="11"/>
        </w:numPr>
        <w:spacing w:after="240"/>
        <w:ind w:left="714" w:hanging="357"/>
      </w:pPr>
      <w:r>
        <w:t xml:space="preserve">There is a limited period of time remaining for PCT Minimum Documentation Task Force members to satisfy the new patent documentation requirements, with the deadline for the front file being digitally accessible being January 1, 2026. </w:t>
      </w:r>
    </w:p>
    <w:p w14:paraId="735BB82A" w14:textId="4B4EB4C0" w:rsidR="00D206A6" w:rsidRDefault="00D206A6" w:rsidP="00D206A6">
      <w:pPr>
        <w:pStyle w:val="Heading3"/>
      </w:pPr>
      <w:r>
        <w:t>Future Work</w:t>
      </w:r>
    </w:p>
    <w:p w14:paraId="10C4F761" w14:textId="21C79DD1" w:rsidR="00AE51D6" w:rsidRDefault="00AE51D6" w:rsidP="00AE51D6">
      <w:r>
        <w:fldChar w:fldCharType="begin"/>
      </w:r>
      <w:r>
        <w:instrText xml:space="preserve"> AUTONUM  </w:instrText>
      </w:r>
      <w:r>
        <w:fldChar w:fldCharType="end"/>
      </w:r>
      <w:r>
        <w:tab/>
        <w:t xml:space="preserve">The International Bureau is currently coordinating with interested Offices to schedule bilateral clinics which should be held for Offices with the biggest need for support before the end of 2024. </w:t>
      </w:r>
      <w:r w:rsidR="006105FF">
        <w:t xml:space="preserve"> After this, targeted clinics for those Offices who are closer to achieving the patent documentation requirements will be held but these are yet unscheduled. </w:t>
      </w:r>
    </w:p>
    <w:p w14:paraId="65C3D941" w14:textId="77777777" w:rsidR="00396501" w:rsidRDefault="00396501" w:rsidP="00B102A4"/>
    <w:p w14:paraId="7096AE77" w14:textId="77777777" w:rsidR="00396501" w:rsidRDefault="00396501" w:rsidP="00B102A4"/>
    <w:p w14:paraId="475DA827" w14:textId="77777777" w:rsidR="00396501" w:rsidRPr="00B102A4" w:rsidRDefault="00396501" w:rsidP="00B102A4"/>
    <w:bookmarkEnd w:id="4"/>
    <w:p w14:paraId="3CCBE55F" w14:textId="0B628C63" w:rsidR="002928D3" w:rsidRPr="00C55EB1" w:rsidRDefault="00B102A4" w:rsidP="00C55EB1">
      <w:pPr>
        <w:pStyle w:val="ONUME"/>
        <w:ind w:left="5533"/>
        <w:rPr>
          <w:i/>
        </w:rPr>
      </w:pPr>
      <w:r w:rsidRPr="00C55EB1">
        <w:rPr>
          <w:i/>
        </w:rPr>
        <w:fldChar w:fldCharType="begin"/>
      </w:r>
      <w:r w:rsidRPr="00C55EB1">
        <w:rPr>
          <w:i/>
        </w:rPr>
        <w:instrText xml:space="preserve"> AUTONUM  </w:instrText>
      </w:r>
      <w:r w:rsidRPr="00C55EB1">
        <w:rPr>
          <w:i/>
        </w:rPr>
        <w:fldChar w:fldCharType="end"/>
      </w:r>
      <w:r w:rsidRPr="00C55EB1">
        <w:rPr>
          <w:i/>
        </w:rPr>
        <w:tab/>
        <w:t>The CWS is invited to:</w:t>
      </w:r>
    </w:p>
    <w:p w14:paraId="07BFFA31" w14:textId="7FEBB80C" w:rsidR="00B102A4" w:rsidRPr="00C55EB1" w:rsidRDefault="00396501" w:rsidP="00C55EB1">
      <w:pPr>
        <w:pStyle w:val="ONUME"/>
        <w:numPr>
          <w:ilvl w:val="0"/>
          <w:numId w:val="7"/>
        </w:numPr>
        <w:tabs>
          <w:tab w:val="num" w:pos="1134"/>
          <w:tab w:val="num" w:pos="6101"/>
        </w:tabs>
        <w:ind w:left="5529" w:firstLine="563"/>
        <w:rPr>
          <w:i/>
        </w:rPr>
      </w:pPr>
      <w:r w:rsidRPr="00C55EB1">
        <w:rPr>
          <w:i/>
        </w:rPr>
        <w:t>note</w:t>
      </w:r>
      <w:r w:rsidR="00B102A4" w:rsidRPr="00C55EB1">
        <w:rPr>
          <w:i/>
        </w:rPr>
        <w:t xml:space="preserve"> the content of the present document</w:t>
      </w:r>
      <w:r w:rsidR="00AE51D6" w:rsidRPr="00C55EB1">
        <w:rPr>
          <w:i/>
        </w:rPr>
        <w:t>, in particular the challenges outlined in paragraph 9</w:t>
      </w:r>
      <w:r w:rsidR="00B102A4" w:rsidRPr="00C55EB1">
        <w:rPr>
          <w:i/>
        </w:rPr>
        <w:t>;</w:t>
      </w:r>
      <w:r w:rsidR="00AE51D6" w:rsidRPr="00C55EB1">
        <w:rPr>
          <w:i/>
        </w:rPr>
        <w:t xml:space="preserve"> </w:t>
      </w:r>
      <w:r w:rsidR="00B102A4" w:rsidRPr="00C55EB1">
        <w:rPr>
          <w:i/>
        </w:rPr>
        <w:t>and</w:t>
      </w:r>
    </w:p>
    <w:p w14:paraId="6DA05B55" w14:textId="0A38214A" w:rsidR="00C55EB1" w:rsidRDefault="00C73052" w:rsidP="00C55EB1">
      <w:pPr>
        <w:pStyle w:val="ONUME"/>
        <w:numPr>
          <w:ilvl w:val="0"/>
          <w:numId w:val="12"/>
        </w:numPr>
        <w:tabs>
          <w:tab w:val="num" w:pos="1134"/>
          <w:tab w:val="num" w:pos="6101"/>
        </w:tabs>
        <w:ind w:left="5529" w:firstLine="563"/>
        <w:rPr>
          <w:i/>
        </w:rPr>
      </w:pPr>
      <w:r>
        <w:rPr>
          <w:i/>
        </w:rPr>
        <w:t xml:space="preserve">encourage IP offices to </w:t>
      </w:r>
      <w:r w:rsidR="0026419F" w:rsidRPr="00C55EB1">
        <w:rPr>
          <w:i/>
        </w:rPr>
        <w:t>p</w:t>
      </w:r>
      <w:r w:rsidR="00B102A4" w:rsidRPr="00C55EB1">
        <w:rPr>
          <w:i/>
        </w:rPr>
        <w:t xml:space="preserve">articipate in the clinics being held by the </w:t>
      </w:r>
      <w:r w:rsidR="00396501" w:rsidRPr="00C55EB1">
        <w:rPr>
          <w:i/>
        </w:rPr>
        <w:t>International</w:t>
      </w:r>
      <w:r w:rsidR="00B102A4" w:rsidRPr="00C55EB1">
        <w:rPr>
          <w:i/>
        </w:rPr>
        <w:t xml:space="preserve"> Bureau after </w:t>
      </w:r>
      <w:r w:rsidR="0026419F" w:rsidRPr="00C55EB1">
        <w:rPr>
          <w:i/>
        </w:rPr>
        <w:t>performing the self-assessment</w:t>
      </w:r>
      <w:r w:rsidR="006105FF" w:rsidRPr="00C55EB1">
        <w:rPr>
          <w:i/>
        </w:rPr>
        <w:t>, as indicated in paragraph 10 above</w:t>
      </w:r>
      <w:r w:rsidR="00C55EB1">
        <w:rPr>
          <w:i/>
        </w:rPr>
        <w:t xml:space="preserve">. </w:t>
      </w:r>
    </w:p>
    <w:p w14:paraId="3BDCAF4F" w14:textId="77777777" w:rsidR="00C55EB1" w:rsidRDefault="00C55EB1" w:rsidP="00C55EB1">
      <w:pPr>
        <w:pStyle w:val="ONUME"/>
        <w:tabs>
          <w:tab w:val="num" w:pos="6101"/>
        </w:tabs>
        <w:rPr>
          <w:i/>
        </w:rPr>
      </w:pPr>
    </w:p>
    <w:p w14:paraId="631A4050" w14:textId="467FBA87" w:rsidR="00B102A4" w:rsidRPr="00C55EB1" w:rsidRDefault="00C55EB1" w:rsidP="00C55EB1">
      <w:pPr>
        <w:pStyle w:val="Endofdocument"/>
        <w:ind w:left="5530"/>
      </w:pPr>
      <w:r w:rsidRPr="00AE7643">
        <w:rPr>
          <w:rFonts w:cs="Arial"/>
          <w:sz w:val="22"/>
          <w:szCs w:val="22"/>
        </w:rPr>
        <w:t>[</w:t>
      </w:r>
      <w:r>
        <w:rPr>
          <w:rFonts w:cs="Arial"/>
          <w:sz w:val="22"/>
          <w:szCs w:val="22"/>
        </w:rPr>
        <w:t>End of the document</w:t>
      </w:r>
      <w:r w:rsidRPr="00AE7643">
        <w:rPr>
          <w:rFonts w:cs="Arial"/>
          <w:sz w:val="22"/>
          <w:szCs w:val="22"/>
        </w:rPr>
        <w:t>]</w:t>
      </w:r>
    </w:p>
    <w:sectPr w:rsidR="00B102A4" w:rsidRPr="00C55EB1" w:rsidSect="00F82EA2">
      <w:headerReference w:type="default" r:id="rId11"/>
      <w:footerReference w:type="defaul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30B8B" w14:textId="77777777" w:rsidR="00DC5046" w:rsidRDefault="00DC5046">
      <w:r>
        <w:separator/>
      </w:r>
    </w:p>
  </w:endnote>
  <w:endnote w:type="continuationSeparator" w:id="0">
    <w:p w14:paraId="6FF1A183" w14:textId="77777777" w:rsidR="00DC5046" w:rsidRDefault="00DC5046" w:rsidP="003B38C1">
      <w:r>
        <w:separator/>
      </w:r>
    </w:p>
    <w:p w14:paraId="23CE1906" w14:textId="77777777" w:rsidR="00DC5046" w:rsidRPr="003B38C1" w:rsidRDefault="00DC5046" w:rsidP="003B38C1">
      <w:pPr>
        <w:spacing w:after="60"/>
        <w:rPr>
          <w:sz w:val="17"/>
        </w:rPr>
      </w:pPr>
      <w:r>
        <w:rPr>
          <w:sz w:val="17"/>
        </w:rPr>
        <w:t>[Endnote continued from previous page]</w:t>
      </w:r>
    </w:p>
  </w:endnote>
  <w:endnote w:type="continuationNotice" w:id="1">
    <w:p w14:paraId="64B37F6B" w14:textId="77777777" w:rsidR="00DC5046" w:rsidRPr="003B38C1" w:rsidRDefault="00DC50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CD87" w14:textId="77777777" w:rsidR="00237381" w:rsidRDefault="00237381">
    <w:pPr>
      <w:pStyle w:val="Footer"/>
    </w:pPr>
    <w:r>
      <w:rPr>
        <w:noProof/>
        <w:lang w:eastAsia="ja-JP"/>
      </w:rPr>
      <mc:AlternateContent>
        <mc:Choice Requires="wps">
          <w:drawing>
            <wp:anchor distT="0" distB="0" distL="114300" distR="114300" simplePos="0" relativeHeight="251659264" behindDoc="0" locked="0" layoutInCell="0" allowOverlap="1" wp14:anchorId="22ABE24D" wp14:editId="371570A0">
              <wp:simplePos x="0" y="0"/>
              <wp:positionH relativeFrom="page">
                <wp:posOffset>0</wp:posOffset>
              </wp:positionH>
              <wp:positionV relativeFrom="page">
                <wp:posOffset>10229453</wp:posOffset>
              </wp:positionV>
              <wp:extent cx="7560945" cy="273050"/>
              <wp:effectExtent l="0" t="0" r="0" b="12700"/>
              <wp:wrapNone/>
              <wp:docPr id="1" name="MSIPCMc4c64e91bfa8fdde07d1cb30"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F52638" w14:textId="77777777" w:rsidR="00237381" w:rsidRPr="00237381" w:rsidRDefault="00237381" w:rsidP="00237381">
                          <w:pPr>
                            <w:jc w:val="center"/>
                            <w:rPr>
                              <w:rFonts w:ascii="Calibri" w:hAnsi="Calibri" w:cs="Calibri"/>
                              <w:color w:val="000000"/>
                              <w:sz w:val="20"/>
                            </w:rPr>
                          </w:pPr>
                          <w:r w:rsidRPr="00237381">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22ABE24D" id="_x0000_t202" coordsize="21600,21600" o:spt="202" path="m,l,21600r21600,l21600,xe">
              <v:stroke joinstyle="miter"/>
              <v:path gradientshapeok="t" o:connecttype="rect"/>
            </v:shapetype>
            <v:shape id="MSIPCMc4c64e91bfa8fdde07d1cb30"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DF52638" w14:textId="77777777" w:rsidR="00237381" w:rsidRPr="00237381" w:rsidRDefault="00237381" w:rsidP="00237381">
                    <w:pPr>
                      <w:jc w:val="center"/>
                      <w:rPr>
                        <w:rFonts w:ascii="Calibri" w:hAnsi="Calibri" w:cs="Calibri"/>
                        <w:color w:val="000000"/>
                        <w:sz w:val="20"/>
                      </w:rPr>
                    </w:pPr>
                    <w:r w:rsidRPr="00237381">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09E1" w14:textId="77777777" w:rsidR="00237381" w:rsidRDefault="00237381">
    <w:pPr>
      <w:pStyle w:val="Footer"/>
    </w:pPr>
    <w:r>
      <w:rPr>
        <w:noProof/>
        <w:lang w:eastAsia="ja-JP"/>
      </w:rPr>
      <mc:AlternateContent>
        <mc:Choice Requires="wps">
          <w:drawing>
            <wp:anchor distT="0" distB="0" distL="114300" distR="114300" simplePos="0" relativeHeight="251660288" behindDoc="0" locked="0" layoutInCell="0" allowOverlap="1" wp14:anchorId="4C8E7CFF" wp14:editId="115E186F">
              <wp:simplePos x="0" y="0"/>
              <wp:positionH relativeFrom="page">
                <wp:posOffset>0</wp:posOffset>
              </wp:positionH>
              <wp:positionV relativeFrom="page">
                <wp:posOffset>10229215</wp:posOffset>
              </wp:positionV>
              <wp:extent cx="7560945" cy="273050"/>
              <wp:effectExtent l="0" t="0" r="0" b="12700"/>
              <wp:wrapNone/>
              <wp:docPr id="3" name="MSIPCM8f31403391a7a0770f95d425"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79ADE3" w14:textId="5003DC45" w:rsidR="00237381" w:rsidRPr="00237381" w:rsidRDefault="00237381" w:rsidP="0023738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4C8E7CFF" id="_x0000_t202" coordsize="21600,21600" o:spt="202" path="m,l,21600r21600,l21600,xe">
              <v:stroke joinstyle="miter"/>
              <v:path gradientshapeok="t" o:connecttype="rect"/>
            </v:shapetype>
            <v:shape id="MSIPCM8f31403391a7a0770f95d425"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679ADE3" w14:textId="5003DC45" w:rsidR="00237381" w:rsidRPr="00237381" w:rsidRDefault="00237381" w:rsidP="00237381">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C1CC" w14:textId="77777777" w:rsidR="00DC5046" w:rsidRDefault="00DC5046">
      <w:r>
        <w:separator/>
      </w:r>
    </w:p>
  </w:footnote>
  <w:footnote w:type="continuationSeparator" w:id="0">
    <w:p w14:paraId="6D74CE6C" w14:textId="77777777" w:rsidR="00DC5046" w:rsidRDefault="00DC5046" w:rsidP="008B60B2">
      <w:r>
        <w:separator/>
      </w:r>
    </w:p>
    <w:p w14:paraId="351FF986" w14:textId="77777777" w:rsidR="00DC5046" w:rsidRPr="00ED77FB" w:rsidRDefault="00DC5046" w:rsidP="008B60B2">
      <w:pPr>
        <w:spacing w:after="60"/>
        <w:rPr>
          <w:sz w:val="17"/>
          <w:szCs w:val="17"/>
        </w:rPr>
      </w:pPr>
      <w:r w:rsidRPr="00ED77FB">
        <w:rPr>
          <w:sz w:val="17"/>
          <w:szCs w:val="17"/>
        </w:rPr>
        <w:t>[Footnote continued from previous page]</w:t>
      </w:r>
    </w:p>
  </w:footnote>
  <w:footnote w:type="continuationNotice" w:id="1">
    <w:p w14:paraId="70D0BD31" w14:textId="77777777" w:rsidR="00DC5046" w:rsidRPr="00ED77FB" w:rsidRDefault="00DC504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9441" w14:textId="3803B4C8" w:rsidR="00EC4E49" w:rsidRDefault="00F82EA2" w:rsidP="00477D6B">
    <w:pPr>
      <w:jc w:val="right"/>
    </w:pPr>
    <w:bookmarkStart w:id="5" w:name="Code2"/>
    <w:bookmarkEnd w:id="5"/>
    <w:r>
      <w:t>CWS/1</w:t>
    </w:r>
    <w:r w:rsidR="00A945AC">
      <w:t>2</w:t>
    </w:r>
    <w:r>
      <w:t>/</w:t>
    </w:r>
    <w:r w:rsidR="00A945AC">
      <w:t>14</w:t>
    </w:r>
  </w:p>
  <w:p w14:paraId="41C864D2" w14:textId="77777777" w:rsidR="00EC4E49" w:rsidRDefault="00EC4E49" w:rsidP="00A945AC">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3FD092A6" w14:textId="77777777" w:rsidR="00EC4E49" w:rsidRDefault="00EC4E49" w:rsidP="00477D6B">
    <w:pPr>
      <w:jc w:val="right"/>
    </w:pPr>
  </w:p>
  <w:p w14:paraId="3F96B349"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CD7EFA"/>
    <w:multiLevelType w:val="hybridMultilevel"/>
    <w:tmpl w:val="449CA726"/>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066F"/>
    <w:multiLevelType w:val="hybridMultilevel"/>
    <w:tmpl w:val="1B889080"/>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B5B0D"/>
    <w:multiLevelType w:val="hybridMultilevel"/>
    <w:tmpl w:val="73A4CCDC"/>
    <w:lvl w:ilvl="0" w:tplc="C3B6BA74">
      <w:start w:val="1"/>
      <w:numFmt w:val="decimal"/>
      <w:lvlText w:val="%1."/>
      <w:lvlJc w:val="left"/>
      <w:pPr>
        <w:ind w:left="570" w:hanging="51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0C93E2A"/>
    <w:multiLevelType w:val="hybridMultilevel"/>
    <w:tmpl w:val="A5E2590A"/>
    <w:lvl w:ilvl="0" w:tplc="6B1C8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1B69F5"/>
    <w:multiLevelType w:val="hybridMultilevel"/>
    <w:tmpl w:val="60AC379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422876">
    <w:abstractNumId w:val="4"/>
  </w:num>
  <w:num w:numId="2" w16cid:durableId="599603977">
    <w:abstractNumId w:val="8"/>
  </w:num>
  <w:num w:numId="3" w16cid:durableId="1552880796">
    <w:abstractNumId w:val="0"/>
  </w:num>
  <w:num w:numId="4" w16cid:durableId="600527977">
    <w:abstractNumId w:val="9"/>
  </w:num>
  <w:num w:numId="5" w16cid:durableId="512451798">
    <w:abstractNumId w:val="1"/>
  </w:num>
  <w:num w:numId="6" w16cid:durableId="1888832616">
    <w:abstractNumId w:val="5"/>
  </w:num>
  <w:num w:numId="7" w16cid:durableId="468136333">
    <w:abstractNumId w:val="7"/>
  </w:num>
  <w:num w:numId="8" w16cid:durableId="110631260">
    <w:abstractNumId w:val="3"/>
  </w:num>
  <w:num w:numId="9" w16cid:durableId="772095896">
    <w:abstractNumId w:val="6"/>
  </w:num>
  <w:num w:numId="10" w16cid:durableId="749156477">
    <w:abstractNumId w:val="10"/>
  </w:num>
  <w:num w:numId="11" w16cid:durableId="886065280">
    <w:abstractNumId w:val="2"/>
  </w:num>
  <w:num w:numId="12" w16cid:durableId="362177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6"/>
    <w:rsid w:val="0001647B"/>
    <w:rsid w:val="00043CAA"/>
    <w:rsid w:val="00075432"/>
    <w:rsid w:val="000817DB"/>
    <w:rsid w:val="000826F9"/>
    <w:rsid w:val="000968ED"/>
    <w:rsid w:val="000F5E56"/>
    <w:rsid w:val="001024FE"/>
    <w:rsid w:val="001362EE"/>
    <w:rsid w:val="00142868"/>
    <w:rsid w:val="001832A6"/>
    <w:rsid w:val="001C6808"/>
    <w:rsid w:val="002121FA"/>
    <w:rsid w:val="00237381"/>
    <w:rsid w:val="002464BC"/>
    <w:rsid w:val="002634C4"/>
    <w:rsid w:val="0026419F"/>
    <w:rsid w:val="002928D3"/>
    <w:rsid w:val="002C7083"/>
    <w:rsid w:val="002F1FE6"/>
    <w:rsid w:val="002F4E68"/>
    <w:rsid w:val="002F53B4"/>
    <w:rsid w:val="00312F7F"/>
    <w:rsid w:val="003228B7"/>
    <w:rsid w:val="003508A3"/>
    <w:rsid w:val="003673CF"/>
    <w:rsid w:val="00375CA7"/>
    <w:rsid w:val="00380FE8"/>
    <w:rsid w:val="003845C1"/>
    <w:rsid w:val="00396501"/>
    <w:rsid w:val="003A6F89"/>
    <w:rsid w:val="003B38C1"/>
    <w:rsid w:val="003D352A"/>
    <w:rsid w:val="003D7FAA"/>
    <w:rsid w:val="004006E1"/>
    <w:rsid w:val="00423E3E"/>
    <w:rsid w:val="00427AF4"/>
    <w:rsid w:val="004400E2"/>
    <w:rsid w:val="00461632"/>
    <w:rsid w:val="004647DA"/>
    <w:rsid w:val="00474062"/>
    <w:rsid w:val="00477D6B"/>
    <w:rsid w:val="004C37FF"/>
    <w:rsid w:val="004C7DBF"/>
    <w:rsid w:val="004D39C4"/>
    <w:rsid w:val="0053057A"/>
    <w:rsid w:val="00560A29"/>
    <w:rsid w:val="00594D27"/>
    <w:rsid w:val="005B42D8"/>
    <w:rsid w:val="005E35A1"/>
    <w:rsid w:val="00601760"/>
    <w:rsid w:val="00605827"/>
    <w:rsid w:val="006105FF"/>
    <w:rsid w:val="00646050"/>
    <w:rsid w:val="00650F58"/>
    <w:rsid w:val="006713CA"/>
    <w:rsid w:val="00676C5C"/>
    <w:rsid w:val="00695558"/>
    <w:rsid w:val="006D5E0F"/>
    <w:rsid w:val="006F5366"/>
    <w:rsid w:val="007058FB"/>
    <w:rsid w:val="00781023"/>
    <w:rsid w:val="007B6A58"/>
    <w:rsid w:val="007D1613"/>
    <w:rsid w:val="008328FD"/>
    <w:rsid w:val="00873EE5"/>
    <w:rsid w:val="008B2CC1"/>
    <w:rsid w:val="008B4B5E"/>
    <w:rsid w:val="008B60B2"/>
    <w:rsid w:val="0090476F"/>
    <w:rsid w:val="00904958"/>
    <w:rsid w:val="0090731E"/>
    <w:rsid w:val="00916EE2"/>
    <w:rsid w:val="009323BA"/>
    <w:rsid w:val="00965C1E"/>
    <w:rsid w:val="00966A22"/>
    <w:rsid w:val="0096722F"/>
    <w:rsid w:val="00970453"/>
    <w:rsid w:val="00980843"/>
    <w:rsid w:val="009E2791"/>
    <w:rsid w:val="009E3F6F"/>
    <w:rsid w:val="009F3BF9"/>
    <w:rsid w:val="009F499F"/>
    <w:rsid w:val="00A321C9"/>
    <w:rsid w:val="00A42DAF"/>
    <w:rsid w:val="00A45BD8"/>
    <w:rsid w:val="00A778BF"/>
    <w:rsid w:val="00A85B8E"/>
    <w:rsid w:val="00A945AC"/>
    <w:rsid w:val="00AC205C"/>
    <w:rsid w:val="00AE51D6"/>
    <w:rsid w:val="00AF5C73"/>
    <w:rsid w:val="00B01867"/>
    <w:rsid w:val="00B05A69"/>
    <w:rsid w:val="00B102A4"/>
    <w:rsid w:val="00B37C81"/>
    <w:rsid w:val="00B40598"/>
    <w:rsid w:val="00B50B99"/>
    <w:rsid w:val="00B6211E"/>
    <w:rsid w:val="00B62CD9"/>
    <w:rsid w:val="00B9734B"/>
    <w:rsid w:val="00BF7F74"/>
    <w:rsid w:val="00C04F12"/>
    <w:rsid w:val="00C11BFE"/>
    <w:rsid w:val="00C35835"/>
    <w:rsid w:val="00C51767"/>
    <w:rsid w:val="00C55EB1"/>
    <w:rsid w:val="00C73052"/>
    <w:rsid w:val="00C94629"/>
    <w:rsid w:val="00CE65D4"/>
    <w:rsid w:val="00D206A6"/>
    <w:rsid w:val="00D24FA8"/>
    <w:rsid w:val="00D45252"/>
    <w:rsid w:val="00D57B60"/>
    <w:rsid w:val="00D71B4D"/>
    <w:rsid w:val="00D93D55"/>
    <w:rsid w:val="00DC5046"/>
    <w:rsid w:val="00DE1E91"/>
    <w:rsid w:val="00DE4B69"/>
    <w:rsid w:val="00E161A2"/>
    <w:rsid w:val="00E335FE"/>
    <w:rsid w:val="00E33DEE"/>
    <w:rsid w:val="00E5021F"/>
    <w:rsid w:val="00E671A6"/>
    <w:rsid w:val="00EB5DD9"/>
    <w:rsid w:val="00EC4E49"/>
    <w:rsid w:val="00ED77FB"/>
    <w:rsid w:val="00F021A6"/>
    <w:rsid w:val="00F11D94"/>
    <w:rsid w:val="00F65686"/>
    <w:rsid w:val="00F66152"/>
    <w:rsid w:val="00F67112"/>
    <w:rsid w:val="00F82EA2"/>
    <w:rsid w:val="00FA0FFD"/>
    <w:rsid w:val="00FE2F24"/>
    <w:rsid w:val="00FE4DE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42ECC"/>
  <w15:docId w15:val="{C8D34CFD-1C40-4C0C-A53F-F759AC7F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102A4"/>
    <w:pPr>
      <w:ind w:left="720"/>
      <w:contextualSpacing/>
    </w:pPr>
  </w:style>
  <w:style w:type="character" w:customStyle="1" w:styleId="ONUMEChar">
    <w:name w:val="ONUM E Char"/>
    <w:basedOn w:val="DefaultParagraphFont"/>
    <w:link w:val="ONUME"/>
    <w:rsid w:val="00C55EB1"/>
    <w:rPr>
      <w:rFonts w:ascii="Arial" w:eastAsia="SimSun" w:hAnsi="Arial" w:cs="Arial"/>
      <w:sz w:val="22"/>
      <w:lang w:val="en-US" w:eastAsia="zh-CN"/>
    </w:rPr>
  </w:style>
  <w:style w:type="paragraph" w:customStyle="1" w:styleId="Endofdocument">
    <w:name w:val="End of document"/>
    <w:basedOn w:val="Normal"/>
    <w:rsid w:val="00C55EB1"/>
    <w:pPr>
      <w:spacing w:line="260" w:lineRule="atLeast"/>
      <w:ind w:left="5534"/>
    </w:pPr>
    <w:rPr>
      <w:rFonts w:eastAsia="Times New Roman" w:cs="Times New Roman"/>
      <w:sz w:val="20"/>
      <w:lang w:eastAsia="en-US"/>
    </w:rPr>
  </w:style>
  <w:style w:type="paragraph" w:styleId="Revision">
    <w:name w:val="Revision"/>
    <w:hidden/>
    <w:uiPriority w:val="99"/>
    <w:semiHidden/>
    <w:rsid w:val="002464BC"/>
    <w:rPr>
      <w:rFonts w:ascii="Arial" w:eastAsia="SimSun" w:hAnsi="Arial" w:cs="Arial"/>
      <w:sz w:val="22"/>
      <w:lang w:val="en-US" w:eastAsia="zh-CN"/>
    </w:rPr>
  </w:style>
  <w:style w:type="character" w:styleId="CommentReference">
    <w:name w:val="annotation reference"/>
    <w:basedOn w:val="DefaultParagraphFont"/>
    <w:semiHidden/>
    <w:unhideWhenUsed/>
    <w:rsid w:val="00F67112"/>
    <w:rPr>
      <w:sz w:val="16"/>
      <w:szCs w:val="16"/>
    </w:rPr>
  </w:style>
  <w:style w:type="paragraph" w:styleId="CommentSubject">
    <w:name w:val="annotation subject"/>
    <w:basedOn w:val="CommentText"/>
    <w:next w:val="CommentText"/>
    <w:link w:val="CommentSubjectChar"/>
    <w:semiHidden/>
    <w:unhideWhenUsed/>
    <w:rsid w:val="00F67112"/>
    <w:rPr>
      <w:b/>
      <w:bCs/>
      <w:sz w:val="20"/>
    </w:rPr>
  </w:style>
  <w:style w:type="character" w:customStyle="1" w:styleId="CommentTextChar">
    <w:name w:val="Comment Text Char"/>
    <w:basedOn w:val="DefaultParagraphFont"/>
    <w:link w:val="CommentText"/>
    <w:semiHidden/>
    <w:rsid w:val="00F6711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67112"/>
    <w:rPr>
      <w:rFonts w:ascii="Arial" w:eastAsia="SimSun" w:hAnsi="Arial" w:cs="Arial"/>
      <w:b/>
      <w:bCs/>
      <w:sz w:val="18"/>
      <w:lang w:val="en-US" w:eastAsia="zh-CN"/>
    </w:rPr>
  </w:style>
  <w:style w:type="character" w:styleId="Hyperlink">
    <w:name w:val="Hyperlink"/>
    <w:basedOn w:val="DefaultParagraphFont"/>
    <w:unhideWhenUsed/>
    <w:rsid w:val="00DE1E91"/>
    <w:rPr>
      <w:color w:val="0000FF" w:themeColor="hyperlink"/>
      <w:u w:val="single"/>
    </w:rPr>
  </w:style>
  <w:style w:type="character" w:styleId="UnresolvedMention">
    <w:name w:val="Unresolved Mention"/>
    <w:basedOn w:val="DefaultParagraphFont"/>
    <w:uiPriority w:val="99"/>
    <w:semiHidden/>
    <w:unhideWhenUsed/>
    <w:rsid w:val="00DE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export/sites/www/cws/en/circulars/files/cws_177.pdf" TargetMode="External"/><Relationship Id="rId4" Type="http://schemas.openxmlformats.org/officeDocument/2006/relationships/settings" Target="settings.xml"/><Relationship Id="rId9" Type="http://schemas.openxmlformats.org/officeDocument/2006/relationships/hyperlink" Target="https://www.wipo.int/standards/en/authority_fil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2F71-A26A-465F-8293-AD5DBAD3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Pages>
  <Words>979</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CWS/12</vt:lpstr>
    </vt:vector>
  </TitlesOfParts>
  <Company>WIPO</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CWS/12/14</dc:title>
  <dc:subject>12th Session Committee on WIPO Standards</dc:subject>
  <dc:creator>WIPO</dc:creator>
  <cp:keywords>CWS/12</cp:keywords>
  <cp:lastModifiedBy>BLANCHET Gaspard</cp:lastModifiedBy>
  <cp:revision>23</cp:revision>
  <cp:lastPrinted>2011-02-15T11:56:00Z</cp:lastPrinted>
  <dcterms:created xsi:type="dcterms:W3CDTF">2024-07-01T07:20:00Z</dcterms:created>
  <dcterms:modified xsi:type="dcterms:W3CDTF">2024-07-18T10:39:00Z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2023-08-07T14:26:51Z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af488a28-7f78-4ded-8819-a167086016d3</vt:lpwstr>
  </property>
  <property fmtid="{D5CDD505-2E9C-101B-9397-08002B2CF9AE}" pid="14" name="MSIP_Label_bfc084f7-b690-4c43-8ee6-d475b6d3461d_ContentBits">
    <vt:lpwstr>2</vt:lpwstr>
  </property>
</Properties>
</file>