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361450">
        <w:tc>
          <w:tcPr>
            <w:tcW w:w="4513" w:type="dxa"/>
            <w:tcBorders>
              <w:bottom w:val="single" w:sz="4" w:space="0" w:color="auto"/>
            </w:tcBorders>
            <w:tcMar>
              <w:bottom w:w="170" w:type="dxa"/>
            </w:tcMar>
          </w:tcPr>
          <w:p w14:paraId="7AC37266" w14:textId="77777777" w:rsidR="00EC4E49" w:rsidRPr="00084955" w:rsidRDefault="00EC4E49" w:rsidP="00916EE2"/>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8B2CC1" w:rsidRPr="00084955" w14:paraId="551DC35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919568" w14:textId="1DD33F04" w:rsidR="008B2CC1" w:rsidRPr="00084955" w:rsidRDefault="00AB1326" w:rsidP="00AB1326">
            <w:pPr>
              <w:jc w:val="right"/>
              <w:rPr>
                <w:rFonts w:ascii="Arial Black" w:hAnsi="Arial Black"/>
                <w:caps/>
                <w:sz w:val="15"/>
              </w:rPr>
            </w:pPr>
            <w:r w:rsidRPr="00084955">
              <w:rPr>
                <w:rFonts w:ascii="Arial Black" w:hAnsi="Arial Black"/>
                <w:caps/>
                <w:sz w:val="15"/>
              </w:rPr>
              <w:t>CWS/</w:t>
            </w:r>
            <w:r w:rsidR="00661D6F">
              <w:rPr>
                <w:rFonts w:ascii="Arial Black" w:hAnsi="Arial Black"/>
                <w:caps/>
                <w:sz w:val="15"/>
              </w:rPr>
              <w:t>11</w:t>
            </w:r>
            <w:r w:rsidR="00774501" w:rsidRPr="00084955">
              <w:rPr>
                <w:rFonts w:ascii="Arial Black" w:hAnsi="Arial Black"/>
                <w:caps/>
                <w:sz w:val="15"/>
              </w:rPr>
              <w:t>/</w:t>
            </w:r>
            <w:bookmarkStart w:id="0" w:name="Code"/>
            <w:bookmarkEnd w:id="0"/>
            <w:r w:rsidR="00661D6F">
              <w:rPr>
                <w:rFonts w:ascii="Arial Black" w:hAnsi="Arial Black"/>
                <w:caps/>
                <w:sz w:val="15"/>
              </w:rPr>
              <w:t>12</w:t>
            </w:r>
          </w:p>
        </w:tc>
      </w:tr>
      <w:tr w:rsidR="008B2CC1" w:rsidRPr="00084955" w14:paraId="1FA784B2" w14:textId="77777777" w:rsidTr="00916EE2">
        <w:trPr>
          <w:trHeight w:hRule="exact" w:val="170"/>
        </w:trPr>
        <w:tc>
          <w:tcPr>
            <w:tcW w:w="9356" w:type="dxa"/>
            <w:gridSpan w:val="3"/>
            <w:noWrap/>
            <w:tcMar>
              <w:left w:w="0" w:type="dxa"/>
              <w:right w:w="0" w:type="dxa"/>
            </w:tcMar>
            <w:vAlign w:val="bottom"/>
          </w:tcPr>
          <w:p w14:paraId="71DBFDE1"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1" w:name="Original"/>
            <w:bookmarkEnd w:id="1"/>
            <w:r w:rsidR="00650F84" w:rsidRPr="00084955">
              <w:rPr>
                <w:rFonts w:ascii="Arial Black" w:hAnsi="Arial Black"/>
                <w:caps/>
                <w:sz w:val="15"/>
              </w:rPr>
              <w:t>English</w:t>
            </w:r>
          </w:p>
        </w:tc>
      </w:tr>
      <w:tr w:rsidR="008B2CC1" w:rsidRPr="00084955" w14:paraId="5566A60F" w14:textId="77777777" w:rsidTr="00916EE2">
        <w:trPr>
          <w:trHeight w:hRule="exact" w:val="198"/>
        </w:trPr>
        <w:tc>
          <w:tcPr>
            <w:tcW w:w="9356" w:type="dxa"/>
            <w:gridSpan w:val="3"/>
            <w:tcMar>
              <w:left w:w="0" w:type="dxa"/>
              <w:right w:w="0" w:type="dxa"/>
            </w:tcMar>
            <w:vAlign w:val="bottom"/>
          </w:tcPr>
          <w:p w14:paraId="789A6020" w14:textId="506AF0E0" w:rsidR="008B2CC1" w:rsidRPr="00084955" w:rsidRDefault="008B2CC1" w:rsidP="00A703B9">
            <w:pPr>
              <w:jc w:val="right"/>
              <w:rPr>
                <w:rFonts w:ascii="Arial Black" w:hAnsi="Arial Black"/>
                <w:caps/>
                <w:sz w:val="15"/>
              </w:rPr>
            </w:pPr>
            <w:r w:rsidRPr="00084955">
              <w:rPr>
                <w:rFonts w:ascii="Arial Black" w:hAnsi="Arial Black"/>
                <w:caps/>
                <w:sz w:val="15"/>
              </w:rPr>
              <w:t>DATE:</w:t>
            </w:r>
            <w:r w:rsidR="00A42DAF" w:rsidRPr="00084955">
              <w:rPr>
                <w:rFonts w:ascii="Arial Black" w:hAnsi="Arial Black"/>
                <w:caps/>
                <w:sz w:val="15"/>
              </w:rPr>
              <w:t xml:space="preserve"> </w:t>
            </w:r>
            <w:bookmarkStart w:id="2" w:name="Date"/>
            <w:bookmarkEnd w:id="2"/>
            <w:r w:rsidR="00661D6F">
              <w:rPr>
                <w:rFonts w:ascii="Arial Black" w:hAnsi="Arial Black"/>
                <w:caps/>
                <w:sz w:val="15"/>
              </w:rPr>
              <w:t>October</w:t>
            </w:r>
            <w:r w:rsidR="00FF6126" w:rsidRPr="00084955">
              <w:rPr>
                <w:rFonts w:ascii="Arial Black" w:hAnsi="Arial Black"/>
                <w:caps/>
                <w:sz w:val="15"/>
              </w:rPr>
              <w:t xml:space="preserve"> </w:t>
            </w:r>
            <w:r w:rsidR="003A7118">
              <w:rPr>
                <w:rFonts w:ascii="Arial Black" w:hAnsi="Arial Black"/>
                <w:caps/>
                <w:sz w:val="15"/>
              </w:rPr>
              <w:t>18</w:t>
            </w:r>
            <w:r w:rsidR="00C17BE5" w:rsidRPr="00084955">
              <w:rPr>
                <w:rFonts w:ascii="Arial Black" w:hAnsi="Arial Black"/>
                <w:caps/>
                <w:sz w:val="15"/>
              </w:rPr>
              <w:t xml:space="preserve">, </w:t>
            </w:r>
            <w:r w:rsidR="00650F84" w:rsidRPr="00084955">
              <w:rPr>
                <w:rFonts w:ascii="Arial Black" w:hAnsi="Arial Black"/>
                <w:caps/>
                <w:sz w:val="15"/>
              </w:rPr>
              <w:t>20</w:t>
            </w:r>
            <w:r w:rsidR="00AB1326" w:rsidRPr="00084955">
              <w:rPr>
                <w:rFonts w:ascii="Arial Black" w:hAnsi="Arial Black"/>
                <w:caps/>
                <w:sz w:val="15"/>
              </w:rPr>
              <w:t>2</w:t>
            </w:r>
            <w:r w:rsidR="00661D6F">
              <w:rPr>
                <w:rFonts w:ascii="Arial Black" w:hAnsi="Arial Black"/>
                <w:caps/>
                <w:sz w:val="15"/>
              </w:rPr>
              <w:t>3</w:t>
            </w:r>
          </w:p>
        </w:tc>
      </w:tr>
    </w:tbl>
    <w:p w14:paraId="5DFD5FCB" w14:textId="77777777" w:rsidR="008B2CC1" w:rsidRPr="00084955" w:rsidRDefault="008B2CC1" w:rsidP="008B2CC1"/>
    <w:p w14:paraId="5C50E07C" w14:textId="77777777" w:rsidR="008B2CC1" w:rsidRPr="00084955" w:rsidRDefault="008B2CC1" w:rsidP="00BD3100">
      <w:pPr>
        <w:tabs>
          <w:tab w:val="left" w:pos="2961"/>
        </w:tabs>
        <w:rPr>
          <w:i/>
        </w:rPr>
      </w:pPr>
    </w:p>
    <w:p w14:paraId="7500BBC4" w14:textId="77777777" w:rsidR="008B2CC1" w:rsidRPr="00084955" w:rsidRDefault="008B2CC1" w:rsidP="008B2CC1"/>
    <w:p w14:paraId="38304737" w14:textId="77777777" w:rsidR="008B2CC1" w:rsidRPr="00084955" w:rsidRDefault="008B2CC1" w:rsidP="008B2CC1"/>
    <w:p w14:paraId="2F28C9F2" w14:textId="77777777" w:rsidR="008B2CC1" w:rsidRPr="00084955" w:rsidRDefault="00774501" w:rsidP="008B2CC1">
      <w:pPr>
        <w:rPr>
          <w:b/>
          <w:sz w:val="28"/>
          <w:szCs w:val="28"/>
        </w:rPr>
      </w:pPr>
      <w:r w:rsidRPr="00084955">
        <w:rPr>
          <w:b/>
          <w:sz w:val="28"/>
          <w:szCs w:val="28"/>
        </w:rPr>
        <w:t>Committee on WIPO Standards (CWS)</w:t>
      </w:r>
    </w:p>
    <w:p w14:paraId="4AD80EE6" w14:textId="77777777" w:rsidR="003845C1" w:rsidRPr="00084955" w:rsidRDefault="003845C1" w:rsidP="003845C1"/>
    <w:p w14:paraId="5DC05A0E" w14:textId="77777777" w:rsidR="003845C1" w:rsidRPr="00084955" w:rsidRDefault="003845C1" w:rsidP="003845C1"/>
    <w:p w14:paraId="374BB662" w14:textId="674E9D3C" w:rsidR="008B2CC1" w:rsidRPr="00084955" w:rsidRDefault="00661D6F" w:rsidP="008B2CC1">
      <w:pPr>
        <w:rPr>
          <w:b/>
          <w:sz w:val="24"/>
          <w:szCs w:val="24"/>
        </w:rPr>
      </w:pPr>
      <w:r>
        <w:rPr>
          <w:b/>
          <w:sz w:val="24"/>
          <w:szCs w:val="24"/>
        </w:rPr>
        <w:t xml:space="preserve">Eleventh </w:t>
      </w:r>
      <w:r w:rsidR="00774501" w:rsidRPr="00084955">
        <w:rPr>
          <w:b/>
          <w:sz w:val="24"/>
          <w:szCs w:val="24"/>
        </w:rPr>
        <w:t>Session</w:t>
      </w:r>
    </w:p>
    <w:p w14:paraId="6EA0ABA2" w14:textId="305A2F08" w:rsidR="008B2CC1" w:rsidRPr="00084955" w:rsidRDefault="00774501" w:rsidP="00BC1DFC">
      <w:pPr>
        <w:rPr>
          <w:b/>
          <w:sz w:val="24"/>
          <w:szCs w:val="24"/>
        </w:rPr>
      </w:pPr>
      <w:r w:rsidRPr="00084955">
        <w:rPr>
          <w:b/>
          <w:sz w:val="24"/>
          <w:szCs w:val="24"/>
        </w:rPr>
        <w:t xml:space="preserve">Geneva, </w:t>
      </w:r>
      <w:r w:rsidR="00661D6F">
        <w:rPr>
          <w:b/>
          <w:sz w:val="24"/>
          <w:szCs w:val="24"/>
        </w:rPr>
        <w:t>December 4 to 8</w:t>
      </w:r>
      <w:r w:rsidRPr="00084955">
        <w:rPr>
          <w:b/>
          <w:sz w:val="24"/>
          <w:szCs w:val="24"/>
        </w:rPr>
        <w:t>, 20</w:t>
      </w:r>
      <w:r w:rsidR="00AB1326" w:rsidRPr="00084955">
        <w:rPr>
          <w:b/>
          <w:sz w:val="24"/>
          <w:szCs w:val="24"/>
        </w:rPr>
        <w:t>2</w:t>
      </w:r>
      <w:r w:rsidR="00661D6F">
        <w:rPr>
          <w:b/>
          <w:sz w:val="24"/>
          <w:szCs w:val="24"/>
        </w:rPr>
        <w:t>3</w:t>
      </w:r>
    </w:p>
    <w:p w14:paraId="24E5647B" w14:textId="77777777" w:rsidR="008B2CC1" w:rsidRPr="00084955" w:rsidRDefault="008B2CC1" w:rsidP="008B2CC1"/>
    <w:p w14:paraId="0F4C9BA0" w14:textId="77777777" w:rsidR="008B2CC1" w:rsidRPr="00084955" w:rsidRDefault="008B2CC1" w:rsidP="008B2CC1"/>
    <w:p w14:paraId="08FB13E8" w14:textId="77777777" w:rsidR="008B2CC1" w:rsidRPr="00084955" w:rsidRDefault="008B2CC1" w:rsidP="008B2CC1"/>
    <w:p w14:paraId="27C67ECA" w14:textId="77777777" w:rsidR="00BD47BF" w:rsidRDefault="00291EEB" w:rsidP="008B2CC1">
      <w:pPr>
        <w:rPr>
          <w:caps/>
          <w:sz w:val="24"/>
        </w:rPr>
      </w:pPr>
      <w:bookmarkStart w:id="3" w:name="TitleOfDoc"/>
      <w:bookmarkEnd w:id="3"/>
      <w:r w:rsidRPr="00291EEB">
        <w:rPr>
          <w:caps/>
          <w:sz w:val="24"/>
        </w:rPr>
        <w:t xml:space="preserve">Report by </w:t>
      </w:r>
      <w:r w:rsidR="00274B4B" w:rsidRPr="00274B4B">
        <w:rPr>
          <w:caps/>
          <w:sz w:val="24"/>
        </w:rPr>
        <w:t xml:space="preserve">the Public Access to Patent Information (PAPI) </w:t>
      </w:r>
    </w:p>
    <w:p w14:paraId="23376966" w14:textId="3DDB793A" w:rsidR="008B2CC1" w:rsidRPr="00084955" w:rsidRDefault="00274B4B" w:rsidP="008B2CC1">
      <w:pPr>
        <w:rPr>
          <w:caps/>
          <w:sz w:val="24"/>
        </w:rPr>
      </w:pPr>
      <w:r w:rsidRPr="00274B4B">
        <w:rPr>
          <w:caps/>
          <w:sz w:val="24"/>
        </w:rPr>
        <w:t>Task Force (Task No. 52)</w:t>
      </w:r>
    </w:p>
    <w:p w14:paraId="1FD337C9" w14:textId="77777777" w:rsidR="008B2CC1" w:rsidRPr="00084955" w:rsidRDefault="008B2CC1" w:rsidP="008B2CC1"/>
    <w:p w14:paraId="050FE9AC" w14:textId="08D00259" w:rsidR="008B2CC1" w:rsidRPr="00084955" w:rsidRDefault="00650F84" w:rsidP="008B2CC1">
      <w:pPr>
        <w:rPr>
          <w:i/>
        </w:rPr>
      </w:pPr>
      <w:bookmarkStart w:id="4" w:name="Prepared"/>
      <w:bookmarkEnd w:id="4"/>
      <w:r w:rsidRPr="00084955">
        <w:rPr>
          <w:i/>
        </w:rPr>
        <w:t xml:space="preserve">Document prepared by the </w:t>
      </w:r>
      <w:r w:rsidR="00EC3AA3">
        <w:rPr>
          <w:i/>
        </w:rPr>
        <w:t xml:space="preserve">PAPI </w:t>
      </w:r>
      <w:r w:rsidR="006A7AB6">
        <w:rPr>
          <w:i/>
        </w:rPr>
        <w:t>Task Force Leader</w:t>
      </w:r>
    </w:p>
    <w:p w14:paraId="73CA4351" w14:textId="36F86C64" w:rsidR="002928D3" w:rsidRDefault="002928D3" w:rsidP="00980EF3"/>
    <w:p w14:paraId="7362F996" w14:textId="662B6358" w:rsidR="00DA6220" w:rsidRDefault="00DA6220" w:rsidP="00980EF3"/>
    <w:p w14:paraId="298F0B26" w14:textId="1FB5467F" w:rsidR="00DA6220" w:rsidRDefault="00DA6220" w:rsidP="00980EF3"/>
    <w:p w14:paraId="085E2CFD" w14:textId="77777777" w:rsidR="00A703B9" w:rsidRDefault="00A703B9" w:rsidP="00980EF3"/>
    <w:p w14:paraId="07262171" w14:textId="4001FF1D" w:rsidR="00274B4B" w:rsidRDefault="00274B4B" w:rsidP="00DA6220">
      <w:pPr>
        <w:pStyle w:val="Heading2"/>
        <w:spacing w:before="0"/>
        <w:rPr>
          <w:rFonts w:eastAsia="Malgun Gothic"/>
          <w:caps w:val="0"/>
          <w:szCs w:val="22"/>
        </w:rPr>
      </w:pPr>
      <w:r>
        <w:rPr>
          <w:rFonts w:eastAsia="Malgun Gothic"/>
          <w:caps w:val="0"/>
          <w:szCs w:val="22"/>
        </w:rPr>
        <w:t>SUMMARY</w:t>
      </w:r>
    </w:p>
    <w:p w14:paraId="27A4DA65" w14:textId="2BA89D9D" w:rsidR="00274B4B" w:rsidRDefault="00274B4B" w:rsidP="00274B4B">
      <w:pPr>
        <w:rPr>
          <w:iCs/>
        </w:rPr>
      </w:pPr>
      <w:r>
        <w:fldChar w:fldCharType="begin"/>
      </w:r>
      <w:r>
        <w:instrText xml:space="preserve"> AUTONUM  </w:instrText>
      </w:r>
      <w:r>
        <w:fldChar w:fldCharType="end"/>
      </w:r>
      <w:r>
        <w:tab/>
        <w:t xml:space="preserve">The Public Access to Patent Information (PAPI) Task Force </w:t>
      </w:r>
      <w:r w:rsidR="00B1384E">
        <w:t>deals with Task No. 52 and</w:t>
      </w:r>
      <w:r w:rsidR="00366CCD">
        <w:t xml:space="preserve"> </w:t>
      </w:r>
      <w:r>
        <w:t xml:space="preserve">proposes </w:t>
      </w:r>
      <w:r>
        <w:rPr>
          <w:iCs/>
        </w:rPr>
        <w:t xml:space="preserve">to </w:t>
      </w:r>
      <w:r w:rsidRPr="00C7202A">
        <w:rPr>
          <w:iCs/>
        </w:rPr>
        <w:t>transfer the work on updating WIPO Handbook Part 6 to the PAPI T</w:t>
      </w:r>
      <w:r>
        <w:rPr>
          <w:iCs/>
        </w:rPr>
        <w:t xml:space="preserve">ask </w:t>
      </w:r>
      <w:r w:rsidRPr="00C7202A">
        <w:rPr>
          <w:iCs/>
        </w:rPr>
        <w:t>F</w:t>
      </w:r>
      <w:r>
        <w:rPr>
          <w:iCs/>
        </w:rPr>
        <w:t>orce</w:t>
      </w:r>
      <w:r w:rsidRPr="00C7202A">
        <w:rPr>
          <w:iCs/>
        </w:rPr>
        <w:t xml:space="preserve"> from </w:t>
      </w:r>
      <w:r>
        <w:rPr>
          <w:iCs/>
        </w:rPr>
        <w:t xml:space="preserve">the </w:t>
      </w:r>
      <w:r w:rsidRPr="00C7202A">
        <w:rPr>
          <w:iCs/>
        </w:rPr>
        <w:t xml:space="preserve">Digital Transformation </w:t>
      </w:r>
      <w:r>
        <w:rPr>
          <w:iCs/>
        </w:rPr>
        <w:t xml:space="preserve">Task Force.  The Task Force also proposes to revise the description of Task No. 52 </w:t>
      </w:r>
      <w:r w:rsidR="00366CCD">
        <w:rPr>
          <w:iCs/>
        </w:rPr>
        <w:t>in line with the proposal</w:t>
      </w:r>
      <w:r>
        <w:rPr>
          <w:iCs/>
        </w:rPr>
        <w:t xml:space="preserve">. </w:t>
      </w:r>
    </w:p>
    <w:p w14:paraId="7E620C87" w14:textId="77777777" w:rsidR="00274B4B" w:rsidRPr="00274B4B" w:rsidRDefault="00274B4B" w:rsidP="00274B4B"/>
    <w:p w14:paraId="5BC66C08" w14:textId="6FD9E0AF" w:rsidR="00DA6220" w:rsidRDefault="00DA6220" w:rsidP="00DA6220">
      <w:pPr>
        <w:pStyle w:val="Heading2"/>
        <w:spacing w:before="0"/>
        <w:rPr>
          <w:rFonts w:eastAsia="Malgun Gothic"/>
          <w:caps w:val="0"/>
          <w:szCs w:val="22"/>
        </w:rPr>
      </w:pPr>
      <w:r>
        <w:rPr>
          <w:rFonts w:eastAsia="Malgun Gothic"/>
          <w:caps w:val="0"/>
          <w:szCs w:val="22"/>
        </w:rPr>
        <w:t>BACKGROUND</w:t>
      </w:r>
    </w:p>
    <w:p w14:paraId="148D9506" w14:textId="02D4512B" w:rsidR="00CC3127" w:rsidRPr="00495B26" w:rsidRDefault="00CC3127" w:rsidP="00495B26">
      <w:pPr>
        <w:spacing w:after="240"/>
        <w:rPr>
          <w:caps/>
        </w:rPr>
      </w:pPr>
      <w:r>
        <w:fldChar w:fldCharType="begin"/>
      </w:r>
      <w:r>
        <w:instrText xml:space="preserve"> AUTONUM  </w:instrText>
      </w:r>
      <w:r>
        <w:fldChar w:fldCharType="end"/>
      </w:r>
      <w:r>
        <w:tab/>
        <w:t>The Committee on WIPO Standards (CWS)</w:t>
      </w:r>
      <w:r w:rsidR="00B1384E">
        <w:t>,</w:t>
      </w:r>
      <w:r>
        <w:t xml:space="preserve"> at its reconvened fourth session held in 2016, noted the request and information provided by the Patent Documentation Group (PDG) concerning the requirements for national and regional patent registers.  The CWS agreed</w:t>
      </w:r>
      <w:proofErr w:type="gramStart"/>
      <w:r>
        <w:t>, in particular, to</w:t>
      </w:r>
      <w:proofErr w:type="gramEnd"/>
      <w:r>
        <w:t xml:space="preserve"> collect practices </w:t>
      </w:r>
      <w:r w:rsidR="00B1384E">
        <w:t xml:space="preserve">of Intellectual Property Offices (IPOs) </w:t>
      </w:r>
      <w:r>
        <w:t>on content, functionalities and future plans with respect to their patent registers (see Annex III to document CWS/4BIS/6).</w:t>
      </w:r>
    </w:p>
    <w:p w14:paraId="04F3A967" w14:textId="263A9193" w:rsidR="00366CCD" w:rsidRDefault="00A703B9" w:rsidP="00495B26">
      <w:pPr>
        <w:pStyle w:val="ONUMFS"/>
        <w:numPr>
          <w:ilvl w:val="0"/>
          <w:numId w:val="0"/>
        </w:numPr>
      </w:pPr>
      <w:r>
        <w:fldChar w:fldCharType="begin"/>
      </w:r>
      <w:r>
        <w:instrText xml:space="preserve"> AUTONUM  </w:instrText>
      </w:r>
      <w:r>
        <w:fldChar w:fldCharType="end"/>
      </w:r>
      <w:r>
        <w:tab/>
      </w:r>
      <w:r w:rsidR="00CC3127">
        <w:t>In response to this request, a</w:t>
      </w:r>
      <w:r w:rsidR="00371410">
        <w:t xml:space="preserve">t its fifth session in 2017, the </w:t>
      </w:r>
      <w:r w:rsidR="00AF7F5C">
        <w:rPr>
          <w:lang w:eastAsia="en-US"/>
        </w:rPr>
        <w:t xml:space="preserve">Committee on WIPO Standards (CWS) </w:t>
      </w:r>
      <w:r w:rsidR="00371410">
        <w:t>created Task No. 52 whose description reads</w:t>
      </w:r>
      <w:r w:rsidR="00366CCD">
        <w:t>:</w:t>
      </w:r>
      <w:r w:rsidR="00371410">
        <w:t xml:space="preserve"> </w:t>
      </w:r>
    </w:p>
    <w:p w14:paraId="3AEA0F89" w14:textId="77777777" w:rsidR="00366CCD" w:rsidRDefault="00371410" w:rsidP="00495B26">
      <w:pPr>
        <w:pStyle w:val="ONUMFS"/>
        <w:numPr>
          <w:ilvl w:val="0"/>
          <w:numId w:val="0"/>
        </w:numPr>
        <w:ind w:left="567"/>
      </w:pPr>
      <w:r>
        <w:t>"</w:t>
      </w:r>
      <w:r w:rsidRPr="00495B26">
        <w:rPr>
          <w:i/>
          <w:iCs/>
        </w:rPr>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r>
        <w:t xml:space="preserve">"  </w:t>
      </w:r>
    </w:p>
    <w:p w14:paraId="1EA798D3" w14:textId="5EC4B1E9" w:rsidR="00371410" w:rsidRDefault="00371410" w:rsidP="00366CCD">
      <w:pPr>
        <w:pStyle w:val="ONUMFS"/>
        <w:numPr>
          <w:ilvl w:val="0"/>
          <w:numId w:val="0"/>
        </w:numPr>
        <w:spacing w:after="0"/>
      </w:pPr>
      <w:r>
        <w:t xml:space="preserve">The International Bureau is the Task Force Leader.  </w:t>
      </w:r>
      <w:r w:rsidRPr="00371410">
        <w:t xml:space="preserve">(See paragraphs 94 to 100 of </w:t>
      </w:r>
      <w:r>
        <w:t xml:space="preserve">document </w:t>
      </w:r>
      <w:r w:rsidR="001139CE" w:rsidRPr="001139CE">
        <w:t>CWS/5/22</w:t>
      </w:r>
      <w:r w:rsidR="00EC3AA3">
        <w:t>.</w:t>
      </w:r>
      <w:r w:rsidRPr="00371410">
        <w:t>)</w:t>
      </w:r>
    </w:p>
    <w:p w14:paraId="41711143" w14:textId="77777777" w:rsidR="00606ED8" w:rsidRDefault="00606ED8" w:rsidP="00606ED8">
      <w:pPr>
        <w:pStyle w:val="ONUMFS"/>
        <w:numPr>
          <w:ilvl w:val="0"/>
          <w:numId w:val="0"/>
        </w:numPr>
        <w:spacing w:after="0"/>
      </w:pPr>
    </w:p>
    <w:p w14:paraId="7CF80204" w14:textId="77777777" w:rsidR="0063142A" w:rsidRDefault="0063142A">
      <w:pPr>
        <w:rPr>
          <w:lang w:eastAsia="en-US"/>
        </w:rPr>
      </w:pPr>
      <w:r>
        <w:rPr>
          <w:lang w:eastAsia="en-US"/>
        </w:rPr>
        <w:br w:type="page"/>
      </w:r>
    </w:p>
    <w:p w14:paraId="66D0DF13" w14:textId="005CA379" w:rsidR="00925BB5" w:rsidRDefault="00A703B9" w:rsidP="00495B26">
      <w:pPr>
        <w:pStyle w:val="ONUMFS"/>
        <w:numPr>
          <w:ilvl w:val="0"/>
          <w:numId w:val="0"/>
        </w:numPr>
      </w:pPr>
      <w:r>
        <w:rPr>
          <w:lang w:eastAsia="en-US"/>
        </w:rPr>
        <w:lastRenderedPageBreak/>
        <w:fldChar w:fldCharType="begin"/>
      </w:r>
      <w:r>
        <w:rPr>
          <w:lang w:eastAsia="en-US"/>
        </w:rPr>
        <w:instrText xml:space="preserve"> AUTONUM  </w:instrText>
      </w:r>
      <w:r>
        <w:rPr>
          <w:lang w:eastAsia="en-US"/>
        </w:rPr>
        <w:fldChar w:fldCharType="end"/>
      </w:r>
      <w:r>
        <w:rPr>
          <w:lang w:eastAsia="en-US"/>
        </w:rPr>
        <w:tab/>
      </w:r>
      <w:r w:rsidR="00291EEB">
        <w:rPr>
          <w:lang w:eastAsia="en-US"/>
        </w:rPr>
        <w:t>At its seventh session in 2019, the CWS considered the questionnaire on</w:t>
      </w:r>
      <w:r w:rsidR="00650DF9">
        <w:rPr>
          <w:lang w:eastAsia="en-US"/>
        </w:rPr>
        <w:t xml:space="preserve"> the</w:t>
      </w:r>
      <w:r w:rsidR="00291EEB">
        <w:rPr>
          <w:lang w:eastAsia="en-US"/>
        </w:rPr>
        <w:t xml:space="preserve"> </w:t>
      </w:r>
      <w:r w:rsidR="004C3D68">
        <w:rPr>
          <w:lang w:eastAsia="en-US"/>
        </w:rPr>
        <w:t>P</w:t>
      </w:r>
      <w:r w:rsidR="00291EEB">
        <w:rPr>
          <w:lang w:eastAsia="en-US"/>
        </w:rPr>
        <w:t xml:space="preserve">ublic </w:t>
      </w:r>
      <w:r w:rsidR="004C3D68">
        <w:rPr>
          <w:lang w:eastAsia="en-US"/>
        </w:rPr>
        <w:t>A</w:t>
      </w:r>
      <w:r w:rsidR="00291EEB">
        <w:rPr>
          <w:lang w:eastAsia="en-US"/>
        </w:rPr>
        <w:t xml:space="preserve">ccess to </w:t>
      </w:r>
      <w:r w:rsidR="004C3D68">
        <w:rPr>
          <w:lang w:eastAsia="en-US"/>
        </w:rPr>
        <w:t>P</w:t>
      </w:r>
      <w:r w:rsidR="00291EEB">
        <w:rPr>
          <w:lang w:eastAsia="en-US"/>
        </w:rPr>
        <w:t xml:space="preserve">atent </w:t>
      </w:r>
      <w:r w:rsidR="004C3D68">
        <w:rPr>
          <w:lang w:eastAsia="en-US"/>
        </w:rPr>
        <w:t>I</w:t>
      </w:r>
      <w:r w:rsidR="00291EEB">
        <w:rPr>
          <w:lang w:eastAsia="en-US"/>
        </w:rPr>
        <w:t>nformation</w:t>
      </w:r>
      <w:r w:rsidR="004C3D68">
        <w:rPr>
          <w:lang w:eastAsia="en-US"/>
        </w:rPr>
        <w:t>,</w:t>
      </w:r>
      <w:r w:rsidR="00291EEB">
        <w:rPr>
          <w:lang w:eastAsia="en-US"/>
        </w:rPr>
        <w:t xml:space="preserve"> presented by the PAPI Task Force.  </w:t>
      </w:r>
      <w:r w:rsidR="00291EEB">
        <w:t xml:space="preserve">The questionnaire collects information from </w:t>
      </w:r>
      <w:r w:rsidR="004C3D68">
        <w:t>I</w:t>
      </w:r>
      <w:r w:rsidR="00291EEB">
        <w:t xml:space="preserve">ndustrial </w:t>
      </w:r>
      <w:r w:rsidR="004C3D68">
        <w:t>P</w:t>
      </w:r>
      <w:r w:rsidR="00291EEB">
        <w:t xml:space="preserve">roperty </w:t>
      </w:r>
      <w:r w:rsidR="004C3D68">
        <w:t>O</w:t>
      </w:r>
      <w:r w:rsidR="00291EEB">
        <w:t xml:space="preserve">ffices (IPOs) on their content, practices, </w:t>
      </w:r>
      <w:proofErr w:type="gramStart"/>
      <w:r w:rsidR="00291EEB">
        <w:t>functionalities</w:t>
      </w:r>
      <w:proofErr w:type="gramEnd"/>
      <w:r w:rsidR="00291EEB">
        <w:t xml:space="preserve"> and future plans with respect to patent information available to the public.  </w:t>
      </w:r>
      <w:r w:rsidR="00291EEB">
        <w:rPr>
          <w:lang w:eastAsia="en-US"/>
        </w:rPr>
        <w:t xml:space="preserve">The CWS approved the first part </w:t>
      </w:r>
      <w:proofErr w:type="gramStart"/>
      <w:r w:rsidR="00291EEB">
        <w:rPr>
          <w:lang w:eastAsia="en-US"/>
        </w:rPr>
        <w:t>questionnaire, but</w:t>
      </w:r>
      <w:proofErr w:type="gramEnd"/>
      <w:r w:rsidR="00291EEB">
        <w:rPr>
          <w:lang w:eastAsia="en-US"/>
        </w:rPr>
        <w:t xml:space="preserve"> could not reach agreement on the second part questionnaire, which was referred back to the PAPI Task Force for further consideration.  </w:t>
      </w:r>
      <w:r w:rsidR="00291EEB" w:rsidRPr="007C4727">
        <w:t>(See paragraph</w:t>
      </w:r>
      <w:r w:rsidR="00291EEB">
        <w:t>s</w:t>
      </w:r>
      <w:r w:rsidR="00291EEB" w:rsidRPr="007C4727">
        <w:t xml:space="preserve"> </w:t>
      </w:r>
      <w:r w:rsidR="00291EEB">
        <w:t>197 and 201</w:t>
      </w:r>
      <w:r w:rsidR="00291EEB" w:rsidRPr="007C4727">
        <w:t xml:space="preserve"> of document CWS/</w:t>
      </w:r>
      <w:r w:rsidR="00291EEB">
        <w:t>7/29</w:t>
      </w:r>
      <w:r w:rsidR="00291EEB" w:rsidRPr="007C4727">
        <w:t>.)</w:t>
      </w:r>
    </w:p>
    <w:p w14:paraId="2EC7AF81" w14:textId="6E27AA93" w:rsidR="00AF7F5C" w:rsidRDefault="00BC0AF3" w:rsidP="00606ED8">
      <w:pPr>
        <w:pStyle w:val="ONUMFS"/>
        <w:numPr>
          <w:ilvl w:val="0"/>
          <w:numId w:val="0"/>
        </w:numPr>
        <w:spacing w:after="0"/>
      </w:pPr>
      <w:r>
        <w:fldChar w:fldCharType="begin"/>
      </w:r>
      <w:r>
        <w:instrText xml:space="preserve"> AUTONUM  </w:instrText>
      </w:r>
      <w:r>
        <w:fldChar w:fldCharType="end"/>
      </w:r>
      <w:r>
        <w:tab/>
      </w:r>
      <w:r w:rsidR="00AF7F5C">
        <w:t>At its eight</w:t>
      </w:r>
      <w:r w:rsidR="00E55170">
        <w:t>h</w:t>
      </w:r>
      <w:r w:rsidR="00AF7F5C">
        <w:t xml:space="preserve"> session in 2020, t</w:t>
      </w:r>
      <w:r w:rsidR="00AF7F5C" w:rsidRPr="00AF7F5C">
        <w:t xml:space="preserve">he CWS noted the results of the survey on the content, practices, </w:t>
      </w:r>
      <w:proofErr w:type="gramStart"/>
      <w:r w:rsidR="00AF7F5C" w:rsidRPr="00AF7F5C">
        <w:t>functionalities</w:t>
      </w:r>
      <w:proofErr w:type="gramEnd"/>
      <w:r w:rsidR="00AF7F5C" w:rsidRPr="00AF7F5C">
        <w:t xml:space="preserve"> and future plans of IPOs with respect to patent information available to the public, </w:t>
      </w:r>
      <w:r w:rsidR="00CC3127">
        <w:t xml:space="preserve">of </w:t>
      </w:r>
      <w:r w:rsidR="00AF7F5C" w:rsidRPr="00AF7F5C">
        <w:t xml:space="preserve">which 60 Offices responded to.  </w:t>
      </w:r>
      <w:proofErr w:type="gramStart"/>
      <w:r w:rsidR="00AF7F5C" w:rsidRPr="00AF7F5C">
        <w:t>Fifty three</w:t>
      </w:r>
      <w:proofErr w:type="gramEnd"/>
      <w:r w:rsidR="00AF7F5C" w:rsidRPr="00AF7F5C">
        <w:t xml:space="preserve"> respondents (88 per cent) said their Office provides patent information online.  The most common types of information provided online were priority data, legal status, published applications, granted applications, and their official gazette.  </w:t>
      </w:r>
      <w:proofErr w:type="gramStart"/>
      <w:r w:rsidR="00AF7F5C" w:rsidRPr="00AF7F5C">
        <w:t>A majority of</w:t>
      </w:r>
      <w:proofErr w:type="gramEnd"/>
      <w:r w:rsidR="00AF7F5C" w:rsidRPr="00AF7F5C">
        <w:t xml:space="preserve"> respondents update their online patent information daily, weekly or bi</w:t>
      </w:r>
      <w:r w:rsidR="00CC3127">
        <w:t>-</w:t>
      </w:r>
      <w:r w:rsidR="00AF7F5C" w:rsidRPr="00AF7F5C">
        <w:t xml:space="preserve">weekly (between 60 and 70 percent depending on the type of information), while monthly updates (15 to 20 percent) and real-time updates (10 to 15 percent) are also common.  </w:t>
      </w:r>
      <w:proofErr w:type="gramStart"/>
      <w:r w:rsidR="00AF7F5C" w:rsidRPr="00AF7F5C">
        <w:t>Fifty five</w:t>
      </w:r>
      <w:proofErr w:type="gramEnd"/>
      <w:r w:rsidR="00AF7F5C" w:rsidRPr="00AF7F5C">
        <w:t xml:space="preserve"> Offices (92 percent) provide patent information in English, with most also providing it in one or more native languages.</w:t>
      </w:r>
      <w:r w:rsidR="00AF7F5C">
        <w:t xml:space="preserve">  </w:t>
      </w:r>
      <w:r w:rsidR="00AF7F5C" w:rsidRPr="00AF7F5C">
        <w:t>The CWS approved publication of the PAPI survey results</w:t>
      </w:r>
      <w:r w:rsidR="00CC3127">
        <w:t>,</w:t>
      </w:r>
      <w:r w:rsidR="00AF7F5C" w:rsidRPr="00AF7F5C">
        <w:t xml:space="preserve"> as reproduced in the Annex of document CWS/8/10</w:t>
      </w:r>
      <w:r w:rsidR="00AF7F5C">
        <w:t xml:space="preserve">.  (See paragraphs 71 and 72 of document CWS/8/24.)  It is now available on WIPO website as the </w:t>
      </w:r>
      <w:r w:rsidR="00AF7F5C" w:rsidRPr="00AF7F5C">
        <w:t>Part 7.18.1: Survey on public access to patent information, part 1</w:t>
      </w:r>
      <w:r w:rsidR="00AF7F5C">
        <w:t xml:space="preserve">, at:  </w:t>
      </w:r>
      <w:hyperlink r:id="rId9" w:anchor="p7.18" w:history="1">
        <w:r w:rsidR="00AF7F5C" w:rsidRPr="00606ED8">
          <w:rPr>
            <w:rStyle w:val="Hyperlink"/>
            <w:color w:val="000000" w:themeColor="text1"/>
          </w:rPr>
          <w:t>https://www.wipo.int/standards/en/part_07.html#p7.18</w:t>
        </w:r>
      </w:hyperlink>
      <w:r w:rsidR="00AF7F5C">
        <w:t>.</w:t>
      </w:r>
    </w:p>
    <w:p w14:paraId="37976692" w14:textId="77777777" w:rsidR="00606ED8" w:rsidRDefault="00606ED8" w:rsidP="00606ED8">
      <w:pPr>
        <w:pStyle w:val="ONUMFS"/>
        <w:numPr>
          <w:ilvl w:val="0"/>
          <w:numId w:val="0"/>
        </w:numPr>
        <w:spacing w:after="0"/>
      </w:pPr>
    </w:p>
    <w:p w14:paraId="6CC1FB83" w14:textId="1E98BCF6" w:rsidR="00E55170" w:rsidRDefault="00BC0AF3" w:rsidP="00606ED8">
      <w:pPr>
        <w:pStyle w:val="ONUMFS"/>
        <w:numPr>
          <w:ilvl w:val="0"/>
          <w:numId w:val="0"/>
        </w:numPr>
        <w:spacing w:after="0"/>
      </w:pPr>
      <w:r>
        <w:fldChar w:fldCharType="begin"/>
      </w:r>
      <w:r>
        <w:instrText xml:space="preserve"> AUTONUM  </w:instrText>
      </w:r>
      <w:r>
        <w:fldChar w:fldCharType="end"/>
      </w:r>
      <w:r>
        <w:tab/>
      </w:r>
      <w:r w:rsidR="00E55170">
        <w:t>At the same session, t</w:t>
      </w:r>
      <w:r w:rsidR="00E55170" w:rsidRPr="00E55170">
        <w:t xml:space="preserve">he CWS also approved the revised questionnaire for Part 2 of the survey as presented by the PAPI Task Force.  The CWS requested the Secretariat to issue a </w:t>
      </w:r>
      <w:r w:rsidR="00CC3127">
        <w:t>C</w:t>
      </w:r>
      <w:r w:rsidR="00E55170" w:rsidRPr="00E55170">
        <w:t>ircular inviting IPOs to participate in Part 2 of the survey.  (See paragraphs 122 to 125 of document CWS/8/24.)</w:t>
      </w:r>
    </w:p>
    <w:p w14:paraId="732D6DA7" w14:textId="77777777" w:rsidR="00606ED8" w:rsidRDefault="00606ED8" w:rsidP="00606ED8">
      <w:pPr>
        <w:pStyle w:val="ONUMFS"/>
        <w:numPr>
          <w:ilvl w:val="0"/>
          <w:numId w:val="0"/>
        </w:numPr>
        <w:spacing w:after="0"/>
      </w:pPr>
    </w:p>
    <w:p w14:paraId="3CFB63F8" w14:textId="45B64F3F" w:rsidR="00606ED8" w:rsidRDefault="00BC0AF3" w:rsidP="00495B26">
      <w:pPr>
        <w:pStyle w:val="ONUMFS"/>
        <w:numPr>
          <w:ilvl w:val="0"/>
          <w:numId w:val="0"/>
        </w:numPr>
      </w:pPr>
      <w:r>
        <w:fldChar w:fldCharType="begin"/>
      </w:r>
      <w:r>
        <w:instrText xml:space="preserve"> AUTONUM  </w:instrText>
      </w:r>
      <w:r>
        <w:fldChar w:fldCharType="end"/>
      </w:r>
      <w:r>
        <w:tab/>
      </w:r>
      <w:r w:rsidR="00E55170">
        <w:t>At its ninth session in 2021, t</w:t>
      </w:r>
      <w:r w:rsidR="00E55170" w:rsidRPr="00E55170">
        <w:t xml:space="preserve">he CWS noted the results of part 2 of the PAPI survey.  </w:t>
      </w:r>
      <w:r w:rsidR="00E55170">
        <w:t>Among the r</w:t>
      </w:r>
      <w:r w:rsidR="00E55170" w:rsidRPr="00E55170">
        <w:t>esponses from 36 IPOs</w:t>
      </w:r>
      <w:r w:rsidR="00E55170">
        <w:t>, o</w:t>
      </w:r>
      <w:r w:rsidR="00E55170" w:rsidRPr="00E55170">
        <w:t xml:space="preserve">ver 85 per cent of respondents indicated that no fees were required to access their patent information.  About two thirds of respondents provide updated patent documents online when amendments are made after publication.  Nine IPOs plan to implement </w:t>
      </w:r>
      <w:r w:rsidR="00CC3127">
        <w:t xml:space="preserve">WIPO </w:t>
      </w:r>
      <w:r w:rsidR="00E55170" w:rsidRPr="00E55170">
        <w:t xml:space="preserve">ST.27 for legal status events in the future, while nine of the 14 IPOs not planning to implement </w:t>
      </w:r>
      <w:r w:rsidR="00CC3127">
        <w:t xml:space="preserve">WIPO </w:t>
      </w:r>
      <w:r w:rsidR="00E55170" w:rsidRPr="00E55170">
        <w:t xml:space="preserve">ST.27 </w:t>
      </w:r>
      <w:proofErr w:type="gramStart"/>
      <w:r w:rsidR="00E55170" w:rsidRPr="00E55170">
        <w:t>at this time</w:t>
      </w:r>
      <w:proofErr w:type="gramEnd"/>
      <w:r w:rsidR="00E55170" w:rsidRPr="00E55170">
        <w:t xml:space="preserve"> indicate insufficient resources as the main </w:t>
      </w:r>
      <w:r w:rsidR="004601C1">
        <w:t>cause</w:t>
      </w:r>
      <w:r w:rsidR="00E55170" w:rsidRPr="00E55170">
        <w:t xml:space="preserve">.  IPOs that do not comply with </w:t>
      </w:r>
      <w:r w:rsidR="004601C1">
        <w:t xml:space="preserve">WIPO </w:t>
      </w:r>
      <w:r w:rsidR="00E55170" w:rsidRPr="00E55170">
        <w:t xml:space="preserve">ST.37 for their authority file indicate lack of resources or difficulty of technical requirements as the main </w:t>
      </w:r>
      <w:r w:rsidR="004601C1">
        <w:t>causes</w:t>
      </w:r>
      <w:r w:rsidR="00E55170" w:rsidRPr="00E55170">
        <w:t xml:space="preserve">. </w:t>
      </w:r>
      <w:r w:rsidR="00E55170">
        <w:t xml:space="preserve"> </w:t>
      </w:r>
      <w:r w:rsidR="00E55170" w:rsidRPr="00E55170">
        <w:t xml:space="preserve">The CWS approved publication of the survey results and analysis in Part 7 of the WIPO Handbook, </w:t>
      </w:r>
      <w:r w:rsidR="00E55170">
        <w:t xml:space="preserve">which is available at:  </w:t>
      </w:r>
      <w:hyperlink r:id="rId10" w:anchor="p7.18" w:history="1">
        <w:r w:rsidR="00E55170" w:rsidRPr="00606ED8">
          <w:rPr>
            <w:rStyle w:val="Hyperlink"/>
            <w:color w:val="000000" w:themeColor="text1"/>
          </w:rPr>
          <w:t>https://www.wipo.int/standards/en/part_07.html#p7.18</w:t>
        </w:r>
      </w:hyperlink>
      <w:r w:rsidR="00E55170">
        <w:t xml:space="preserve">.  </w:t>
      </w:r>
      <w:r w:rsidR="004601C1">
        <w:t>At the same session, t</w:t>
      </w:r>
      <w:r w:rsidR="00E55170" w:rsidRPr="00E55170">
        <w:t xml:space="preserve">he CWS approved the revision </w:t>
      </w:r>
      <w:r w:rsidR="00E55170">
        <w:t>to the description of</w:t>
      </w:r>
      <w:r w:rsidR="00E55170" w:rsidRPr="00E55170">
        <w:t xml:space="preserve"> Task No. 52, which reads: “</w:t>
      </w:r>
      <w:r w:rsidR="00E55170" w:rsidRPr="00495B26">
        <w:rPr>
          <w:i/>
          <w:iCs/>
        </w:rPr>
        <w:t>Prepare recommendations for systems for providing access to publicly available patent information of intellectual property offices.</w:t>
      </w:r>
      <w:r w:rsidR="00E55170" w:rsidRPr="00E55170">
        <w:t>”</w:t>
      </w:r>
      <w:r w:rsidR="00E55170">
        <w:t xml:space="preserve">  </w:t>
      </w:r>
      <w:r w:rsidR="00E55170" w:rsidRPr="00E55170">
        <w:t xml:space="preserve">(See paragraphs </w:t>
      </w:r>
      <w:r>
        <w:t>84</w:t>
      </w:r>
      <w:r w:rsidR="00E55170" w:rsidRPr="00E55170">
        <w:t xml:space="preserve"> to </w:t>
      </w:r>
      <w:r>
        <w:t>88</w:t>
      </w:r>
      <w:r w:rsidR="00E55170" w:rsidRPr="00E55170">
        <w:t xml:space="preserve"> of document CWS/</w:t>
      </w:r>
      <w:r>
        <w:t>9</w:t>
      </w:r>
      <w:r w:rsidR="00E55170" w:rsidRPr="00E55170">
        <w:t>/2</w:t>
      </w:r>
      <w:r>
        <w:t>5</w:t>
      </w:r>
      <w:r w:rsidR="00E55170" w:rsidRPr="00E55170">
        <w:t>.)</w:t>
      </w:r>
    </w:p>
    <w:p w14:paraId="1A9F9594" w14:textId="77777777" w:rsidR="00606ED8" w:rsidRPr="00A703B9" w:rsidRDefault="00606ED8" w:rsidP="00606ED8">
      <w:pPr>
        <w:pStyle w:val="ONUMFS"/>
        <w:numPr>
          <w:ilvl w:val="0"/>
          <w:numId w:val="0"/>
        </w:numPr>
        <w:spacing w:after="0"/>
      </w:pPr>
    </w:p>
    <w:p w14:paraId="652038F5" w14:textId="7EA0EDA4" w:rsidR="006935A9" w:rsidRPr="00C7202A" w:rsidRDefault="00BC0AF3" w:rsidP="00606ED8">
      <w:pPr>
        <w:pStyle w:val="Heading2"/>
        <w:spacing w:before="0"/>
      </w:pPr>
      <w:r w:rsidRPr="00C7202A">
        <w:t>Progress</w:t>
      </w:r>
      <w:r w:rsidR="001477A8">
        <w:t xml:space="preserve"> report</w:t>
      </w:r>
      <w:r w:rsidRPr="00C7202A">
        <w:t xml:space="preserve"> on Task No. 52</w:t>
      </w:r>
    </w:p>
    <w:p w14:paraId="2C5D597F" w14:textId="77777777" w:rsidR="00274B4B" w:rsidRPr="00F411AA" w:rsidRDefault="00274B4B" w:rsidP="00606ED8">
      <w:pPr>
        <w:pStyle w:val="Heading3"/>
        <w:spacing w:before="0" w:after="0"/>
        <w:rPr>
          <w:lang w:val="en-GB"/>
        </w:rPr>
      </w:pPr>
      <w:r>
        <w:rPr>
          <w:lang w:val="en-GB"/>
        </w:rPr>
        <w:t>Objectives</w:t>
      </w:r>
    </w:p>
    <w:p w14:paraId="67E0E839" w14:textId="62D01283" w:rsidR="00BC0AF3" w:rsidRDefault="0096517D" w:rsidP="00606ED8">
      <w:pPr>
        <w:pStyle w:val="ONUMFS"/>
        <w:numPr>
          <w:ilvl w:val="0"/>
          <w:numId w:val="0"/>
        </w:numPr>
        <w:spacing w:after="0"/>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BC0AF3" w:rsidRPr="00BC0AF3">
        <w:rPr>
          <w:lang w:eastAsia="en-US"/>
        </w:rPr>
        <w:t>The objective of Task No. 5</w:t>
      </w:r>
      <w:r w:rsidR="00BC0AF3">
        <w:rPr>
          <w:lang w:eastAsia="en-US"/>
        </w:rPr>
        <w:t>2</w:t>
      </w:r>
      <w:r w:rsidR="00BC0AF3" w:rsidRPr="00BC0AF3">
        <w:rPr>
          <w:lang w:eastAsia="en-US"/>
        </w:rPr>
        <w:t xml:space="preserve"> is </w:t>
      </w:r>
      <w:r w:rsidR="004601C1">
        <w:rPr>
          <w:lang w:eastAsia="en-US"/>
        </w:rPr>
        <w:t xml:space="preserve">now </w:t>
      </w:r>
      <w:r w:rsidR="00BC0AF3" w:rsidRPr="00BC0AF3">
        <w:rPr>
          <w:lang w:eastAsia="en-US"/>
        </w:rPr>
        <w:t xml:space="preserve">to </w:t>
      </w:r>
      <w:r w:rsidR="00BC0AF3">
        <w:rPr>
          <w:lang w:eastAsia="en-US"/>
        </w:rPr>
        <w:t>p</w:t>
      </w:r>
      <w:r w:rsidR="00BC0AF3" w:rsidRPr="00BC0AF3">
        <w:rPr>
          <w:lang w:eastAsia="en-US"/>
        </w:rPr>
        <w:t xml:space="preserve">repare recommendations for systems for providing access to publicly available patent information of </w:t>
      </w:r>
      <w:r w:rsidR="004601C1">
        <w:rPr>
          <w:lang w:eastAsia="en-US"/>
        </w:rPr>
        <w:t>IPOs</w:t>
      </w:r>
      <w:r w:rsidR="00BC0AF3">
        <w:rPr>
          <w:lang w:eastAsia="en-US"/>
        </w:rPr>
        <w:t xml:space="preserve"> as indicated in its description.</w:t>
      </w:r>
    </w:p>
    <w:p w14:paraId="38CC983D" w14:textId="77777777" w:rsidR="00606ED8" w:rsidRDefault="00606ED8" w:rsidP="00606ED8">
      <w:pPr>
        <w:pStyle w:val="ONUMFS"/>
        <w:numPr>
          <w:ilvl w:val="0"/>
          <w:numId w:val="0"/>
        </w:numPr>
        <w:spacing w:after="0"/>
        <w:rPr>
          <w:lang w:eastAsia="en-US"/>
        </w:rPr>
      </w:pPr>
    </w:p>
    <w:p w14:paraId="78350024" w14:textId="77777777" w:rsidR="0063142A" w:rsidRDefault="0063142A">
      <w:pPr>
        <w:rPr>
          <w:bCs/>
          <w:szCs w:val="26"/>
          <w:u w:val="single"/>
        </w:rPr>
      </w:pPr>
      <w:r>
        <w:br w:type="page"/>
      </w:r>
    </w:p>
    <w:p w14:paraId="7333F795" w14:textId="7ECF77D4" w:rsidR="00BC0AF3" w:rsidRDefault="00BC0AF3" w:rsidP="00606ED8">
      <w:pPr>
        <w:pStyle w:val="Heading3"/>
        <w:spacing w:before="0" w:after="0"/>
      </w:pPr>
      <w:r w:rsidRPr="00C7202A">
        <w:lastRenderedPageBreak/>
        <w:t>Relevant actions for 2023</w:t>
      </w:r>
    </w:p>
    <w:p w14:paraId="2CDEE934" w14:textId="7EB34D40" w:rsidR="00BC0AF3" w:rsidRDefault="0096517D" w:rsidP="004601C1">
      <w:pPr>
        <w:pStyle w:val="ONUMFS"/>
        <w:numPr>
          <w:ilvl w:val="0"/>
          <w:numId w:val="0"/>
        </w:numPr>
        <w:spacing w:after="0"/>
        <w:rPr>
          <w:iCs/>
        </w:rPr>
      </w:pPr>
      <w:r>
        <w:rPr>
          <w:iCs/>
        </w:rPr>
        <w:fldChar w:fldCharType="begin"/>
      </w:r>
      <w:r>
        <w:rPr>
          <w:iCs/>
        </w:rPr>
        <w:instrText xml:space="preserve"> AUTONUM  </w:instrText>
      </w:r>
      <w:r>
        <w:rPr>
          <w:iCs/>
        </w:rPr>
        <w:fldChar w:fldCharType="end"/>
      </w:r>
      <w:r>
        <w:rPr>
          <w:iCs/>
        </w:rPr>
        <w:tab/>
      </w:r>
      <w:r w:rsidR="002657B9">
        <w:rPr>
          <w:iCs/>
        </w:rPr>
        <w:t xml:space="preserve">The PAPI Task Force </w:t>
      </w:r>
      <w:r w:rsidR="00274B4B">
        <w:rPr>
          <w:iCs/>
        </w:rPr>
        <w:t xml:space="preserve">has </w:t>
      </w:r>
      <w:r w:rsidR="002657B9">
        <w:rPr>
          <w:iCs/>
        </w:rPr>
        <w:t>explore</w:t>
      </w:r>
      <w:r w:rsidR="00274B4B">
        <w:rPr>
          <w:iCs/>
        </w:rPr>
        <w:t>d</w:t>
      </w:r>
      <w:r w:rsidR="002657B9">
        <w:rPr>
          <w:iCs/>
        </w:rPr>
        <w:t xml:space="preserve"> the best way to prepare the recommendations and noted that similar recommendations are provided in </w:t>
      </w:r>
      <w:r w:rsidR="002657B9" w:rsidRPr="00BC0AF3">
        <w:rPr>
          <w:iCs/>
        </w:rPr>
        <w:t>WIPO Handbook Part 6</w:t>
      </w:r>
      <w:r w:rsidR="002657B9">
        <w:rPr>
          <w:iCs/>
        </w:rPr>
        <w:t>.1</w:t>
      </w:r>
      <w:r w:rsidR="005E6685">
        <w:rPr>
          <w:iCs/>
        </w:rPr>
        <w:t xml:space="preserve"> </w:t>
      </w:r>
      <w:r w:rsidR="004601C1">
        <w:rPr>
          <w:iCs/>
        </w:rPr>
        <w:t>“R</w:t>
      </w:r>
      <w:r w:rsidR="002657B9" w:rsidRPr="00BC0AF3">
        <w:rPr>
          <w:iCs/>
        </w:rPr>
        <w:t xml:space="preserve">ecommendations on minimum contents for </w:t>
      </w:r>
      <w:r w:rsidR="004601C1">
        <w:rPr>
          <w:iCs/>
        </w:rPr>
        <w:t xml:space="preserve">intellectual property offices’ </w:t>
      </w:r>
      <w:r w:rsidR="002657B9" w:rsidRPr="00BC0AF3">
        <w:rPr>
          <w:iCs/>
        </w:rPr>
        <w:t>websites</w:t>
      </w:r>
      <w:r w:rsidR="004601C1">
        <w:rPr>
          <w:iCs/>
        </w:rPr>
        <w:t>”</w:t>
      </w:r>
      <w:r w:rsidR="002657B9">
        <w:rPr>
          <w:iCs/>
        </w:rPr>
        <w:t xml:space="preserve">.  The Task Force also noted that review and revision of WIPO Handbook Part 6 is part of the Task No. 62, which is designated to the Digital Transformation Task Force. </w:t>
      </w:r>
      <w:r w:rsidR="00FB7269">
        <w:rPr>
          <w:iCs/>
        </w:rPr>
        <w:t xml:space="preserve"> </w:t>
      </w:r>
      <w:r w:rsidR="002657B9">
        <w:rPr>
          <w:iCs/>
        </w:rPr>
        <w:t xml:space="preserve">Therefore, the Task Force planned to prepare a </w:t>
      </w:r>
      <w:r w:rsidR="00BC0AF3" w:rsidRPr="00BC0AF3">
        <w:rPr>
          <w:iCs/>
        </w:rPr>
        <w:t>draft proposal to update WIPO Handbook Part 6</w:t>
      </w:r>
      <w:r w:rsidR="002657B9">
        <w:rPr>
          <w:iCs/>
        </w:rPr>
        <w:t>.1 i</w:t>
      </w:r>
      <w:r w:rsidR="002657B9" w:rsidRPr="00BC0AF3">
        <w:rPr>
          <w:iCs/>
        </w:rPr>
        <w:t>n collaboration with the Digital Transformation Task Force,</w:t>
      </w:r>
      <w:r w:rsidR="002657B9">
        <w:rPr>
          <w:iCs/>
        </w:rPr>
        <w:t xml:space="preserve"> </w:t>
      </w:r>
      <w:r w:rsidR="00BC0AF3" w:rsidRPr="00BC0AF3">
        <w:rPr>
          <w:iCs/>
        </w:rPr>
        <w:t xml:space="preserve">considering </w:t>
      </w:r>
      <w:r w:rsidR="002657B9">
        <w:rPr>
          <w:iCs/>
        </w:rPr>
        <w:t xml:space="preserve">the </w:t>
      </w:r>
      <w:r w:rsidR="00BC0AF3" w:rsidRPr="00BC0AF3">
        <w:rPr>
          <w:iCs/>
        </w:rPr>
        <w:t xml:space="preserve">results </w:t>
      </w:r>
      <w:r w:rsidR="002657B9">
        <w:rPr>
          <w:iCs/>
        </w:rPr>
        <w:t xml:space="preserve">of the </w:t>
      </w:r>
      <w:r w:rsidR="00BC0AF3" w:rsidRPr="00BC0AF3">
        <w:rPr>
          <w:iCs/>
        </w:rPr>
        <w:t>recent surveys</w:t>
      </w:r>
      <w:r w:rsidR="002657B9">
        <w:rPr>
          <w:iCs/>
        </w:rPr>
        <w:t xml:space="preserve">: </w:t>
      </w:r>
      <w:r w:rsidR="004601C1">
        <w:rPr>
          <w:iCs/>
        </w:rPr>
        <w:t>“</w:t>
      </w:r>
      <w:r w:rsidR="00BC0AF3" w:rsidRPr="00BC0AF3">
        <w:rPr>
          <w:iCs/>
        </w:rPr>
        <w:t>PAPI part 1</w:t>
      </w:r>
      <w:r w:rsidR="004601C1">
        <w:rPr>
          <w:iCs/>
        </w:rPr>
        <w:t>”</w:t>
      </w:r>
      <w:r w:rsidR="00BC0AF3" w:rsidRPr="00BC0AF3">
        <w:rPr>
          <w:iCs/>
        </w:rPr>
        <w:t xml:space="preserve">, </w:t>
      </w:r>
      <w:r w:rsidR="004601C1">
        <w:rPr>
          <w:iCs/>
        </w:rPr>
        <w:t>“</w:t>
      </w:r>
      <w:r w:rsidR="00BC0AF3" w:rsidRPr="00BC0AF3">
        <w:rPr>
          <w:iCs/>
        </w:rPr>
        <w:t>PAPI part 2, Digital Transformation</w:t>
      </w:r>
      <w:r w:rsidR="004601C1">
        <w:rPr>
          <w:iCs/>
        </w:rPr>
        <w:t>”</w:t>
      </w:r>
      <w:r w:rsidR="00B1384E">
        <w:rPr>
          <w:iCs/>
        </w:rPr>
        <w:t xml:space="preserve">, which are published under Part 7.18 and Part 7.19 of WIPO Handbook at:  </w:t>
      </w:r>
      <w:r w:rsidR="00B1384E" w:rsidRPr="00B1384E">
        <w:rPr>
          <w:iCs/>
        </w:rPr>
        <w:t>https://www.wipo.int/standards/en/part_07.html</w:t>
      </w:r>
      <w:r w:rsidR="002657B9">
        <w:rPr>
          <w:iCs/>
        </w:rPr>
        <w:t xml:space="preserve">.  </w:t>
      </w:r>
    </w:p>
    <w:p w14:paraId="32C48BEA" w14:textId="7E5C012B" w:rsidR="00274B4B" w:rsidRDefault="00274B4B" w:rsidP="00495B26">
      <w:pPr>
        <w:pStyle w:val="ONUMFS"/>
        <w:numPr>
          <w:ilvl w:val="0"/>
          <w:numId w:val="0"/>
        </w:numPr>
        <w:spacing w:after="0"/>
        <w:rPr>
          <w:szCs w:val="26"/>
          <w:u w:val="single"/>
        </w:rPr>
      </w:pPr>
    </w:p>
    <w:p w14:paraId="376788BE" w14:textId="0F57B4EC" w:rsidR="00BC0AF3" w:rsidRDefault="00BC0AF3" w:rsidP="00606ED8">
      <w:pPr>
        <w:pStyle w:val="Heading3"/>
        <w:spacing w:before="0" w:after="0"/>
      </w:pPr>
      <w:r w:rsidRPr="00C7202A">
        <w:t>Potential Challenges or Dependencies</w:t>
      </w:r>
    </w:p>
    <w:p w14:paraId="7C79E43F" w14:textId="6B331D79" w:rsidR="00FB7269" w:rsidRDefault="0096517D" w:rsidP="00606ED8">
      <w:pPr>
        <w:pStyle w:val="ONUMFS"/>
        <w:numPr>
          <w:ilvl w:val="0"/>
          <w:numId w:val="0"/>
        </w:numPr>
        <w:spacing w:after="0"/>
        <w:rPr>
          <w:iCs/>
        </w:rPr>
      </w:pPr>
      <w:r>
        <w:rPr>
          <w:iCs/>
        </w:rPr>
        <w:fldChar w:fldCharType="begin"/>
      </w:r>
      <w:r>
        <w:rPr>
          <w:iCs/>
        </w:rPr>
        <w:instrText xml:space="preserve"> AUTONUM  </w:instrText>
      </w:r>
      <w:r>
        <w:rPr>
          <w:iCs/>
        </w:rPr>
        <w:fldChar w:fldCharType="end"/>
      </w:r>
      <w:r>
        <w:rPr>
          <w:iCs/>
        </w:rPr>
        <w:tab/>
      </w:r>
      <w:r w:rsidR="00FB7269">
        <w:rPr>
          <w:iCs/>
        </w:rPr>
        <w:t xml:space="preserve">The Task Force identified several challenges </w:t>
      </w:r>
      <w:r w:rsidR="001477A8">
        <w:rPr>
          <w:iCs/>
        </w:rPr>
        <w:t xml:space="preserve">or dependencies to </w:t>
      </w:r>
      <w:r w:rsidR="004601C1">
        <w:rPr>
          <w:iCs/>
        </w:rPr>
        <w:t xml:space="preserve">conducting their </w:t>
      </w:r>
      <w:r w:rsidR="001477A8">
        <w:rPr>
          <w:iCs/>
        </w:rPr>
        <w:t>work</w:t>
      </w:r>
      <w:r w:rsidR="00FB7269">
        <w:rPr>
          <w:iCs/>
        </w:rPr>
        <w:t>:</w:t>
      </w:r>
    </w:p>
    <w:p w14:paraId="6642B656" w14:textId="22FE9A01" w:rsidR="00FB7269" w:rsidRDefault="00FB7269" w:rsidP="00C7202A">
      <w:pPr>
        <w:pStyle w:val="ONUMFS"/>
        <w:numPr>
          <w:ilvl w:val="0"/>
          <w:numId w:val="17"/>
        </w:numPr>
        <w:rPr>
          <w:iCs/>
        </w:rPr>
      </w:pPr>
      <w:r>
        <w:rPr>
          <w:iCs/>
        </w:rPr>
        <w:t xml:space="preserve">The International Bureau is leading several CWS Tasks and CWS Task Forces, and it is </w:t>
      </w:r>
      <w:r w:rsidR="004601C1">
        <w:rPr>
          <w:iCs/>
        </w:rPr>
        <w:t>experiencing staff resourcing issues</w:t>
      </w:r>
      <w:r>
        <w:rPr>
          <w:iCs/>
        </w:rPr>
        <w:t xml:space="preserve"> to support and lead the </w:t>
      </w:r>
      <w:r w:rsidR="001477A8">
        <w:rPr>
          <w:iCs/>
        </w:rPr>
        <w:t xml:space="preserve">related </w:t>
      </w:r>
      <w:proofErr w:type="gramStart"/>
      <w:r w:rsidR="001477A8">
        <w:rPr>
          <w:iCs/>
        </w:rPr>
        <w:t>a</w:t>
      </w:r>
      <w:r>
        <w:rPr>
          <w:iCs/>
        </w:rPr>
        <w:t>ctivities</w:t>
      </w:r>
      <w:r w:rsidR="00C7202A">
        <w:rPr>
          <w:iCs/>
        </w:rPr>
        <w:t>;</w:t>
      </w:r>
      <w:proofErr w:type="gramEnd"/>
    </w:p>
    <w:p w14:paraId="5624FC86" w14:textId="51785B20" w:rsidR="00FB7269" w:rsidRDefault="004601C1" w:rsidP="00C7202A">
      <w:pPr>
        <w:pStyle w:val="ONUMFS"/>
        <w:numPr>
          <w:ilvl w:val="0"/>
          <w:numId w:val="17"/>
        </w:numPr>
        <w:rPr>
          <w:iCs/>
        </w:rPr>
      </w:pPr>
      <w:r>
        <w:rPr>
          <w:iCs/>
        </w:rPr>
        <w:t>T</w:t>
      </w:r>
      <w:r w:rsidR="00C7202A">
        <w:rPr>
          <w:iCs/>
        </w:rPr>
        <w:t xml:space="preserve">his </w:t>
      </w:r>
      <w:r w:rsidR="001477A8">
        <w:rPr>
          <w:iCs/>
        </w:rPr>
        <w:t>T</w:t>
      </w:r>
      <w:r w:rsidR="00C7202A">
        <w:rPr>
          <w:iCs/>
        </w:rPr>
        <w:t xml:space="preserve">ask </w:t>
      </w:r>
      <w:r w:rsidR="00FB7269">
        <w:rPr>
          <w:iCs/>
        </w:rPr>
        <w:t xml:space="preserve">may not be a </w:t>
      </w:r>
      <w:r w:rsidR="00C7202A">
        <w:rPr>
          <w:iCs/>
        </w:rPr>
        <w:t xml:space="preserve">high </w:t>
      </w:r>
      <w:r w:rsidR="00FB7269">
        <w:rPr>
          <w:iCs/>
        </w:rPr>
        <w:t>p</w:t>
      </w:r>
      <w:r w:rsidR="00FB7269" w:rsidRPr="002657B9">
        <w:rPr>
          <w:iCs/>
        </w:rPr>
        <w:t xml:space="preserve">riority </w:t>
      </w:r>
      <w:r w:rsidR="00C7202A">
        <w:rPr>
          <w:iCs/>
        </w:rPr>
        <w:t xml:space="preserve">to </w:t>
      </w:r>
      <w:r>
        <w:rPr>
          <w:iCs/>
        </w:rPr>
        <w:t xml:space="preserve">some </w:t>
      </w:r>
      <w:r w:rsidR="00FB7269" w:rsidRPr="002657B9">
        <w:rPr>
          <w:iCs/>
        </w:rPr>
        <w:t>IP</w:t>
      </w:r>
      <w:r w:rsidR="001477A8">
        <w:rPr>
          <w:iCs/>
        </w:rPr>
        <w:t>O</w:t>
      </w:r>
      <w:r w:rsidR="00FB7269" w:rsidRPr="002657B9">
        <w:rPr>
          <w:iCs/>
        </w:rPr>
        <w:t>s</w:t>
      </w:r>
      <w:r w:rsidR="00C7202A">
        <w:rPr>
          <w:iCs/>
        </w:rPr>
        <w:t xml:space="preserve"> </w:t>
      </w:r>
      <w:r>
        <w:rPr>
          <w:iCs/>
        </w:rPr>
        <w:t xml:space="preserve">so there </w:t>
      </w:r>
      <w:r w:rsidR="00C7202A">
        <w:rPr>
          <w:iCs/>
        </w:rPr>
        <w:t xml:space="preserve">may not </w:t>
      </w:r>
      <w:r>
        <w:rPr>
          <w:iCs/>
        </w:rPr>
        <w:t xml:space="preserve">be </w:t>
      </w:r>
      <w:r w:rsidR="00FB7269">
        <w:rPr>
          <w:iCs/>
        </w:rPr>
        <w:t>a</w:t>
      </w:r>
      <w:r w:rsidR="00FB7269" w:rsidRPr="00FB7269">
        <w:rPr>
          <w:iCs/>
        </w:rPr>
        <w:t xml:space="preserve">ctive participation by Task Force members </w:t>
      </w:r>
      <w:r w:rsidR="00FB7269">
        <w:rPr>
          <w:iCs/>
        </w:rPr>
        <w:t xml:space="preserve">and </w:t>
      </w:r>
      <w:r w:rsidR="001477A8">
        <w:rPr>
          <w:iCs/>
        </w:rPr>
        <w:t xml:space="preserve">other </w:t>
      </w:r>
      <w:r w:rsidR="00FB7269">
        <w:rPr>
          <w:iCs/>
        </w:rPr>
        <w:t>IP</w:t>
      </w:r>
      <w:r w:rsidR="001477A8">
        <w:rPr>
          <w:iCs/>
        </w:rPr>
        <w:t>Os</w:t>
      </w:r>
      <w:r w:rsidR="00C7202A">
        <w:rPr>
          <w:iCs/>
        </w:rPr>
        <w:t>; and</w:t>
      </w:r>
    </w:p>
    <w:p w14:paraId="2BFD2E1B" w14:textId="114CB1B2" w:rsidR="00FB7269" w:rsidRDefault="00FB7269" w:rsidP="00606ED8">
      <w:pPr>
        <w:pStyle w:val="ONUMFS"/>
        <w:numPr>
          <w:ilvl w:val="0"/>
          <w:numId w:val="17"/>
        </w:numPr>
        <w:spacing w:after="0"/>
        <w:rPr>
          <w:iCs/>
        </w:rPr>
      </w:pPr>
      <w:r>
        <w:rPr>
          <w:iCs/>
        </w:rPr>
        <w:t xml:space="preserve">Collaboration with the Digital Transformation Task Force </w:t>
      </w:r>
      <w:r w:rsidR="004601C1">
        <w:rPr>
          <w:iCs/>
        </w:rPr>
        <w:t xml:space="preserve">may be difficult as this Task Force </w:t>
      </w:r>
      <w:r>
        <w:rPr>
          <w:iCs/>
        </w:rPr>
        <w:t xml:space="preserve">is busy with the other </w:t>
      </w:r>
      <w:r w:rsidR="00C7202A">
        <w:rPr>
          <w:iCs/>
        </w:rPr>
        <w:t>activities</w:t>
      </w:r>
      <w:r w:rsidR="004601C1">
        <w:rPr>
          <w:iCs/>
        </w:rPr>
        <w:t xml:space="preserve"> under its purview</w:t>
      </w:r>
      <w:r w:rsidR="00C7202A">
        <w:rPr>
          <w:iCs/>
        </w:rPr>
        <w:t>.</w:t>
      </w:r>
      <w:r w:rsidR="004601C1">
        <w:rPr>
          <w:iCs/>
        </w:rPr>
        <w:t xml:space="preserve">  This dependency may result in </w:t>
      </w:r>
      <w:r w:rsidR="00AF16EF">
        <w:rPr>
          <w:iCs/>
        </w:rPr>
        <w:t>a lack of input from this Task Force.</w:t>
      </w:r>
      <w:r w:rsidR="00606ED8">
        <w:rPr>
          <w:iCs/>
        </w:rPr>
        <w:br/>
      </w:r>
    </w:p>
    <w:p w14:paraId="2878BF1D" w14:textId="19C2FF3D" w:rsidR="00BC0AF3" w:rsidRPr="00C7202A" w:rsidRDefault="00BC0AF3" w:rsidP="00606ED8">
      <w:pPr>
        <w:pStyle w:val="Heading3"/>
        <w:spacing w:before="0" w:after="0"/>
      </w:pPr>
      <w:r w:rsidRPr="00C7202A">
        <w:t>Progress evaluation</w:t>
      </w:r>
    </w:p>
    <w:p w14:paraId="6D71A009" w14:textId="71B7226B" w:rsidR="00606ED8" w:rsidRDefault="0096517D" w:rsidP="00606ED8">
      <w:pPr>
        <w:pStyle w:val="ONUMFS"/>
        <w:numPr>
          <w:ilvl w:val="0"/>
          <w:numId w:val="0"/>
        </w:numPr>
        <w:spacing w:after="0"/>
        <w:rPr>
          <w:iCs/>
        </w:rPr>
      </w:pPr>
      <w:r>
        <w:rPr>
          <w:iCs/>
        </w:rPr>
        <w:fldChar w:fldCharType="begin"/>
      </w:r>
      <w:r>
        <w:rPr>
          <w:iCs/>
        </w:rPr>
        <w:instrText xml:space="preserve"> AUTONUM  </w:instrText>
      </w:r>
      <w:r>
        <w:rPr>
          <w:iCs/>
        </w:rPr>
        <w:fldChar w:fldCharType="end"/>
      </w:r>
      <w:r>
        <w:rPr>
          <w:iCs/>
        </w:rPr>
        <w:tab/>
      </w:r>
      <w:r w:rsidR="00C7202A">
        <w:rPr>
          <w:iCs/>
        </w:rPr>
        <w:t>Noting the challenges and dependencies indicated above, the Task Force discussed</w:t>
      </w:r>
      <w:r w:rsidR="00AF16EF">
        <w:rPr>
          <w:iCs/>
        </w:rPr>
        <w:t xml:space="preserve"> potential solutions to make progress on this work</w:t>
      </w:r>
      <w:r w:rsidR="00C7202A">
        <w:rPr>
          <w:iCs/>
        </w:rPr>
        <w:t xml:space="preserve">.  In consultation with the </w:t>
      </w:r>
      <w:r w:rsidR="00C7202A" w:rsidRPr="00C7202A">
        <w:rPr>
          <w:iCs/>
        </w:rPr>
        <w:t xml:space="preserve">Digital Transformation </w:t>
      </w:r>
      <w:r w:rsidR="00C7202A">
        <w:rPr>
          <w:iCs/>
        </w:rPr>
        <w:t xml:space="preserve">Task Force, </w:t>
      </w:r>
      <w:r w:rsidR="002B7317">
        <w:rPr>
          <w:iCs/>
        </w:rPr>
        <w:t xml:space="preserve">it </w:t>
      </w:r>
      <w:r w:rsidR="00AF16EF">
        <w:rPr>
          <w:iCs/>
        </w:rPr>
        <w:t>was agreed that this</w:t>
      </w:r>
      <w:r w:rsidR="002B7317" w:rsidRPr="00C7202A">
        <w:rPr>
          <w:iCs/>
        </w:rPr>
        <w:t xml:space="preserve"> work on updating WIPO Handbook Part 6 </w:t>
      </w:r>
      <w:r w:rsidR="00AF16EF">
        <w:rPr>
          <w:iCs/>
        </w:rPr>
        <w:t xml:space="preserve">should be transferred </w:t>
      </w:r>
      <w:r w:rsidR="002B7317" w:rsidRPr="00C7202A">
        <w:rPr>
          <w:iCs/>
        </w:rPr>
        <w:t>to the PAPI T</w:t>
      </w:r>
      <w:r w:rsidR="002B7317">
        <w:rPr>
          <w:iCs/>
        </w:rPr>
        <w:t xml:space="preserve">ask </w:t>
      </w:r>
      <w:r w:rsidR="002B7317" w:rsidRPr="00C7202A">
        <w:rPr>
          <w:iCs/>
        </w:rPr>
        <w:t>F</w:t>
      </w:r>
      <w:r w:rsidR="002B7317">
        <w:rPr>
          <w:iCs/>
        </w:rPr>
        <w:t>orce</w:t>
      </w:r>
      <w:r w:rsidR="002B7317" w:rsidRPr="00C7202A">
        <w:rPr>
          <w:iCs/>
        </w:rPr>
        <w:t xml:space="preserve"> from </w:t>
      </w:r>
      <w:r w:rsidR="002B7317">
        <w:rPr>
          <w:iCs/>
        </w:rPr>
        <w:t xml:space="preserve">the </w:t>
      </w:r>
      <w:r w:rsidR="002B7317" w:rsidRPr="00C7202A">
        <w:rPr>
          <w:iCs/>
        </w:rPr>
        <w:t xml:space="preserve">Digital Transformation </w:t>
      </w:r>
      <w:r w:rsidR="002B7317">
        <w:rPr>
          <w:iCs/>
        </w:rPr>
        <w:t xml:space="preserve">Task Force.  Currently the </w:t>
      </w:r>
      <w:r w:rsidR="002B7317" w:rsidRPr="00C7202A">
        <w:rPr>
          <w:iCs/>
        </w:rPr>
        <w:t xml:space="preserve">Digital Transformation </w:t>
      </w:r>
      <w:r w:rsidR="002B7317">
        <w:rPr>
          <w:iCs/>
        </w:rPr>
        <w:t xml:space="preserve">Task Force is dealing with three Tasks: Task No. 62, Task No. </w:t>
      </w:r>
      <w:proofErr w:type="gramStart"/>
      <w:r w:rsidR="002B7317">
        <w:rPr>
          <w:iCs/>
        </w:rPr>
        <w:t>63</w:t>
      </w:r>
      <w:proofErr w:type="gramEnd"/>
      <w:r w:rsidR="002B7317">
        <w:rPr>
          <w:iCs/>
        </w:rPr>
        <w:t xml:space="preserve"> and Task No. 65 as well as the preparation of a common DOCX technical specification</w:t>
      </w:r>
      <w:r w:rsidR="00AF16EF">
        <w:rPr>
          <w:iCs/>
        </w:rPr>
        <w:t>, so is relatively busy</w:t>
      </w:r>
      <w:r w:rsidR="002B7317">
        <w:rPr>
          <w:iCs/>
        </w:rPr>
        <w:t>.</w:t>
      </w:r>
    </w:p>
    <w:p w14:paraId="69A73697" w14:textId="3F94A34A" w:rsidR="002B7317" w:rsidRDefault="002B7317" w:rsidP="00606ED8">
      <w:pPr>
        <w:pStyle w:val="ONUMFS"/>
        <w:numPr>
          <w:ilvl w:val="0"/>
          <w:numId w:val="0"/>
        </w:numPr>
        <w:spacing w:after="0"/>
        <w:rPr>
          <w:iCs/>
        </w:rPr>
      </w:pPr>
    </w:p>
    <w:p w14:paraId="7C5485B8" w14:textId="77777777" w:rsidR="00AF16EF" w:rsidRDefault="0096517D" w:rsidP="00495B26">
      <w:pPr>
        <w:pStyle w:val="ONUMFS"/>
        <w:numPr>
          <w:ilvl w:val="0"/>
          <w:numId w:val="0"/>
        </w:numPr>
        <w:rPr>
          <w:iCs/>
        </w:rPr>
      </w:pPr>
      <w:r>
        <w:rPr>
          <w:iCs/>
        </w:rPr>
        <w:fldChar w:fldCharType="begin"/>
      </w:r>
      <w:r>
        <w:rPr>
          <w:iCs/>
        </w:rPr>
        <w:instrText xml:space="preserve"> AUTONUM  </w:instrText>
      </w:r>
      <w:r>
        <w:rPr>
          <w:iCs/>
        </w:rPr>
        <w:fldChar w:fldCharType="end"/>
      </w:r>
      <w:r>
        <w:rPr>
          <w:iCs/>
        </w:rPr>
        <w:tab/>
      </w:r>
      <w:r w:rsidR="00C7202A" w:rsidRPr="00C7202A">
        <w:rPr>
          <w:iCs/>
        </w:rPr>
        <w:t>In this regard, the International Bureau</w:t>
      </w:r>
      <w:r w:rsidR="002B7317">
        <w:rPr>
          <w:iCs/>
        </w:rPr>
        <w:t>, as the Task Force leader,</w:t>
      </w:r>
      <w:r w:rsidR="00C7202A" w:rsidRPr="00C7202A">
        <w:rPr>
          <w:iCs/>
        </w:rPr>
        <w:t xml:space="preserve"> proposes to revise the description of Task No. 52 instead of creating a new Task, considering the CWS workload and current prioritization effort for the CWS Tasks. </w:t>
      </w:r>
      <w:r w:rsidR="002B7317">
        <w:rPr>
          <w:iCs/>
        </w:rPr>
        <w:t xml:space="preserve"> </w:t>
      </w:r>
      <w:r w:rsidR="00C7202A" w:rsidRPr="002B7317">
        <w:rPr>
          <w:iCs/>
        </w:rPr>
        <w:t xml:space="preserve">The proposed revision to Task No. 52 is as follows: </w:t>
      </w:r>
    </w:p>
    <w:p w14:paraId="68C69994" w14:textId="19B06433" w:rsidR="00BC0AF3" w:rsidRPr="002B7317" w:rsidRDefault="00C7202A" w:rsidP="00495B26">
      <w:pPr>
        <w:pStyle w:val="ONUMFS"/>
        <w:numPr>
          <w:ilvl w:val="0"/>
          <w:numId w:val="0"/>
        </w:numPr>
        <w:spacing w:after="0"/>
        <w:ind w:left="567"/>
        <w:rPr>
          <w:iCs/>
        </w:rPr>
      </w:pPr>
      <w:r w:rsidRPr="002B7317">
        <w:rPr>
          <w:iCs/>
        </w:rPr>
        <w:t>"</w:t>
      </w:r>
      <w:r w:rsidRPr="00495B26">
        <w:rPr>
          <w:i/>
        </w:rPr>
        <w:t xml:space="preserve">Prepare a proposal for the update of the WIPO Handbook Part 6.1 "Recommended minimum contents for intellectual property offices’ </w:t>
      </w:r>
      <w:proofErr w:type="gramStart"/>
      <w:r w:rsidRPr="00495B26">
        <w:rPr>
          <w:i/>
        </w:rPr>
        <w:t>websites</w:t>
      </w:r>
      <w:r w:rsidRPr="002B7317">
        <w:rPr>
          <w:iCs/>
        </w:rPr>
        <w:t>"</w:t>
      </w:r>
      <w:proofErr w:type="gramEnd"/>
    </w:p>
    <w:p w14:paraId="08E4FE70" w14:textId="77777777" w:rsidR="00606ED8" w:rsidRDefault="00606ED8" w:rsidP="00606ED8">
      <w:pPr>
        <w:pStyle w:val="Heading2"/>
        <w:spacing w:before="0"/>
      </w:pPr>
    </w:p>
    <w:p w14:paraId="5012E84E" w14:textId="7D2E04A0" w:rsidR="00BC0AF3" w:rsidRPr="00C7202A" w:rsidRDefault="00BC0AF3" w:rsidP="00606ED8">
      <w:pPr>
        <w:pStyle w:val="Heading2"/>
        <w:spacing w:before="0"/>
      </w:pPr>
      <w:r w:rsidRPr="00C7202A">
        <w:t>WORK PLAN</w:t>
      </w:r>
    </w:p>
    <w:p w14:paraId="0A570C46" w14:textId="52259F85" w:rsidR="002B7317" w:rsidRDefault="0096517D">
      <w:p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2B7317" w:rsidRPr="002B7317">
        <w:rPr>
          <w:lang w:eastAsia="en-US"/>
        </w:rPr>
        <w:t>With regard</w:t>
      </w:r>
      <w:r w:rsidR="00AF16EF">
        <w:rPr>
          <w:lang w:eastAsia="en-US"/>
        </w:rPr>
        <w:t>s</w:t>
      </w:r>
      <w:r w:rsidR="002B7317" w:rsidRPr="002B7317">
        <w:rPr>
          <w:lang w:eastAsia="en-US"/>
        </w:rPr>
        <w:t xml:space="preserve"> to the future activity of the PAPI T</w:t>
      </w:r>
      <w:r w:rsidR="002B7317">
        <w:rPr>
          <w:lang w:eastAsia="en-US"/>
        </w:rPr>
        <w:t xml:space="preserve">ask </w:t>
      </w:r>
      <w:r w:rsidR="002B7317" w:rsidRPr="002B7317">
        <w:rPr>
          <w:lang w:eastAsia="en-US"/>
        </w:rPr>
        <w:t>F</w:t>
      </w:r>
      <w:r w:rsidR="002B7317">
        <w:rPr>
          <w:lang w:eastAsia="en-US"/>
        </w:rPr>
        <w:t>orce</w:t>
      </w:r>
      <w:r w:rsidR="002B7317" w:rsidRPr="002B7317">
        <w:rPr>
          <w:lang w:eastAsia="en-US"/>
        </w:rPr>
        <w:t>, the PDG sent the letter to the CWS Secretary with some suggestions</w:t>
      </w:r>
      <w:r w:rsidR="002B7317">
        <w:rPr>
          <w:lang w:eastAsia="en-US"/>
        </w:rPr>
        <w:t xml:space="preserve">, which is reproduced </w:t>
      </w:r>
      <w:r w:rsidR="00AF16EF">
        <w:rPr>
          <w:lang w:eastAsia="en-US"/>
        </w:rPr>
        <w:t>as</w:t>
      </w:r>
      <w:r w:rsidR="002B7317">
        <w:rPr>
          <w:lang w:eastAsia="en-US"/>
        </w:rPr>
        <w:t xml:space="preserve"> the Annex to the present document</w:t>
      </w:r>
      <w:r w:rsidR="002B7317" w:rsidRPr="002B7317">
        <w:rPr>
          <w:lang w:eastAsia="en-US"/>
        </w:rPr>
        <w:t xml:space="preserve">. </w:t>
      </w:r>
    </w:p>
    <w:p w14:paraId="32CCE2A4" w14:textId="77777777" w:rsidR="002B7317" w:rsidRDefault="002B7317">
      <w:pPr>
        <w:rPr>
          <w:lang w:eastAsia="en-US"/>
        </w:rPr>
      </w:pPr>
    </w:p>
    <w:p w14:paraId="18DA904B" w14:textId="77777777" w:rsidR="0063142A" w:rsidRDefault="0063142A">
      <w:pPr>
        <w:rPr>
          <w:lang w:eastAsia="en-US"/>
        </w:rPr>
      </w:pPr>
      <w:r>
        <w:rPr>
          <w:lang w:eastAsia="en-US"/>
        </w:rPr>
        <w:br w:type="page"/>
      </w:r>
    </w:p>
    <w:p w14:paraId="18B4F45E" w14:textId="529E2ABE" w:rsidR="00EC3AA3" w:rsidRDefault="0096517D">
      <w:pPr>
        <w:rPr>
          <w:lang w:eastAsia="en-US"/>
        </w:rPr>
      </w:pPr>
      <w:r>
        <w:rPr>
          <w:lang w:eastAsia="en-US"/>
        </w:rPr>
        <w:lastRenderedPageBreak/>
        <w:fldChar w:fldCharType="begin"/>
      </w:r>
      <w:r>
        <w:rPr>
          <w:lang w:eastAsia="en-US"/>
        </w:rPr>
        <w:instrText xml:space="preserve"> AUTONUM  </w:instrText>
      </w:r>
      <w:r>
        <w:rPr>
          <w:lang w:eastAsia="en-US"/>
        </w:rPr>
        <w:fldChar w:fldCharType="end"/>
      </w:r>
      <w:r>
        <w:rPr>
          <w:lang w:eastAsia="en-US"/>
        </w:rPr>
        <w:tab/>
      </w:r>
      <w:r w:rsidR="002B7317">
        <w:rPr>
          <w:lang w:eastAsia="en-US"/>
        </w:rPr>
        <w:t xml:space="preserve">If the CWS approves the proposed transfer to update WIPO Handbook Part 6.1 to the PAPI Task Force and the proposed change to the description of Task No. 52, the Task Force should prepare its work plan </w:t>
      </w:r>
      <w:proofErr w:type="gramStart"/>
      <w:r w:rsidR="002B7317">
        <w:rPr>
          <w:lang w:eastAsia="en-US"/>
        </w:rPr>
        <w:t>taking into account</w:t>
      </w:r>
      <w:proofErr w:type="gramEnd"/>
      <w:r w:rsidR="002B7317">
        <w:rPr>
          <w:lang w:eastAsia="en-US"/>
        </w:rPr>
        <w:t xml:space="preserve"> the</w:t>
      </w:r>
      <w:r w:rsidR="004601C1">
        <w:rPr>
          <w:lang w:eastAsia="en-US"/>
        </w:rPr>
        <w:t xml:space="preserve"> suggestions made by</w:t>
      </w:r>
      <w:r w:rsidR="002B7317">
        <w:rPr>
          <w:lang w:eastAsia="en-US"/>
        </w:rPr>
        <w:t xml:space="preserve"> PDG. </w:t>
      </w:r>
      <w:r w:rsidR="008A7C76">
        <w:rPr>
          <w:lang w:eastAsia="en-US"/>
        </w:rPr>
        <w:t xml:space="preserve"> Once available, this work plan will be published on their wiki space. </w:t>
      </w:r>
    </w:p>
    <w:p w14:paraId="0E4A37DF" w14:textId="77777777" w:rsidR="00204D15" w:rsidRPr="003A5F87" w:rsidRDefault="00204D15" w:rsidP="00204D15">
      <w:pPr>
        <w:pStyle w:val="ONUMFS"/>
        <w:numPr>
          <w:ilvl w:val="0"/>
          <w:numId w:val="0"/>
        </w:numPr>
        <w:rPr>
          <w:i/>
        </w:rPr>
      </w:pPr>
    </w:p>
    <w:p w14:paraId="3E557859" w14:textId="797993CC" w:rsidR="000113FC" w:rsidRPr="003A5F87" w:rsidRDefault="00A703B9" w:rsidP="00A703B9">
      <w:pPr>
        <w:pStyle w:val="ONUMFS"/>
        <w:numPr>
          <w:ilvl w:val="0"/>
          <w:numId w:val="0"/>
        </w:numPr>
        <w:spacing w:after="120"/>
        <w:ind w:left="5530"/>
        <w:rPr>
          <w:i/>
        </w:rPr>
      </w:pPr>
      <w:r>
        <w:rPr>
          <w:i/>
          <w:szCs w:val="22"/>
        </w:rPr>
        <w:fldChar w:fldCharType="begin"/>
      </w:r>
      <w:r>
        <w:rPr>
          <w:i/>
          <w:szCs w:val="22"/>
        </w:rPr>
        <w:instrText xml:space="preserve"> AUTONUM  </w:instrText>
      </w:r>
      <w:r>
        <w:rPr>
          <w:i/>
          <w:szCs w:val="22"/>
        </w:rPr>
        <w:fldChar w:fldCharType="end"/>
      </w:r>
      <w:r>
        <w:rPr>
          <w:i/>
          <w:szCs w:val="22"/>
        </w:rPr>
        <w:tab/>
      </w:r>
      <w:r w:rsidR="000113FC" w:rsidRPr="003A5F87">
        <w:rPr>
          <w:i/>
          <w:szCs w:val="22"/>
        </w:rPr>
        <w:t>Th</w:t>
      </w:r>
      <w:r w:rsidR="000113FC" w:rsidRPr="003A5F87">
        <w:rPr>
          <w:i/>
        </w:rPr>
        <w:t xml:space="preserve">e CWS is invited to: </w:t>
      </w:r>
    </w:p>
    <w:p w14:paraId="6FF6BC68" w14:textId="77F3302A" w:rsidR="000113FC" w:rsidRDefault="000113FC" w:rsidP="000113FC">
      <w:pPr>
        <w:pStyle w:val="BodyText"/>
        <w:tabs>
          <w:tab w:val="left" w:pos="6160"/>
          <w:tab w:val="left" w:pos="6710"/>
        </w:tabs>
        <w:ind w:left="5530"/>
        <w:rPr>
          <w:i/>
        </w:rPr>
      </w:pPr>
      <w:r>
        <w:rPr>
          <w:i/>
        </w:rPr>
        <w:tab/>
        <w:t>(a)</w:t>
      </w:r>
      <w:r>
        <w:rPr>
          <w:i/>
        </w:rPr>
        <w:tab/>
      </w:r>
      <w:r w:rsidRPr="006A730D">
        <w:rPr>
          <w:i/>
        </w:rPr>
        <w:t xml:space="preserve">note the content of </w:t>
      </w:r>
      <w:r w:rsidR="00772528">
        <w:rPr>
          <w:i/>
        </w:rPr>
        <w:t xml:space="preserve">this </w:t>
      </w:r>
      <w:r w:rsidRPr="006A730D">
        <w:rPr>
          <w:i/>
        </w:rPr>
        <w:t>document</w:t>
      </w:r>
      <w:r w:rsidR="0096517D">
        <w:rPr>
          <w:i/>
        </w:rPr>
        <w:t xml:space="preserve"> and the Annex to the present document</w:t>
      </w:r>
      <w:r w:rsidRPr="006A730D">
        <w:rPr>
          <w:i/>
        </w:rPr>
        <w:t>;</w:t>
      </w:r>
      <w:r>
        <w:rPr>
          <w:i/>
        </w:rPr>
        <w:t xml:space="preserve"> </w:t>
      </w:r>
      <w:r w:rsidR="0096517D">
        <w:rPr>
          <w:i/>
        </w:rPr>
        <w:t>and</w:t>
      </w:r>
    </w:p>
    <w:p w14:paraId="43A23A12" w14:textId="3DA8A4F6" w:rsidR="00DC37BC" w:rsidRDefault="000113FC" w:rsidP="0096517D">
      <w:pPr>
        <w:pStyle w:val="BodyText"/>
        <w:tabs>
          <w:tab w:val="left" w:pos="6160"/>
          <w:tab w:val="left" w:pos="6710"/>
        </w:tabs>
        <w:ind w:left="5530"/>
        <w:rPr>
          <w:szCs w:val="22"/>
        </w:rPr>
      </w:pPr>
      <w:r>
        <w:rPr>
          <w:i/>
        </w:rPr>
        <w:tab/>
        <w:t>(b)</w:t>
      </w:r>
      <w:r>
        <w:rPr>
          <w:i/>
        </w:rPr>
        <w:tab/>
      </w:r>
      <w:r w:rsidR="0096517D">
        <w:rPr>
          <w:i/>
        </w:rPr>
        <w:t xml:space="preserve">consider and </w:t>
      </w:r>
      <w:r w:rsidR="00E344B7">
        <w:rPr>
          <w:i/>
        </w:rPr>
        <w:t>approve the</w:t>
      </w:r>
      <w:r w:rsidR="0096517D">
        <w:rPr>
          <w:i/>
        </w:rPr>
        <w:t xml:space="preserve"> proposal for transfer </w:t>
      </w:r>
      <w:r w:rsidR="002D4151">
        <w:rPr>
          <w:i/>
        </w:rPr>
        <w:t xml:space="preserve">the work </w:t>
      </w:r>
      <w:r w:rsidR="0096517D" w:rsidRPr="0096517D">
        <w:rPr>
          <w:i/>
        </w:rPr>
        <w:t xml:space="preserve">to update WIPO Handbook Part 6.1 to the PAPI Task Force </w:t>
      </w:r>
      <w:r w:rsidR="002D4151">
        <w:rPr>
          <w:i/>
        </w:rPr>
        <w:t xml:space="preserve">from the Digital Transformation Task Force, </w:t>
      </w:r>
      <w:r w:rsidR="0096517D" w:rsidRPr="0096517D">
        <w:rPr>
          <w:i/>
        </w:rPr>
        <w:t>and the proposed change to the description of Task No. 52</w:t>
      </w:r>
      <w:r w:rsidR="00E344B7">
        <w:rPr>
          <w:i/>
        </w:rPr>
        <w:t xml:space="preserve">, as </w:t>
      </w:r>
      <w:r w:rsidR="0096517D">
        <w:rPr>
          <w:i/>
        </w:rPr>
        <w:t xml:space="preserve">referred to in paragraphs </w:t>
      </w:r>
      <w:r w:rsidR="00274B4B">
        <w:rPr>
          <w:i/>
        </w:rPr>
        <w:t>1</w:t>
      </w:r>
      <w:r w:rsidR="002D4151">
        <w:rPr>
          <w:i/>
        </w:rPr>
        <w:t>1</w:t>
      </w:r>
      <w:r w:rsidR="0096517D">
        <w:rPr>
          <w:i/>
        </w:rPr>
        <w:t xml:space="preserve"> and 1</w:t>
      </w:r>
      <w:r w:rsidR="002D4151">
        <w:rPr>
          <w:i/>
        </w:rPr>
        <w:t>2</w:t>
      </w:r>
      <w:r w:rsidR="0096517D">
        <w:rPr>
          <w:i/>
        </w:rPr>
        <w:t xml:space="preserve"> above.</w:t>
      </w:r>
    </w:p>
    <w:p w14:paraId="72DA3CFB" w14:textId="05DE0D71" w:rsidR="00DC37BC" w:rsidRDefault="00DC37BC" w:rsidP="00892317">
      <w:pPr>
        <w:rPr>
          <w:szCs w:val="22"/>
        </w:rPr>
      </w:pPr>
    </w:p>
    <w:p w14:paraId="32B65C47" w14:textId="77777777" w:rsidR="00DC37BC" w:rsidRDefault="00DC37BC" w:rsidP="00892317">
      <w:pPr>
        <w:rPr>
          <w:szCs w:val="22"/>
        </w:rPr>
      </w:pPr>
    </w:p>
    <w:p w14:paraId="2A8D1A1C" w14:textId="77777777" w:rsidR="00DA6220" w:rsidRPr="00084955" w:rsidRDefault="00DA6220" w:rsidP="00892317">
      <w:pPr>
        <w:rPr>
          <w:szCs w:val="22"/>
        </w:rPr>
      </w:pPr>
    </w:p>
    <w:p w14:paraId="1B80F0F4" w14:textId="7B231C62" w:rsidR="002928D3" w:rsidRPr="00084955" w:rsidRDefault="002444C2" w:rsidP="004601C1">
      <w:pPr>
        <w:pStyle w:val="Endofdocument"/>
      </w:pPr>
      <w:r w:rsidRPr="00084955">
        <w:rPr>
          <w:rFonts w:cs="Arial"/>
          <w:sz w:val="22"/>
          <w:szCs w:val="22"/>
        </w:rPr>
        <w:t>[</w:t>
      </w:r>
      <w:r>
        <w:rPr>
          <w:rFonts w:cs="Arial"/>
          <w:sz w:val="22"/>
          <w:szCs w:val="22"/>
        </w:rPr>
        <w:t>Annex follows</w:t>
      </w:r>
      <w:r w:rsidRPr="00084955">
        <w:rPr>
          <w:rFonts w:cs="Arial"/>
          <w:sz w:val="22"/>
          <w:szCs w:val="22"/>
        </w:rPr>
        <w:t>]</w:t>
      </w:r>
    </w:p>
    <w:sectPr w:rsidR="002928D3" w:rsidRPr="00084955" w:rsidSect="00AB132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C83BF" w14:textId="77777777" w:rsidR="001C5540" w:rsidRDefault="001C5540">
      <w:r>
        <w:separator/>
      </w:r>
    </w:p>
  </w:endnote>
  <w:endnote w:type="continuationSeparator" w:id="0">
    <w:p w14:paraId="03104C8A" w14:textId="77777777" w:rsidR="001C5540" w:rsidRDefault="001C5540" w:rsidP="003B38C1">
      <w:r>
        <w:separator/>
      </w:r>
    </w:p>
    <w:p w14:paraId="2354F72B" w14:textId="77777777" w:rsidR="001C5540" w:rsidRPr="003B38C1" w:rsidRDefault="001C5540" w:rsidP="003B38C1">
      <w:pPr>
        <w:spacing w:after="60"/>
        <w:rPr>
          <w:sz w:val="17"/>
        </w:rPr>
      </w:pPr>
      <w:r>
        <w:rPr>
          <w:sz w:val="17"/>
        </w:rPr>
        <w:t>[Endnote continued from previous page]</w:t>
      </w:r>
    </w:p>
  </w:endnote>
  <w:endnote w:type="continuationNotice" w:id="1">
    <w:p w14:paraId="0A885CC5" w14:textId="77777777" w:rsidR="001C5540" w:rsidRPr="003B38C1" w:rsidRDefault="001C554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F84" w14:textId="77777777" w:rsidR="00AF16EF" w:rsidRDefault="00AF1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87C2" w14:textId="77777777" w:rsidR="00AF16EF" w:rsidRDefault="00AF1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AABA" w14:textId="77777777" w:rsidR="00AF16EF" w:rsidRDefault="00AF1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4E67" w14:textId="77777777" w:rsidR="001C5540" w:rsidRDefault="001C5540">
      <w:r>
        <w:separator/>
      </w:r>
    </w:p>
  </w:footnote>
  <w:footnote w:type="continuationSeparator" w:id="0">
    <w:p w14:paraId="3A920CE1" w14:textId="77777777" w:rsidR="001C5540" w:rsidRDefault="001C5540" w:rsidP="008B60B2">
      <w:r>
        <w:separator/>
      </w:r>
    </w:p>
    <w:p w14:paraId="1004F5BF" w14:textId="77777777" w:rsidR="001C5540" w:rsidRPr="00ED77FB" w:rsidRDefault="001C5540" w:rsidP="008B60B2">
      <w:pPr>
        <w:spacing w:after="60"/>
        <w:rPr>
          <w:sz w:val="17"/>
          <w:szCs w:val="17"/>
        </w:rPr>
      </w:pPr>
      <w:r w:rsidRPr="00ED77FB">
        <w:rPr>
          <w:sz w:val="17"/>
          <w:szCs w:val="17"/>
        </w:rPr>
        <w:t>[Footnote continued from previous page]</w:t>
      </w:r>
    </w:p>
  </w:footnote>
  <w:footnote w:type="continuationNotice" w:id="1">
    <w:p w14:paraId="26807029" w14:textId="77777777" w:rsidR="001C5540" w:rsidRPr="00ED77FB" w:rsidRDefault="001C554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8E22" w14:textId="09AA9F30" w:rsidR="00AB1326" w:rsidRDefault="00AB1326" w:rsidP="00DC37BC">
    <w:pPr>
      <w:jc w:val="right"/>
    </w:pPr>
    <w:r>
      <w:t>CWS/</w:t>
    </w:r>
    <w:r w:rsidR="00606ED8">
      <w:t>11</w:t>
    </w:r>
    <w:r>
      <w:t>/</w:t>
    </w:r>
    <w:r w:rsidR="00606ED8">
      <w:t>12</w:t>
    </w:r>
  </w:p>
  <w:p w14:paraId="41357948" w14:textId="3AA5476E" w:rsidR="00AB1326" w:rsidRDefault="00AB1326" w:rsidP="00AB1326">
    <w:pPr>
      <w:jc w:val="right"/>
    </w:pPr>
    <w:r>
      <w:t xml:space="preserve">page </w:t>
    </w:r>
    <w:r>
      <w:fldChar w:fldCharType="begin"/>
    </w:r>
    <w:r>
      <w:instrText xml:space="preserve"> PAGE  \* MERGEFORMAT </w:instrText>
    </w:r>
    <w:r>
      <w:fldChar w:fldCharType="separate"/>
    </w:r>
    <w:r w:rsidR="002444C2">
      <w:rPr>
        <w:noProof/>
      </w:rPr>
      <w:t>2</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CB45" w14:textId="71F1859B" w:rsidR="007D1090" w:rsidRDefault="007D1090" w:rsidP="00F55529">
    <w:pPr>
      <w:jc w:val="right"/>
    </w:pPr>
    <w:r>
      <w:t>CWS/</w:t>
    </w:r>
    <w:r w:rsidR="00606ED8">
      <w:t>11</w:t>
    </w:r>
    <w:r>
      <w:t>/1</w:t>
    </w:r>
    <w:r w:rsidR="00606ED8">
      <w:t>2</w:t>
    </w:r>
  </w:p>
  <w:p w14:paraId="46BF03FC" w14:textId="0D63C522" w:rsidR="007D1090" w:rsidRDefault="007D1090" w:rsidP="00477D6B">
    <w:pPr>
      <w:jc w:val="right"/>
    </w:pPr>
    <w:r>
      <w:t xml:space="preserve">page </w:t>
    </w:r>
    <w:r>
      <w:fldChar w:fldCharType="begin"/>
    </w:r>
    <w:r>
      <w:instrText xml:space="preserve"> PAGE  \* MERGEFORMAT </w:instrText>
    </w:r>
    <w:r>
      <w:fldChar w:fldCharType="separate"/>
    </w:r>
    <w:r w:rsidR="007F444D">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A181" w14:textId="77777777" w:rsidR="00AF16EF" w:rsidRDefault="00AF1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8"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1660226824">
    <w:abstractNumId w:val="9"/>
  </w:num>
  <w:num w:numId="2" w16cid:durableId="302543155">
    <w:abstractNumId w:val="0"/>
  </w:num>
  <w:num w:numId="3" w16cid:durableId="1838423578">
    <w:abstractNumId w:val="3"/>
  </w:num>
  <w:num w:numId="4" w16cid:durableId="2040466659">
    <w:abstractNumId w:val="10"/>
  </w:num>
  <w:num w:numId="5" w16cid:durableId="1636566706">
    <w:abstractNumId w:val="11"/>
  </w:num>
  <w:num w:numId="6" w16cid:durableId="1157113985">
    <w:abstractNumId w:val="2"/>
  </w:num>
  <w:num w:numId="7" w16cid:durableId="1623993407">
    <w:abstractNumId w:val="12"/>
  </w:num>
  <w:num w:numId="8" w16cid:durableId="218984445">
    <w:abstractNumId w:val="14"/>
  </w:num>
  <w:num w:numId="9" w16cid:durableId="76905068">
    <w:abstractNumId w:val="6"/>
  </w:num>
  <w:num w:numId="10" w16cid:durableId="1118570984">
    <w:abstractNumId w:val="5"/>
  </w:num>
  <w:num w:numId="11" w16cid:durableId="1220166904">
    <w:abstractNumId w:val="1"/>
  </w:num>
  <w:num w:numId="12" w16cid:durableId="541405110">
    <w:abstractNumId w:val="0"/>
  </w:num>
  <w:num w:numId="13" w16cid:durableId="545877820">
    <w:abstractNumId w:val="0"/>
  </w:num>
  <w:num w:numId="14" w16cid:durableId="144483924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896235852">
    <w:abstractNumId w:val="8"/>
  </w:num>
  <w:num w:numId="16" w16cid:durableId="2025354698">
    <w:abstractNumId w:val="13"/>
  </w:num>
  <w:num w:numId="17" w16cid:durableId="187927702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23321"/>
    <w:rsid w:val="000259A2"/>
    <w:rsid w:val="00026093"/>
    <w:rsid w:val="000305FB"/>
    <w:rsid w:val="000320E5"/>
    <w:rsid w:val="00032CDF"/>
    <w:rsid w:val="00043CAA"/>
    <w:rsid w:val="00044AA4"/>
    <w:rsid w:val="00047327"/>
    <w:rsid w:val="00055F73"/>
    <w:rsid w:val="00067295"/>
    <w:rsid w:val="00067AE0"/>
    <w:rsid w:val="00067E1A"/>
    <w:rsid w:val="00070AA4"/>
    <w:rsid w:val="000714DA"/>
    <w:rsid w:val="00075432"/>
    <w:rsid w:val="0007684D"/>
    <w:rsid w:val="00084955"/>
    <w:rsid w:val="00085237"/>
    <w:rsid w:val="000968ED"/>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CE"/>
    <w:rsid w:val="001139F0"/>
    <w:rsid w:val="001146BB"/>
    <w:rsid w:val="00115693"/>
    <w:rsid w:val="00124B1A"/>
    <w:rsid w:val="001251D1"/>
    <w:rsid w:val="00126B6F"/>
    <w:rsid w:val="00134368"/>
    <w:rsid w:val="001360FF"/>
    <w:rsid w:val="00136272"/>
    <w:rsid w:val="001362EE"/>
    <w:rsid w:val="00143396"/>
    <w:rsid w:val="00143434"/>
    <w:rsid w:val="00144A55"/>
    <w:rsid w:val="001477A8"/>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97CBF"/>
    <w:rsid w:val="001A0B8F"/>
    <w:rsid w:val="001A1983"/>
    <w:rsid w:val="001A5F0B"/>
    <w:rsid w:val="001A6426"/>
    <w:rsid w:val="001A71D7"/>
    <w:rsid w:val="001B5BC5"/>
    <w:rsid w:val="001B6A44"/>
    <w:rsid w:val="001B7F01"/>
    <w:rsid w:val="001C0FA4"/>
    <w:rsid w:val="001C5540"/>
    <w:rsid w:val="001D2E2F"/>
    <w:rsid w:val="001F3BEE"/>
    <w:rsid w:val="001F47F0"/>
    <w:rsid w:val="00202124"/>
    <w:rsid w:val="00204D15"/>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4B4B"/>
    <w:rsid w:val="00275BE0"/>
    <w:rsid w:val="0028252D"/>
    <w:rsid w:val="0028507D"/>
    <w:rsid w:val="00287817"/>
    <w:rsid w:val="00290B2A"/>
    <w:rsid w:val="002912F3"/>
    <w:rsid w:val="00291EEB"/>
    <w:rsid w:val="002928D3"/>
    <w:rsid w:val="002936BB"/>
    <w:rsid w:val="0029686D"/>
    <w:rsid w:val="002A1D3F"/>
    <w:rsid w:val="002A234C"/>
    <w:rsid w:val="002A40F1"/>
    <w:rsid w:val="002A64AF"/>
    <w:rsid w:val="002B20A3"/>
    <w:rsid w:val="002B4031"/>
    <w:rsid w:val="002B6114"/>
    <w:rsid w:val="002B7317"/>
    <w:rsid w:val="002D4151"/>
    <w:rsid w:val="002E14FC"/>
    <w:rsid w:val="002E3212"/>
    <w:rsid w:val="002F1FE6"/>
    <w:rsid w:val="002F4E68"/>
    <w:rsid w:val="003032C9"/>
    <w:rsid w:val="003068C1"/>
    <w:rsid w:val="00306EEA"/>
    <w:rsid w:val="00312F7F"/>
    <w:rsid w:val="00324FE8"/>
    <w:rsid w:val="00325724"/>
    <w:rsid w:val="0033325E"/>
    <w:rsid w:val="0033734A"/>
    <w:rsid w:val="003379DE"/>
    <w:rsid w:val="0034360D"/>
    <w:rsid w:val="00345D82"/>
    <w:rsid w:val="0035110E"/>
    <w:rsid w:val="00357B3A"/>
    <w:rsid w:val="00361450"/>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F87"/>
    <w:rsid w:val="003A6C84"/>
    <w:rsid w:val="003A6F89"/>
    <w:rsid w:val="003A7118"/>
    <w:rsid w:val="003B38C1"/>
    <w:rsid w:val="003B4E59"/>
    <w:rsid w:val="003B58BD"/>
    <w:rsid w:val="003B6932"/>
    <w:rsid w:val="003C0421"/>
    <w:rsid w:val="003C2534"/>
    <w:rsid w:val="003C323B"/>
    <w:rsid w:val="003D0B9E"/>
    <w:rsid w:val="003D0C09"/>
    <w:rsid w:val="003D57E3"/>
    <w:rsid w:val="003D6FD0"/>
    <w:rsid w:val="003E08B0"/>
    <w:rsid w:val="003E3D76"/>
    <w:rsid w:val="003E4213"/>
    <w:rsid w:val="003E43ED"/>
    <w:rsid w:val="003E6BD5"/>
    <w:rsid w:val="003F08A2"/>
    <w:rsid w:val="003F49F3"/>
    <w:rsid w:val="00401C1B"/>
    <w:rsid w:val="00404914"/>
    <w:rsid w:val="00406039"/>
    <w:rsid w:val="00411E27"/>
    <w:rsid w:val="00414C69"/>
    <w:rsid w:val="004168E5"/>
    <w:rsid w:val="0041784C"/>
    <w:rsid w:val="004219DD"/>
    <w:rsid w:val="004238C9"/>
    <w:rsid w:val="00423E3E"/>
    <w:rsid w:val="00427AF4"/>
    <w:rsid w:val="0043292D"/>
    <w:rsid w:val="00433695"/>
    <w:rsid w:val="00442220"/>
    <w:rsid w:val="004566D9"/>
    <w:rsid w:val="00457762"/>
    <w:rsid w:val="004601C1"/>
    <w:rsid w:val="0046036C"/>
    <w:rsid w:val="004615D2"/>
    <w:rsid w:val="004647DA"/>
    <w:rsid w:val="004654AD"/>
    <w:rsid w:val="00470688"/>
    <w:rsid w:val="00472582"/>
    <w:rsid w:val="00473A12"/>
    <w:rsid w:val="00474062"/>
    <w:rsid w:val="00477D6B"/>
    <w:rsid w:val="00481EEA"/>
    <w:rsid w:val="004853A0"/>
    <w:rsid w:val="00485A19"/>
    <w:rsid w:val="00491D68"/>
    <w:rsid w:val="00495B26"/>
    <w:rsid w:val="004A2F48"/>
    <w:rsid w:val="004A5372"/>
    <w:rsid w:val="004A54AA"/>
    <w:rsid w:val="004A61B8"/>
    <w:rsid w:val="004B26E7"/>
    <w:rsid w:val="004B415E"/>
    <w:rsid w:val="004B5909"/>
    <w:rsid w:val="004C3D68"/>
    <w:rsid w:val="004C4ACD"/>
    <w:rsid w:val="004C6B77"/>
    <w:rsid w:val="004D268E"/>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77C94"/>
    <w:rsid w:val="0058120E"/>
    <w:rsid w:val="00586520"/>
    <w:rsid w:val="005905B7"/>
    <w:rsid w:val="00594180"/>
    <w:rsid w:val="005A245A"/>
    <w:rsid w:val="005B0371"/>
    <w:rsid w:val="005C09C6"/>
    <w:rsid w:val="005C2DA8"/>
    <w:rsid w:val="005C43A6"/>
    <w:rsid w:val="005C6649"/>
    <w:rsid w:val="005C71DD"/>
    <w:rsid w:val="005D532D"/>
    <w:rsid w:val="005D5536"/>
    <w:rsid w:val="005E1D7F"/>
    <w:rsid w:val="005E6685"/>
    <w:rsid w:val="005E69B9"/>
    <w:rsid w:val="005F0588"/>
    <w:rsid w:val="005F4F93"/>
    <w:rsid w:val="005F6088"/>
    <w:rsid w:val="005F733A"/>
    <w:rsid w:val="0060128A"/>
    <w:rsid w:val="00603523"/>
    <w:rsid w:val="00605827"/>
    <w:rsid w:val="00606ED8"/>
    <w:rsid w:val="006129DC"/>
    <w:rsid w:val="006149AA"/>
    <w:rsid w:val="00614F82"/>
    <w:rsid w:val="0061586B"/>
    <w:rsid w:val="00615D9A"/>
    <w:rsid w:val="006166AC"/>
    <w:rsid w:val="0062573E"/>
    <w:rsid w:val="0063142A"/>
    <w:rsid w:val="00631EA5"/>
    <w:rsid w:val="00634C20"/>
    <w:rsid w:val="0063544A"/>
    <w:rsid w:val="00637EE8"/>
    <w:rsid w:val="00646050"/>
    <w:rsid w:val="00650DF9"/>
    <w:rsid w:val="00650F84"/>
    <w:rsid w:val="00652999"/>
    <w:rsid w:val="00653E35"/>
    <w:rsid w:val="00660664"/>
    <w:rsid w:val="006615F4"/>
    <w:rsid w:val="00661D6F"/>
    <w:rsid w:val="00661F18"/>
    <w:rsid w:val="00665171"/>
    <w:rsid w:val="00666635"/>
    <w:rsid w:val="00667545"/>
    <w:rsid w:val="006713CA"/>
    <w:rsid w:val="00671BD2"/>
    <w:rsid w:val="00676C5C"/>
    <w:rsid w:val="00684C9A"/>
    <w:rsid w:val="006851D6"/>
    <w:rsid w:val="0068711D"/>
    <w:rsid w:val="00691777"/>
    <w:rsid w:val="006935A9"/>
    <w:rsid w:val="00694A6A"/>
    <w:rsid w:val="00697CDB"/>
    <w:rsid w:val="006A075B"/>
    <w:rsid w:val="006A3905"/>
    <w:rsid w:val="006A5902"/>
    <w:rsid w:val="006A7AB6"/>
    <w:rsid w:val="006B5BF0"/>
    <w:rsid w:val="006C1677"/>
    <w:rsid w:val="006C6AF1"/>
    <w:rsid w:val="006D3AEE"/>
    <w:rsid w:val="006E1DB2"/>
    <w:rsid w:val="006E6087"/>
    <w:rsid w:val="006F32F9"/>
    <w:rsid w:val="007015C4"/>
    <w:rsid w:val="007210F3"/>
    <w:rsid w:val="00724DAD"/>
    <w:rsid w:val="00726912"/>
    <w:rsid w:val="0073440C"/>
    <w:rsid w:val="00734652"/>
    <w:rsid w:val="00734EA7"/>
    <w:rsid w:val="007356F1"/>
    <w:rsid w:val="00736038"/>
    <w:rsid w:val="00746814"/>
    <w:rsid w:val="007502FD"/>
    <w:rsid w:val="00752BE2"/>
    <w:rsid w:val="00754723"/>
    <w:rsid w:val="00765F15"/>
    <w:rsid w:val="00767C3F"/>
    <w:rsid w:val="00772528"/>
    <w:rsid w:val="007734D2"/>
    <w:rsid w:val="00773B7B"/>
    <w:rsid w:val="00774501"/>
    <w:rsid w:val="00774EB5"/>
    <w:rsid w:val="00777E4D"/>
    <w:rsid w:val="007829B8"/>
    <w:rsid w:val="00783A90"/>
    <w:rsid w:val="007911BB"/>
    <w:rsid w:val="00793BFC"/>
    <w:rsid w:val="007A0CBE"/>
    <w:rsid w:val="007B1727"/>
    <w:rsid w:val="007B6851"/>
    <w:rsid w:val="007B6E36"/>
    <w:rsid w:val="007C1C86"/>
    <w:rsid w:val="007C275D"/>
    <w:rsid w:val="007D0DBE"/>
    <w:rsid w:val="007D1090"/>
    <w:rsid w:val="007D1613"/>
    <w:rsid w:val="007D325E"/>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40CE"/>
    <w:rsid w:val="00830298"/>
    <w:rsid w:val="008451F7"/>
    <w:rsid w:val="00854B4A"/>
    <w:rsid w:val="00866208"/>
    <w:rsid w:val="00872524"/>
    <w:rsid w:val="00872F93"/>
    <w:rsid w:val="00892317"/>
    <w:rsid w:val="008A274F"/>
    <w:rsid w:val="008A3F0A"/>
    <w:rsid w:val="008A7C76"/>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C6C"/>
    <w:rsid w:val="00914EDF"/>
    <w:rsid w:val="00915573"/>
    <w:rsid w:val="00916EE2"/>
    <w:rsid w:val="00925BB5"/>
    <w:rsid w:val="009312A8"/>
    <w:rsid w:val="00931CEC"/>
    <w:rsid w:val="00933B31"/>
    <w:rsid w:val="0093421F"/>
    <w:rsid w:val="009350C5"/>
    <w:rsid w:val="00936764"/>
    <w:rsid w:val="00940899"/>
    <w:rsid w:val="0094732B"/>
    <w:rsid w:val="00952060"/>
    <w:rsid w:val="00953654"/>
    <w:rsid w:val="00956504"/>
    <w:rsid w:val="0096310C"/>
    <w:rsid w:val="0096517D"/>
    <w:rsid w:val="00966A22"/>
    <w:rsid w:val="0096722F"/>
    <w:rsid w:val="00973F6F"/>
    <w:rsid w:val="00976FCA"/>
    <w:rsid w:val="00980843"/>
    <w:rsid w:val="00980EF3"/>
    <w:rsid w:val="00984B0B"/>
    <w:rsid w:val="00984B67"/>
    <w:rsid w:val="00985C53"/>
    <w:rsid w:val="009929BC"/>
    <w:rsid w:val="00994B08"/>
    <w:rsid w:val="00997625"/>
    <w:rsid w:val="009A6DDF"/>
    <w:rsid w:val="009A7F03"/>
    <w:rsid w:val="009B043D"/>
    <w:rsid w:val="009B4D37"/>
    <w:rsid w:val="009C3715"/>
    <w:rsid w:val="009C594D"/>
    <w:rsid w:val="009D4EEC"/>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20970"/>
    <w:rsid w:val="00A274DF"/>
    <w:rsid w:val="00A34447"/>
    <w:rsid w:val="00A3799D"/>
    <w:rsid w:val="00A42DAF"/>
    <w:rsid w:val="00A45BD8"/>
    <w:rsid w:val="00A47185"/>
    <w:rsid w:val="00A51B12"/>
    <w:rsid w:val="00A562AD"/>
    <w:rsid w:val="00A703B9"/>
    <w:rsid w:val="00A72886"/>
    <w:rsid w:val="00A81719"/>
    <w:rsid w:val="00A869B7"/>
    <w:rsid w:val="00A87B6E"/>
    <w:rsid w:val="00AA0246"/>
    <w:rsid w:val="00AB0732"/>
    <w:rsid w:val="00AB10FB"/>
    <w:rsid w:val="00AB1326"/>
    <w:rsid w:val="00AB4066"/>
    <w:rsid w:val="00AC0D01"/>
    <w:rsid w:val="00AC205C"/>
    <w:rsid w:val="00AC3ABE"/>
    <w:rsid w:val="00AC5DF8"/>
    <w:rsid w:val="00AD1C5D"/>
    <w:rsid w:val="00AD22A3"/>
    <w:rsid w:val="00AD5513"/>
    <w:rsid w:val="00AF0A6B"/>
    <w:rsid w:val="00AF16EF"/>
    <w:rsid w:val="00AF7AD8"/>
    <w:rsid w:val="00AF7F5C"/>
    <w:rsid w:val="00B047C7"/>
    <w:rsid w:val="00B05A69"/>
    <w:rsid w:val="00B06D65"/>
    <w:rsid w:val="00B135B8"/>
    <w:rsid w:val="00B1384E"/>
    <w:rsid w:val="00B14F8F"/>
    <w:rsid w:val="00B1533D"/>
    <w:rsid w:val="00B2167E"/>
    <w:rsid w:val="00B23D7D"/>
    <w:rsid w:val="00B24BD6"/>
    <w:rsid w:val="00B377B9"/>
    <w:rsid w:val="00B50A92"/>
    <w:rsid w:val="00B5116B"/>
    <w:rsid w:val="00B51212"/>
    <w:rsid w:val="00B523C2"/>
    <w:rsid w:val="00B54D2E"/>
    <w:rsid w:val="00B71202"/>
    <w:rsid w:val="00B718B9"/>
    <w:rsid w:val="00B73704"/>
    <w:rsid w:val="00B8243F"/>
    <w:rsid w:val="00B9734B"/>
    <w:rsid w:val="00BA7E36"/>
    <w:rsid w:val="00BC0AF3"/>
    <w:rsid w:val="00BC1DFC"/>
    <w:rsid w:val="00BD0A46"/>
    <w:rsid w:val="00BD1276"/>
    <w:rsid w:val="00BD1CDF"/>
    <w:rsid w:val="00BD3100"/>
    <w:rsid w:val="00BD47BF"/>
    <w:rsid w:val="00BD5E62"/>
    <w:rsid w:val="00BD63CA"/>
    <w:rsid w:val="00BE1131"/>
    <w:rsid w:val="00BE25D1"/>
    <w:rsid w:val="00BE74C3"/>
    <w:rsid w:val="00BE7B62"/>
    <w:rsid w:val="00BF333B"/>
    <w:rsid w:val="00C065DD"/>
    <w:rsid w:val="00C11BFE"/>
    <w:rsid w:val="00C16961"/>
    <w:rsid w:val="00C1773F"/>
    <w:rsid w:val="00C17BE5"/>
    <w:rsid w:val="00C21A24"/>
    <w:rsid w:val="00C223B2"/>
    <w:rsid w:val="00C24CEF"/>
    <w:rsid w:val="00C2601F"/>
    <w:rsid w:val="00C2780C"/>
    <w:rsid w:val="00C30DBA"/>
    <w:rsid w:val="00C32541"/>
    <w:rsid w:val="00C34D7E"/>
    <w:rsid w:val="00C47D93"/>
    <w:rsid w:val="00C57076"/>
    <w:rsid w:val="00C61FB6"/>
    <w:rsid w:val="00C66BF1"/>
    <w:rsid w:val="00C70155"/>
    <w:rsid w:val="00C7202A"/>
    <w:rsid w:val="00C77583"/>
    <w:rsid w:val="00C82D55"/>
    <w:rsid w:val="00C83860"/>
    <w:rsid w:val="00C85C98"/>
    <w:rsid w:val="00C9060F"/>
    <w:rsid w:val="00C9183F"/>
    <w:rsid w:val="00C92465"/>
    <w:rsid w:val="00C93C3C"/>
    <w:rsid w:val="00C9667A"/>
    <w:rsid w:val="00CA0830"/>
    <w:rsid w:val="00CA1057"/>
    <w:rsid w:val="00CA350A"/>
    <w:rsid w:val="00CA4D92"/>
    <w:rsid w:val="00CA617B"/>
    <w:rsid w:val="00CA6924"/>
    <w:rsid w:val="00CB5890"/>
    <w:rsid w:val="00CC3127"/>
    <w:rsid w:val="00CD4F8F"/>
    <w:rsid w:val="00CD7087"/>
    <w:rsid w:val="00CE0AF9"/>
    <w:rsid w:val="00CE1D93"/>
    <w:rsid w:val="00CF2FCC"/>
    <w:rsid w:val="00CF62B8"/>
    <w:rsid w:val="00D0661E"/>
    <w:rsid w:val="00D07667"/>
    <w:rsid w:val="00D07E61"/>
    <w:rsid w:val="00D21FED"/>
    <w:rsid w:val="00D2354D"/>
    <w:rsid w:val="00D25F2A"/>
    <w:rsid w:val="00D27695"/>
    <w:rsid w:val="00D313AB"/>
    <w:rsid w:val="00D3387F"/>
    <w:rsid w:val="00D45252"/>
    <w:rsid w:val="00D508C6"/>
    <w:rsid w:val="00D54910"/>
    <w:rsid w:val="00D625B0"/>
    <w:rsid w:val="00D64598"/>
    <w:rsid w:val="00D64921"/>
    <w:rsid w:val="00D666D3"/>
    <w:rsid w:val="00D6710F"/>
    <w:rsid w:val="00D709EE"/>
    <w:rsid w:val="00D71B4D"/>
    <w:rsid w:val="00D71D62"/>
    <w:rsid w:val="00D84EA7"/>
    <w:rsid w:val="00D918CC"/>
    <w:rsid w:val="00D93D55"/>
    <w:rsid w:val="00DA2347"/>
    <w:rsid w:val="00DA4318"/>
    <w:rsid w:val="00DA6220"/>
    <w:rsid w:val="00DA680B"/>
    <w:rsid w:val="00DB1E46"/>
    <w:rsid w:val="00DB2B79"/>
    <w:rsid w:val="00DB4FBC"/>
    <w:rsid w:val="00DB5866"/>
    <w:rsid w:val="00DC37BC"/>
    <w:rsid w:val="00DC7493"/>
    <w:rsid w:val="00DE1B1E"/>
    <w:rsid w:val="00DF6140"/>
    <w:rsid w:val="00E00D5C"/>
    <w:rsid w:val="00E02A47"/>
    <w:rsid w:val="00E056DD"/>
    <w:rsid w:val="00E060B9"/>
    <w:rsid w:val="00E06CC2"/>
    <w:rsid w:val="00E16A07"/>
    <w:rsid w:val="00E22110"/>
    <w:rsid w:val="00E24CB1"/>
    <w:rsid w:val="00E279F0"/>
    <w:rsid w:val="00E31545"/>
    <w:rsid w:val="00E335FE"/>
    <w:rsid w:val="00E33EDD"/>
    <w:rsid w:val="00E344B7"/>
    <w:rsid w:val="00E54E03"/>
    <w:rsid w:val="00E55170"/>
    <w:rsid w:val="00E61529"/>
    <w:rsid w:val="00E71BF7"/>
    <w:rsid w:val="00E82611"/>
    <w:rsid w:val="00E83F24"/>
    <w:rsid w:val="00E844C4"/>
    <w:rsid w:val="00E84730"/>
    <w:rsid w:val="00E8660F"/>
    <w:rsid w:val="00EA76DB"/>
    <w:rsid w:val="00EB1AA2"/>
    <w:rsid w:val="00EB35CC"/>
    <w:rsid w:val="00EB3FCD"/>
    <w:rsid w:val="00EB556E"/>
    <w:rsid w:val="00EC3AA3"/>
    <w:rsid w:val="00EC4E49"/>
    <w:rsid w:val="00ED4471"/>
    <w:rsid w:val="00ED77FB"/>
    <w:rsid w:val="00EE0676"/>
    <w:rsid w:val="00EE3155"/>
    <w:rsid w:val="00EE45FA"/>
    <w:rsid w:val="00EE6AEE"/>
    <w:rsid w:val="00EF0F5B"/>
    <w:rsid w:val="00EF46F5"/>
    <w:rsid w:val="00F03DFA"/>
    <w:rsid w:val="00F061FD"/>
    <w:rsid w:val="00F121C8"/>
    <w:rsid w:val="00F20A79"/>
    <w:rsid w:val="00F2202A"/>
    <w:rsid w:val="00F324CE"/>
    <w:rsid w:val="00F34FB9"/>
    <w:rsid w:val="00F37314"/>
    <w:rsid w:val="00F41330"/>
    <w:rsid w:val="00F46CF9"/>
    <w:rsid w:val="00F52E6C"/>
    <w:rsid w:val="00F55529"/>
    <w:rsid w:val="00F61DF9"/>
    <w:rsid w:val="00F66152"/>
    <w:rsid w:val="00F756FC"/>
    <w:rsid w:val="00F77809"/>
    <w:rsid w:val="00F871FD"/>
    <w:rsid w:val="00F92AEE"/>
    <w:rsid w:val="00F9637C"/>
    <w:rsid w:val="00F9747D"/>
    <w:rsid w:val="00FA030E"/>
    <w:rsid w:val="00FA2F1F"/>
    <w:rsid w:val="00FA7A14"/>
    <w:rsid w:val="00FB2D06"/>
    <w:rsid w:val="00FB3A2B"/>
    <w:rsid w:val="00FB4A6B"/>
    <w:rsid w:val="00FB4E0D"/>
    <w:rsid w:val="00FB7269"/>
    <w:rsid w:val="00FC1C92"/>
    <w:rsid w:val="00FC692B"/>
    <w:rsid w:val="00FD2F8B"/>
    <w:rsid w:val="00FE1139"/>
    <w:rsid w:val="00FE2A83"/>
    <w:rsid w:val="00FE7F97"/>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standards/en/part_07.html" TargetMode="External"/><Relationship Id="rId4" Type="http://schemas.openxmlformats.org/officeDocument/2006/relationships/settings" Target="settings.xml"/><Relationship Id="rId9" Type="http://schemas.openxmlformats.org/officeDocument/2006/relationships/hyperlink" Target="https://www.wipo.int/standards/en/part_07.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C5A6A-9147-4E35-BCA3-FC9B1BA0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CWS/11/12 (in English)</vt:lpstr>
    </vt:vector>
  </TitlesOfParts>
  <Company>WIPO</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CWS/11/12 (in English)</dc:title>
  <dc:creator>WIPO</dc:creator>
  <cp:keywords>FOR OFFICIAL USE ONLY</cp:keywords>
  <dc:description/>
  <cp:lastModifiedBy>SEILER Joséphine</cp:lastModifiedBy>
  <cp:revision>23</cp:revision>
  <cp:lastPrinted>2023-10-18T08:38:00Z</cp:lastPrinted>
  <dcterms:created xsi:type="dcterms:W3CDTF">2023-10-14T09:01:00Z</dcterms:created>
  <dcterms:modified xsi:type="dcterms:W3CDTF">2023-10-18T08:42:00Z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