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C87A3" w14:textId="77777777" w:rsidR="008B2CC1" w:rsidRPr="00F043DE" w:rsidRDefault="00B92F1F" w:rsidP="00846CF6">
      <w:pPr>
        <w:pBdr>
          <w:bottom w:val="single" w:sz="4" w:space="11" w:color="auto"/>
        </w:pBdr>
        <w:spacing w:after="120"/>
        <w:jc w:val="right"/>
        <w:rPr>
          <w:b/>
          <w:sz w:val="32"/>
          <w:szCs w:val="40"/>
        </w:rPr>
      </w:pPr>
      <w:r>
        <w:rPr>
          <w:noProof/>
          <w:sz w:val="28"/>
          <w:szCs w:val="28"/>
        </w:rPr>
        <w:drawing>
          <wp:inline distT="0" distB="0" distL="0" distR="0" wp14:anchorId="26005AD9" wp14:editId="76AA07E7">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BFC4354" w14:textId="77777777" w:rsidR="008B2CC1" w:rsidRPr="002326AB" w:rsidRDefault="00D05A1A" w:rsidP="00EB2F76">
      <w:pPr>
        <w:jc w:val="right"/>
        <w:rPr>
          <w:rFonts w:ascii="Arial Black" w:hAnsi="Arial Black"/>
          <w:caps/>
          <w:sz w:val="15"/>
          <w:szCs w:val="15"/>
        </w:rPr>
      </w:pPr>
      <w:r>
        <w:rPr>
          <w:rFonts w:ascii="Arial Black" w:hAnsi="Arial Black"/>
          <w:caps/>
          <w:sz w:val="15"/>
          <w:szCs w:val="15"/>
        </w:rPr>
        <w:t>CWs/10</w:t>
      </w:r>
      <w:r w:rsidR="00846CF6">
        <w:rPr>
          <w:rFonts w:ascii="Arial Black" w:hAnsi="Arial Black"/>
          <w:caps/>
          <w:sz w:val="15"/>
          <w:szCs w:val="15"/>
        </w:rPr>
        <w:t>/</w:t>
      </w:r>
      <w:bookmarkStart w:id="0" w:name="Code"/>
      <w:bookmarkEnd w:id="0"/>
      <w:r w:rsidR="00E42FB8">
        <w:rPr>
          <w:rFonts w:ascii="Arial Black" w:hAnsi="Arial Black"/>
          <w:caps/>
          <w:sz w:val="15"/>
          <w:szCs w:val="15"/>
        </w:rPr>
        <w:t>2</w:t>
      </w:r>
    </w:p>
    <w:p w14:paraId="27AFDE2C"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2E585B">
        <w:rPr>
          <w:rFonts w:ascii="Arial Black" w:hAnsi="Arial Black"/>
          <w:caps/>
          <w:sz w:val="15"/>
          <w:szCs w:val="15"/>
        </w:rPr>
        <w:t>english</w:t>
      </w:r>
    </w:p>
    <w:bookmarkEnd w:id="1"/>
    <w:p w14:paraId="20EB0851" w14:textId="6FDA0174"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4167C6" w:rsidRPr="00450D1E">
        <w:rPr>
          <w:rFonts w:ascii="Arial Black" w:hAnsi="Arial Black"/>
          <w:caps/>
          <w:sz w:val="15"/>
          <w:szCs w:val="15"/>
        </w:rPr>
        <w:t>september</w:t>
      </w:r>
      <w:r w:rsidR="00D53CBA" w:rsidRPr="00450D1E">
        <w:rPr>
          <w:rFonts w:ascii="Arial Black" w:hAnsi="Arial Black"/>
          <w:caps/>
          <w:sz w:val="15"/>
          <w:szCs w:val="15"/>
        </w:rPr>
        <w:t xml:space="preserve"> </w:t>
      </w:r>
      <w:r w:rsidR="00450D1E" w:rsidRPr="00450D1E">
        <w:rPr>
          <w:rFonts w:ascii="Arial Black" w:hAnsi="Arial Black"/>
          <w:caps/>
          <w:sz w:val="15"/>
          <w:szCs w:val="15"/>
        </w:rPr>
        <w:t>26</w:t>
      </w:r>
      <w:r w:rsidR="00D05A1A">
        <w:rPr>
          <w:rFonts w:ascii="Arial Black" w:hAnsi="Arial Black"/>
          <w:caps/>
          <w:sz w:val="15"/>
          <w:szCs w:val="15"/>
        </w:rPr>
        <w:t>, 2022</w:t>
      </w:r>
    </w:p>
    <w:bookmarkEnd w:id="2"/>
    <w:p w14:paraId="73AAC618" w14:textId="77777777" w:rsidR="008B2CC1" w:rsidRPr="002E585B" w:rsidRDefault="00E45755" w:rsidP="00720EFD">
      <w:pPr>
        <w:pStyle w:val="Heading1"/>
        <w:spacing w:before="0" w:after="480"/>
        <w:rPr>
          <w:sz w:val="36"/>
          <w:szCs w:val="28"/>
        </w:rPr>
      </w:pPr>
      <w:r w:rsidRPr="002E585B">
        <w:rPr>
          <w:caps w:val="0"/>
          <w:sz w:val="28"/>
        </w:rPr>
        <w:t xml:space="preserve">Committee on WIPO Standards </w:t>
      </w:r>
      <w:r w:rsidRPr="002E585B">
        <w:rPr>
          <w:sz w:val="28"/>
        </w:rPr>
        <w:t>(CWS)</w:t>
      </w:r>
    </w:p>
    <w:p w14:paraId="797E692C" w14:textId="77777777" w:rsidR="00E45755" w:rsidRPr="00846CF6" w:rsidRDefault="00D05A1A" w:rsidP="00E45755">
      <w:pPr>
        <w:outlineLvl w:val="1"/>
        <w:rPr>
          <w:b/>
          <w:sz w:val="24"/>
          <w:szCs w:val="24"/>
        </w:rPr>
      </w:pPr>
      <w:r>
        <w:rPr>
          <w:b/>
          <w:sz w:val="24"/>
          <w:szCs w:val="24"/>
        </w:rPr>
        <w:t>Te</w:t>
      </w:r>
      <w:r w:rsidR="00E45755" w:rsidRPr="00846CF6">
        <w:rPr>
          <w:b/>
          <w:sz w:val="24"/>
          <w:szCs w:val="24"/>
        </w:rPr>
        <w:t>nth Session</w:t>
      </w:r>
    </w:p>
    <w:p w14:paraId="0195B0E7" w14:textId="77777777" w:rsidR="008B2CC1" w:rsidRPr="003845C1" w:rsidRDefault="00846CF6" w:rsidP="00F9165B">
      <w:pPr>
        <w:spacing w:after="720"/>
        <w:outlineLvl w:val="1"/>
        <w:rPr>
          <w:b/>
          <w:sz w:val="24"/>
          <w:szCs w:val="24"/>
        </w:rPr>
      </w:pPr>
      <w:r w:rsidRPr="00846CF6">
        <w:rPr>
          <w:b/>
          <w:sz w:val="24"/>
          <w:szCs w:val="24"/>
        </w:rPr>
        <w:t xml:space="preserve">Geneva, November </w:t>
      </w:r>
      <w:r w:rsidR="00D05A1A">
        <w:rPr>
          <w:b/>
          <w:sz w:val="24"/>
          <w:szCs w:val="24"/>
        </w:rPr>
        <w:t>2</w:t>
      </w:r>
      <w:r w:rsidRPr="00846CF6">
        <w:rPr>
          <w:b/>
          <w:sz w:val="24"/>
          <w:szCs w:val="24"/>
        </w:rPr>
        <w:t xml:space="preserve">1 to </w:t>
      </w:r>
      <w:r w:rsidR="00D05A1A">
        <w:rPr>
          <w:b/>
          <w:sz w:val="24"/>
          <w:szCs w:val="24"/>
        </w:rPr>
        <w:t>25, 2022</w:t>
      </w:r>
    </w:p>
    <w:p w14:paraId="66B04164" w14:textId="77777777" w:rsidR="004F4293" w:rsidRDefault="00E42FB8" w:rsidP="004F4293">
      <w:pPr>
        <w:rPr>
          <w:caps/>
          <w:sz w:val="24"/>
        </w:rPr>
      </w:pPr>
      <w:bookmarkStart w:id="3" w:name="Prepared"/>
      <w:bookmarkEnd w:id="3"/>
      <w:r w:rsidRPr="00E42FB8">
        <w:rPr>
          <w:caps/>
          <w:sz w:val="24"/>
        </w:rPr>
        <w:t>Organizational matters and special rules of procedures</w:t>
      </w:r>
    </w:p>
    <w:p w14:paraId="12C9915E" w14:textId="77777777" w:rsidR="004F4293" w:rsidRDefault="004F4293" w:rsidP="004F4293">
      <w:pPr>
        <w:rPr>
          <w:caps/>
          <w:sz w:val="24"/>
        </w:rPr>
      </w:pPr>
    </w:p>
    <w:p w14:paraId="59DA81A3" w14:textId="77777777" w:rsidR="002928D3" w:rsidRPr="00F9165B" w:rsidRDefault="002E585B" w:rsidP="001D4107">
      <w:pPr>
        <w:spacing w:after="1040"/>
        <w:rPr>
          <w:i/>
        </w:rPr>
      </w:pPr>
      <w:r>
        <w:rPr>
          <w:i/>
        </w:rPr>
        <w:t xml:space="preserve">Document prepared by the </w:t>
      </w:r>
      <w:r w:rsidR="0034720B">
        <w:rPr>
          <w:i/>
        </w:rPr>
        <w:t>Secretariat</w:t>
      </w:r>
    </w:p>
    <w:p w14:paraId="2EAC36CA" w14:textId="77777777" w:rsidR="002E585B" w:rsidRDefault="002E585B" w:rsidP="002E585B">
      <w:pPr>
        <w:pStyle w:val="Heading2"/>
        <w:spacing w:before="0"/>
        <w:rPr>
          <w:rFonts w:eastAsia="Malgun Gothic"/>
          <w:caps w:val="0"/>
          <w:szCs w:val="22"/>
        </w:rPr>
      </w:pPr>
      <w:r>
        <w:rPr>
          <w:rFonts w:eastAsia="Malgun Gothic"/>
          <w:caps w:val="0"/>
          <w:szCs w:val="22"/>
        </w:rPr>
        <w:t>BACKGROUND</w:t>
      </w:r>
    </w:p>
    <w:p w14:paraId="1FBE9E6E" w14:textId="03A2710B" w:rsidR="0034720B" w:rsidRPr="001F06C7" w:rsidRDefault="002E585B" w:rsidP="0034720B">
      <w:pPr>
        <w:pStyle w:val="BodyText"/>
      </w:pPr>
      <w:r>
        <w:rPr>
          <w:lang w:eastAsia="en-US"/>
        </w:rPr>
        <w:fldChar w:fldCharType="begin"/>
      </w:r>
      <w:r>
        <w:rPr>
          <w:lang w:eastAsia="en-US"/>
        </w:rPr>
        <w:instrText xml:space="preserve"> AUTONUM  </w:instrText>
      </w:r>
      <w:r>
        <w:rPr>
          <w:lang w:eastAsia="en-US"/>
        </w:rPr>
        <w:fldChar w:fldCharType="end"/>
      </w:r>
      <w:r>
        <w:rPr>
          <w:lang w:eastAsia="en-US"/>
        </w:rPr>
        <w:tab/>
      </w:r>
      <w:r w:rsidR="0034720B" w:rsidRPr="001F06C7">
        <w:t>The WIPO General Assembly, at its thirty</w:t>
      </w:r>
      <w:r w:rsidR="0034720B">
        <w:noBreakHyphen/>
      </w:r>
      <w:r w:rsidR="0034720B" w:rsidRPr="001F06C7">
        <w:t>eighth session in September</w:t>
      </w:r>
      <w:r w:rsidR="00266080">
        <w:t xml:space="preserve"> </w:t>
      </w:r>
      <w:r w:rsidR="0034720B" w:rsidRPr="001F06C7">
        <w:t xml:space="preserve">2009, approved the creation of the Committee on WIPO Standards (CWS).  </w:t>
      </w:r>
      <w:r w:rsidR="0034720B" w:rsidRPr="006908B0">
        <w:t>The CWS replace</w:t>
      </w:r>
      <w:r w:rsidR="00B719F4">
        <w:t>d</w:t>
      </w:r>
      <w:r w:rsidR="0034720B" w:rsidRPr="006908B0">
        <w:t xml:space="preserve"> the Standards and Documentation Working Group (SDWG) of the Standing Committee on Information Technologies (SCIT).  </w:t>
      </w:r>
      <w:r w:rsidR="0034720B" w:rsidRPr="001F06C7">
        <w:t xml:space="preserve">The </w:t>
      </w:r>
      <w:r w:rsidR="004F36BE">
        <w:t xml:space="preserve">former </w:t>
      </w:r>
      <w:r w:rsidR="0034720B" w:rsidRPr="001F06C7">
        <w:t xml:space="preserve">SCIT working methods and procedures </w:t>
      </w:r>
      <w:r w:rsidR="00DC68D0">
        <w:t xml:space="preserve">should </w:t>
      </w:r>
      <w:r w:rsidR="0034720B" w:rsidRPr="001F06C7">
        <w:t>be</w:t>
      </w:r>
      <w:r w:rsidR="00DC68D0">
        <w:t xml:space="preserve"> </w:t>
      </w:r>
      <w:r w:rsidR="0034720B" w:rsidRPr="001F06C7">
        <w:t>applied to the CWS</w:t>
      </w:r>
      <w:r w:rsidR="00DC68D0">
        <w:t xml:space="preserve"> with necessary changes while main points remain</w:t>
      </w:r>
      <w:r w:rsidR="0034720B" w:rsidRPr="001F06C7">
        <w:t xml:space="preserve">.  </w:t>
      </w:r>
      <w:r w:rsidR="0034720B">
        <w:t>In principle, t</w:t>
      </w:r>
      <w:r w:rsidR="0034720B" w:rsidRPr="001F06C7">
        <w:t xml:space="preserve">he CWS </w:t>
      </w:r>
      <w:r w:rsidR="0034720B">
        <w:t>is to</w:t>
      </w:r>
      <w:r w:rsidR="0034720B" w:rsidRPr="001F06C7">
        <w:t xml:space="preserve"> be convened once a year.  (See document WO/GA/38/10 and paragraphs</w:t>
      </w:r>
      <w:r w:rsidR="0034720B">
        <w:t> </w:t>
      </w:r>
      <w:r w:rsidR="0034720B" w:rsidRPr="001F06C7">
        <w:t>236 to</w:t>
      </w:r>
      <w:r w:rsidR="0034720B">
        <w:t> </w:t>
      </w:r>
      <w:r w:rsidR="0034720B" w:rsidRPr="001F06C7">
        <w:t>249 of document WO/GA/38/20.)</w:t>
      </w:r>
    </w:p>
    <w:p w14:paraId="53C53290" w14:textId="39E56CB9" w:rsidR="0034720B" w:rsidRPr="00FE65E7" w:rsidRDefault="0034720B" w:rsidP="00FE65E7">
      <w:pPr>
        <w:pStyle w:val="Default"/>
        <w:spacing w:after="220"/>
        <w:rPr>
          <w:sz w:val="22"/>
          <w:szCs w:val="22"/>
        </w:rPr>
      </w:pPr>
      <w:r>
        <w:fldChar w:fldCharType="begin"/>
      </w:r>
      <w:r>
        <w:instrText xml:space="preserve"> AUTONUM  </w:instrText>
      </w:r>
      <w:r>
        <w:fldChar w:fldCharType="end"/>
      </w:r>
      <w:r>
        <w:tab/>
        <w:t>T</w:t>
      </w:r>
      <w:r>
        <w:rPr>
          <w:sz w:val="22"/>
          <w:szCs w:val="22"/>
        </w:rPr>
        <w:t xml:space="preserve">he WIPO General Assembly, at its fortieth session in September 2011, clarified the mandate of the CWS (see document WO/GA/40/17) as follows: </w:t>
      </w:r>
    </w:p>
    <w:p w14:paraId="4F31B287" w14:textId="77777777" w:rsidR="0034720B" w:rsidRDefault="0034720B" w:rsidP="009D060A">
      <w:pPr>
        <w:pStyle w:val="BodyText"/>
        <w:ind w:left="560"/>
        <w:rPr>
          <w:color w:val="000000"/>
          <w:szCs w:val="22"/>
        </w:rPr>
      </w:pPr>
      <w:r>
        <w:rPr>
          <w:color w:val="000000"/>
          <w:szCs w:val="22"/>
        </w:rPr>
        <w:t>“The WIPO General Assembly reaffirmed and clarified its decision regarding the creation and mandate of the CWS at its 38</w:t>
      </w:r>
      <w:r>
        <w:rPr>
          <w:color w:val="000000"/>
          <w:sz w:val="14"/>
          <w:szCs w:val="14"/>
        </w:rPr>
        <w:t xml:space="preserve">th </w:t>
      </w:r>
      <w:r>
        <w:rPr>
          <w:color w:val="000000"/>
          <w:szCs w:val="22"/>
        </w:rPr>
        <w:t xml:space="preserve">session in 2009, as contained in paragraph 249 of document WO/GA/38/20. The WIPO General Assembly also confirmed and clarified that the core mandate is that which is contained in paragraphs 11 to 16 of document WO/GA/38/10, and further agreed that, upon request from Member States, the Secretariat will endeavor to provide technical advice and assistance for capacity building to IP Offices by undertaking projects regarding dissemination of IP standards information. The Secretariat will provide regular written reports to the CWS on the details of such activities, as well as any other technical assistance and capacity-building activities that it undertakes in connection with the mandate, and provide the same to the General Assembly. The WIPO General Assembly decided that in order to encourage and facilitate the participation of technical experts from developing countries and LDCs in CWS meetings, the Secretariat will extend funding assistance for the participation of LDCs and developing </w:t>
      </w:r>
      <w:r>
        <w:rPr>
          <w:color w:val="000000"/>
          <w:szCs w:val="22"/>
        </w:rPr>
        <w:lastRenderedPageBreak/>
        <w:t xml:space="preserve">countries, within existing budgetary resources.” (See paragraphs 182 to 190 of document WO/GA/40/19.) </w:t>
      </w:r>
    </w:p>
    <w:p w14:paraId="1E41DDA3" w14:textId="49D5E915" w:rsidR="000E3A98" w:rsidRDefault="0034720B" w:rsidP="009D060A">
      <w:pPr>
        <w:pStyle w:val="Default"/>
        <w:spacing w:after="220"/>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t xml:space="preserve">When the CWS met at its first and second sessions in 2010 and 2011, the CWS considered proposals on Organizational Matters and Special Rules of Procedure, including the mandate of the CWS, as reproduced in the Annex to documents CWS/1/2 and CWS/2/2. </w:t>
      </w:r>
      <w:r w:rsidR="00B719F4">
        <w:rPr>
          <w:sz w:val="22"/>
          <w:szCs w:val="22"/>
        </w:rPr>
        <w:t xml:space="preserve"> As </w:t>
      </w:r>
      <w:r w:rsidR="00B719F4" w:rsidRPr="00B719F4">
        <w:rPr>
          <w:sz w:val="22"/>
          <w:szCs w:val="22"/>
        </w:rPr>
        <w:t xml:space="preserve">the organizational </w:t>
      </w:r>
      <w:r w:rsidR="00B719F4">
        <w:rPr>
          <w:sz w:val="22"/>
          <w:szCs w:val="22"/>
        </w:rPr>
        <w:t>m</w:t>
      </w:r>
      <w:r w:rsidR="00B719F4" w:rsidRPr="00B719F4">
        <w:rPr>
          <w:sz w:val="22"/>
          <w:szCs w:val="22"/>
        </w:rPr>
        <w:t xml:space="preserve">atters and </w:t>
      </w:r>
      <w:r w:rsidR="00B719F4">
        <w:rPr>
          <w:sz w:val="22"/>
          <w:szCs w:val="22"/>
        </w:rPr>
        <w:t>s</w:t>
      </w:r>
      <w:r w:rsidR="00B719F4" w:rsidRPr="00B719F4">
        <w:rPr>
          <w:sz w:val="22"/>
          <w:szCs w:val="22"/>
        </w:rPr>
        <w:t xml:space="preserve">pecial </w:t>
      </w:r>
      <w:r w:rsidR="00B719F4">
        <w:rPr>
          <w:sz w:val="22"/>
          <w:szCs w:val="22"/>
        </w:rPr>
        <w:t>r</w:t>
      </w:r>
      <w:r w:rsidR="00B719F4" w:rsidRPr="00B719F4">
        <w:rPr>
          <w:sz w:val="22"/>
          <w:szCs w:val="22"/>
        </w:rPr>
        <w:t xml:space="preserve">ules of </w:t>
      </w:r>
      <w:r w:rsidR="00B719F4">
        <w:rPr>
          <w:sz w:val="22"/>
          <w:szCs w:val="22"/>
        </w:rPr>
        <w:t>p</w:t>
      </w:r>
      <w:r w:rsidR="00B719F4" w:rsidRPr="00B719F4">
        <w:rPr>
          <w:sz w:val="22"/>
          <w:szCs w:val="22"/>
        </w:rPr>
        <w:t xml:space="preserve">rocedure </w:t>
      </w:r>
      <w:r w:rsidR="00B719F4">
        <w:rPr>
          <w:sz w:val="22"/>
          <w:szCs w:val="22"/>
        </w:rPr>
        <w:t>w</w:t>
      </w:r>
      <w:r w:rsidR="009C4589">
        <w:rPr>
          <w:sz w:val="22"/>
          <w:szCs w:val="22"/>
        </w:rPr>
        <w:t>ere</w:t>
      </w:r>
      <w:r w:rsidR="00B719F4">
        <w:rPr>
          <w:sz w:val="22"/>
          <w:szCs w:val="22"/>
        </w:rPr>
        <w:t xml:space="preserve"> not adopted, the CWS has worked on the basis of WIPO General Rules of Procedures (GRP) and the practices of the former SCIT and the former SDWG</w:t>
      </w:r>
      <w:r w:rsidR="000E3A98">
        <w:rPr>
          <w:sz w:val="22"/>
          <w:szCs w:val="22"/>
        </w:rPr>
        <w:t xml:space="preserve"> (see paragraph 15 of document CWS/2/14)</w:t>
      </w:r>
      <w:r w:rsidR="00B719F4">
        <w:rPr>
          <w:sz w:val="22"/>
          <w:szCs w:val="22"/>
        </w:rPr>
        <w:t>.</w:t>
      </w:r>
    </w:p>
    <w:p w14:paraId="2D493A94" w14:textId="56B89AEA" w:rsidR="000E3A98" w:rsidRDefault="006E3C5B" w:rsidP="0034720B">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0E3A98">
        <w:rPr>
          <w:sz w:val="22"/>
          <w:szCs w:val="22"/>
        </w:rPr>
        <w:t xml:space="preserve">The </w:t>
      </w:r>
      <w:hyperlink r:id="rId9" w:history="1">
        <w:r w:rsidR="000E3A98" w:rsidRPr="000E3A98">
          <w:rPr>
            <w:rStyle w:val="Hyperlink"/>
            <w:sz w:val="22"/>
            <w:szCs w:val="22"/>
          </w:rPr>
          <w:t>Report on Evaluation of WIPO Standing Committees</w:t>
        </w:r>
      </w:hyperlink>
      <w:r w:rsidR="00477841">
        <w:rPr>
          <w:rStyle w:val="Hyperlink"/>
          <w:sz w:val="22"/>
          <w:szCs w:val="22"/>
        </w:rPr>
        <w:t xml:space="preserve"> prepared by the Internal Oversight Division</w:t>
      </w:r>
      <w:r w:rsidR="000E3A98">
        <w:rPr>
          <w:sz w:val="22"/>
          <w:szCs w:val="22"/>
        </w:rPr>
        <w:t xml:space="preserve"> provides six recommendations and Recommendation </w:t>
      </w:r>
      <w:r w:rsidR="002766E3">
        <w:rPr>
          <w:sz w:val="22"/>
          <w:szCs w:val="22"/>
        </w:rPr>
        <w:t>two</w:t>
      </w:r>
      <w:r w:rsidR="000E3A98">
        <w:rPr>
          <w:sz w:val="22"/>
          <w:szCs w:val="22"/>
        </w:rPr>
        <w:t xml:space="preserve"> </w:t>
      </w:r>
      <w:r>
        <w:rPr>
          <w:sz w:val="22"/>
          <w:szCs w:val="22"/>
        </w:rPr>
        <w:t xml:space="preserve">says </w:t>
      </w:r>
      <w:r w:rsidRPr="006E3C5B">
        <w:rPr>
          <w:sz w:val="22"/>
          <w:szCs w:val="22"/>
        </w:rPr>
        <w:t>“Compile Standing Committee procedures as a way to clarify roles and processes.</w:t>
      </w:r>
      <w:r>
        <w:rPr>
          <w:sz w:val="22"/>
          <w:szCs w:val="22"/>
        </w:rPr>
        <w:t xml:space="preserve">”  However no clear documentation on the organizational matters and procedures of the CWS is available for </w:t>
      </w:r>
      <w:r w:rsidRPr="000E3A98">
        <w:rPr>
          <w:sz w:val="22"/>
          <w:szCs w:val="22"/>
        </w:rPr>
        <w:t>Member States and</w:t>
      </w:r>
      <w:r>
        <w:rPr>
          <w:sz w:val="22"/>
          <w:szCs w:val="22"/>
        </w:rPr>
        <w:t xml:space="preserve"> O</w:t>
      </w:r>
      <w:r w:rsidRPr="000E3A98">
        <w:rPr>
          <w:sz w:val="22"/>
          <w:szCs w:val="22"/>
        </w:rPr>
        <w:t>bservers</w:t>
      </w:r>
      <w:r w:rsidR="000E3A98">
        <w:rPr>
          <w:sz w:val="22"/>
          <w:szCs w:val="22"/>
        </w:rPr>
        <w:t>.</w:t>
      </w:r>
    </w:p>
    <w:p w14:paraId="6616F3BC" w14:textId="2BEB08E0" w:rsidR="0034720B" w:rsidRPr="00FE65E7" w:rsidRDefault="0034720B" w:rsidP="00FE65E7">
      <w:pPr>
        <w:pStyle w:val="Heading2"/>
      </w:pPr>
      <w:r>
        <w:t>Proposal for Organizational Matters and Special Rules of Procedure</w:t>
      </w:r>
    </w:p>
    <w:p w14:paraId="7820742D" w14:textId="75DC2E7F" w:rsidR="002F7453" w:rsidRDefault="0034720B" w:rsidP="00FE65E7">
      <w:pPr>
        <w:pStyle w:val="Default"/>
        <w:spacing w:after="220"/>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B719F4">
        <w:rPr>
          <w:sz w:val="22"/>
          <w:szCs w:val="22"/>
        </w:rPr>
        <w:t>Even though the GRP provides general guidelines for the works of the CWS, it does not cover the speci</w:t>
      </w:r>
      <w:r w:rsidR="002F7453">
        <w:rPr>
          <w:sz w:val="22"/>
          <w:szCs w:val="22"/>
        </w:rPr>
        <w:t>fic procedures only for the CWS</w:t>
      </w:r>
      <w:r w:rsidR="009C4589">
        <w:rPr>
          <w:sz w:val="22"/>
          <w:szCs w:val="22"/>
        </w:rPr>
        <w:t>,</w:t>
      </w:r>
      <w:r w:rsidR="002F7453">
        <w:rPr>
          <w:sz w:val="22"/>
          <w:szCs w:val="22"/>
        </w:rPr>
        <w:t xml:space="preserve"> such as membership and working methods of the CWS.  Due to specific procedures which are not provided in the GRP, each </w:t>
      </w:r>
      <w:r w:rsidR="00B719F4">
        <w:rPr>
          <w:sz w:val="22"/>
          <w:szCs w:val="22"/>
        </w:rPr>
        <w:t xml:space="preserve">WIPO Standing </w:t>
      </w:r>
      <w:r w:rsidR="002F7453">
        <w:rPr>
          <w:sz w:val="22"/>
          <w:szCs w:val="22"/>
        </w:rPr>
        <w:t xml:space="preserve">Committee, i.e., </w:t>
      </w:r>
      <w:r w:rsidR="00DC68D0" w:rsidRPr="00DC68D0">
        <w:rPr>
          <w:sz w:val="22"/>
          <w:szCs w:val="22"/>
        </w:rPr>
        <w:t>Standing Committee on Copyright and Related Rights (SCCR)</w:t>
      </w:r>
      <w:r w:rsidR="00FE65E7" w:rsidRPr="00DC68D0">
        <w:rPr>
          <w:sz w:val="22"/>
          <w:szCs w:val="22"/>
        </w:rPr>
        <w:t>,</w:t>
      </w:r>
      <w:r w:rsidR="002F7453">
        <w:rPr>
          <w:sz w:val="22"/>
          <w:szCs w:val="22"/>
        </w:rPr>
        <w:t xml:space="preserve"> </w:t>
      </w:r>
      <w:r w:rsidR="00DC68D0" w:rsidRPr="00DC68D0">
        <w:rPr>
          <w:sz w:val="22"/>
          <w:szCs w:val="22"/>
        </w:rPr>
        <w:t>Standing Committee on the Law of Patents (SCP)</w:t>
      </w:r>
      <w:r w:rsidR="002F7453">
        <w:rPr>
          <w:sz w:val="22"/>
          <w:szCs w:val="22"/>
        </w:rPr>
        <w:t xml:space="preserve"> and </w:t>
      </w:r>
      <w:r w:rsidR="00DC68D0" w:rsidRPr="00DC68D0">
        <w:rPr>
          <w:sz w:val="22"/>
          <w:szCs w:val="22"/>
        </w:rPr>
        <w:t>Standing Committee on the Law of Trademarks, Industrial Designs and Geographical Indications (SCT)</w:t>
      </w:r>
      <w:r w:rsidR="002F7453">
        <w:rPr>
          <w:sz w:val="22"/>
          <w:szCs w:val="22"/>
        </w:rPr>
        <w:t xml:space="preserve">, has its own special rules of procedures. </w:t>
      </w:r>
    </w:p>
    <w:p w14:paraId="2F03769D" w14:textId="1A58D5F7" w:rsidR="00180BC3" w:rsidRDefault="00180BC3" w:rsidP="00FE65E7">
      <w:pPr>
        <w:pStyle w:val="Default"/>
        <w:spacing w:after="220"/>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A90362">
        <w:rPr>
          <w:sz w:val="22"/>
          <w:szCs w:val="22"/>
        </w:rPr>
        <w:t>A proposal for the organizational matters and special rules of procedure, including the mandate and working methods, related to this Committee is reproduced in t</w:t>
      </w:r>
      <w:r w:rsidR="0034720B">
        <w:rPr>
          <w:sz w:val="22"/>
          <w:szCs w:val="22"/>
        </w:rPr>
        <w:t>he Annex to the present document for consideration by the CWS</w:t>
      </w:r>
      <w:r w:rsidR="00A90362">
        <w:rPr>
          <w:sz w:val="22"/>
          <w:szCs w:val="22"/>
        </w:rPr>
        <w:t xml:space="preserve">.  The proposal is based on previous proposals presented to the first and second sessions of the CWS, including the decisions of the WIPO General Assembly described above.  </w:t>
      </w:r>
      <w:r w:rsidR="0034720B">
        <w:rPr>
          <w:sz w:val="22"/>
          <w:szCs w:val="22"/>
        </w:rPr>
        <w:t xml:space="preserve">This proposal also reflects </w:t>
      </w:r>
      <w:r w:rsidR="002F7453">
        <w:rPr>
          <w:sz w:val="22"/>
          <w:szCs w:val="22"/>
        </w:rPr>
        <w:t xml:space="preserve">the current practices of the CWS since the first session of the CWS. </w:t>
      </w:r>
      <w:r w:rsidR="0034720B">
        <w:rPr>
          <w:sz w:val="22"/>
          <w:szCs w:val="22"/>
        </w:rPr>
        <w:t xml:space="preserve"> </w:t>
      </w:r>
    </w:p>
    <w:p w14:paraId="32EA35A9" w14:textId="15654185" w:rsidR="0034720B" w:rsidRDefault="00180BC3" w:rsidP="0034720B">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2F7453">
        <w:rPr>
          <w:sz w:val="22"/>
          <w:szCs w:val="22"/>
        </w:rPr>
        <w:t xml:space="preserve">In </w:t>
      </w:r>
      <w:r w:rsidR="00B8287D">
        <w:rPr>
          <w:sz w:val="22"/>
          <w:szCs w:val="22"/>
        </w:rPr>
        <w:t>particular</w:t>
      </w:r>
      <w:r w:rsidR="002F7453">
        <w:rPr>
          <w:sz w:val="22"/>
          <w:szCs w:val="22"/>
        </w:rPr>
        <w:t xml:space="preserve">, </w:t>
      </w:r>
      <w:r w:rsidR="00A90362">
        <w:rPr>
          <w:sz w:val="22"/>
          <w:szCs w:val="22"/>
        </w:rPr>
        <w:t>the mandate of the CWS</w:t>
      </w:r>
      <w:r w:rsidR="00B8287D">
        <w:rPr>
          <w:sz w:val="22"/>
          <w:szCs w:val="22"/>
        </w:rPr>
        <w:t xml:space="preserve"> is directly incorporated in the proposal, </w:t>
      </w:r>
      <w:r w:rsidR="00B8287D" w:rsidRPr="002F7453">
        <w:rPr>
          <w:sz w:val="22"/>
          <w:szCs w:val="22"/>
        </w:rPr>
        <w:t>other than quoting the decisions of the WIPO General Assembly</w:t>
      </w:r>
      <w:r w:rsidR="00B8287D">
        <w:rPr>
          <w:sz w:val="22"/>
          <w:szCs w:val="22"/>
        </w:rPr>
        <w:t xml:space="preserve">.  The proposed text for the mandate </w:t>
      </w:r>
      <w:r w:rsidR="00A90362" w:rsidRPr="002F7453">
        <w:rPr>
          <w:sz w:val="22"/>
          <w:szCs w:val="22"/>
        </w:rPr>
        <w:t>is the one adopted by the General Assembly</w:t>
      </w:r>
      <w:r w:rsidR="00B8287D" w:rsidRPr="00B8287D">
        <w:rPr>
          <w:sz w:val="22"/>
          <w:szCs w:val="22"/>
        </w:rPr>
        <w:t xml:space="preserve"> </w:t>
      </w:r>
      <w:r w:rsidR="00B8287D" w:rsidRPr="002F7453">
        <w:rPr>
          <w:sz w:val="22"/>
          <w:szCs w:val="22"/>
        </w:rPr>
        <w:t>with the necessary adaptations such as deletion of obsolete references to the former SCI</w:t>
      </w:r>
      <w:r w:rsidR="00B8287D">
        <w:rPr>
          <w:sz w:val="22"/>
          <w:szCs w:val="22"/>
        </w:rPr>
        <w:t>T</w:t>
      </w:r>
      <w:r>
        <w:rPr>
          <w:sz w:val="22"/>
          <w:szCs w:val="22"/>
        </w:rPr>
        <w:t xml:space="preserve">.  Further information on the proposal is provided as notes and footnotes in the Annex.  As those are for information, the notes and footnotes will be removed for publication </w:t>
      </w:r>
      <w:r w:rsidR="00166FA6">
        <w:rPr>
          <w:sz w:val="22"/>
          <w:szCs w:val="22"/>
        </w:rPr>
        <w:t>once the proposal is adopted by the CWS.</w:t>
      </w:r>
      <w:r>
        <w:rPr>
          <w:sz w:val="22"/>
          <w:szCs w:val="22"/>
        </w:rPr>
        <w:t xml:space="preserve"> </w:t>
      </w:r>
    </w:p>
    <w:p w14:paraId="5E1958F4" w14:textId="77777777" w:rsidR="004167C6" w:rsidRDefault="004167C6" w:rsidP="003726AC">
      <w:pPr>
        <w:pStyle w:val="ONUMFS"/>
        <w:numPr>
          <w:ilvl w:val="0"/>
          <w:numId w:val="0"/>
        </w:numPr>
        <w:spacing w:line="240" w:lineRule="auto"/>
        <w:rPr>
          <w:lang w:eastAsia="en-US"/>
        </w:rPr>
      </w:pPr>
    </w:p>
    <w:p w14:paraId="0D766A33" w14:textId="77777777" w:rsidR="002E585B" w:rsidRPr="003A5F87" w:rsidRDefault="002E585B" w:rsidP="003726AC">
      <w:pPr>
        <w:pStyle w:val="ONUMFS"/>
        <w:numPr>
          <w:ilvl w:val="0"/>
          <w:numId w:val="0"/>
        </w:numPr>
        <w:spacing w:after="120" w:line="240" w:lineRule="auto"/>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12D4ED0A" w14:textId="77777777" w:rsidR="002E585B" w:rsidRDefault="002E585B" w:rsidP="00FE65E7">
      <w:pPr>
        <w:pStyle w:val="BodyText"/>
        <w:numPr>
          <w:ilvl w:val="0"/>
          <w:numId w:val="18"/>
        </w:numPr>
        <w:tabs>
          <w:tab w:val="left" w:pos="6160"/>
          <w:tab w:val="left" w:pos="6710"/>
        </w:tabs>
        <w:ind w:left="5630" w:firstLine="662"/>
        <w:rPr>
          <w:i/>
        </w:rPr>
      </w:pPr>
      <w:r w:rsidRPr="006A730D">
        <w:rPr>
          <w:i/>
        </w:rPr>
        <w:t xml:space="preserve">note the content of </w:t>
      </w:r>
      <w:r>
        <w:rPr>
          <w:i/>
        </w:rPr>
        <w:t xml:space="preserve">this </w:t>
      </w:r>
      <w:r w:rsidRPr="006A730D">
        <w:rPr>
          <w:i/>
        </w:rPr>
        <w:t>document</w:t>
      </w:r>
      <w:r w:rsidR="00CB6496">
        <w:rPr>
          <w:i/>
        </w:rPr>
        <w:t xml:space="preserve"> and the Annex to this document</w:t>
      </w:r>
      <w:r w:rsidRPr="006A730D">
        <w:rPr>
          <w:i/>
        </w:rPr>
        <w:t>;</w:t>
      </w:r>
      <w:r w:rsidR="00166FA6">
        <w:rPr>
          <w:i/>
        </w:rPr>
        <w:t xml:space="preserve"> and </w:t>
      </w:r>
    </w:p>
    <w:p w14:paraId="0D964931" w14:textId="3D2B5276" w:rsidR="00166FA6" w:rsidRPr="00A15ECE" w:rsidRDefault="00166FA6" w:rsidP="00FE65E7">
      <w:pPr>
        <w:pStyle w:val="BodyText"/>
        <w:numPr>
          <w:ilvl w:val="0"/>
          <w:numId w:val="18"/>
        </w:numPr>
        <w:tabs>
          <w:tab w:val="left" w:pos="6160"/>
          <w:tab w:val="left" w:pos="6710"/>
        </w:tabs>
        <w:ind w:left="5630" w:firstLine="662"/>
        <w:rPr>
          <w:i/>
        </w:rPr>
      </w:pPr>
      <w:r w:rsidRPr="00A15ECE">
        <w:rPr>
          <w:i/>
        </w:rPr>
        <w:t xml:space="preserve">consider and adopt the </w:t>
      </w:r>
      <w:r w:rsidRPr="00A15ECE">
        <w:rPr>
          <w:i/>
          <w:szCs w:val="22"/>
        </w:rPr>
        <w:t xml:space="preserve">organizational </w:t>
      </w:r>
      <w:bookmarkStart w:id="4" w:name="_GoBack"/>
      <w:bookmarkEnd w:id="4"/>
      <w:r w:rsidRPr="00A15ECE">
        <w:rPr>
          <w:i/>
          <w:szCs w:val="22"/>
        </w:rPr>
        <w:t xml:space="preserve">matters and special rules of procedure as referred to </w:t>
      </w:r>
      <w:r w:rsidR="00263EF9" w:rsidRPr="00A15ECE">
        <w:rPr>
          <w:i/>
          <w:szCs w:val="22"/>
        </w:rPr>
        <w:t xml:space="preserve">in </w:t>
      </w:r>
      <w:r w:rsidRPr="00A15ECE">
        <w:rPr>
          <w:i/>
          <w:szCs w:val="22"/>
        </w:rPr>
        <w:t xml:space="preserve">paragraphs 5 and 6 above and as reproduced in the Annex to the present document. </w:t>
      </w:r>
    </w:p>
    <w:p w14:paraId="598284E3" w14:textId="77777777" w:rsidR="00166FA6" w:rsidRPr="00242FC5" w:rsidRDefault="00166FA6" w:rsidP="004F4293">
      <w:pPr>
        <w:pStyle w:val="BodyText"/>
        <w:tabs>
          <w:tab w:val="left" w:pos="6160"/>
          <w:tab w:val="left" w:pos="6710"/>
        </w:tabs>
        <w:ind w:left="5530"/>
        <w:rPr>
          <w:i/>
        </w:rPr>
      </w:pPr>
    </w:p>
    <w:p w14:paraId="7F30D91E" w14:textId="77777777" w:rsidR="00AE7643" w:rsidRDefault="00AE7643" w:rsidP="002E585B">
      <w:pPr>
        <w:pStyle w:val="Endofdocument"/>
        <w:ind w:left="5530"/>
        <w:rPr>
          <w:rFonts w:cs="Arial"/>
          <w:sz w:val="22"/>
          <w:szCs w:val="22"/>
          <w:highlight w:val="yellow"/>
        </w:rPr>
      </w:pPr>
    </w:p>
    <w:p w14:paraId="20DBA973" w14:textId="20ADE1F2" w:rsidR="007B3CC2" w:rsidRDefault="002E585B" w:rsidP="00AE6825">
      <w:pPr>
        <w:pStyle w:val="Endofdocument"/>
        <w:ind w:left="5530"/>
      </w:pPr>
      <w:r w:rsidRPr="00AE7643">
        <w:rPr>
          <w:rFonts w:cs="Arial"/>
          <w:sz w:val="22"/>
          <w:szCs w:val="22"/>
        </w:rPr>
        <w:t>[</w:t>
      </w:r>
      <w:r w:rsidR="00AF178B">
        <w:rPr>
          <w:rFonts w:cs="Arial"/>
          <w:sz w:val="22"/>
          <w:szCs w:val="22"/>
        </w:rPr>
        <w:t xml:space="preserve">Annex </w:t>
      </w:r>
      <w:r w:rsidR="00AE7643" w:rsidRPr="00AE7643">
        <w:rPr>
          <w:rFonts w:cs="Arial"/>
          <w:sz w:val="22"/>
          <w:szCs w:val="22"/>
        </w:rPr>
        <w:t>follows</w:t>
      </w:r>
      <w:r w:rsidRPr="00AE7643">
        <w:rPr>
          <w:rFonts w:cs="Arial"/>
          <w:sz w:val="22"/>
          <w:szCs w:val="22"/>
        </w:rPr>
        <w:t>]</w:t>
      </w:r>
    </w:p>
    <w:sectPr w:rsidR="007B3CC2" w:rsidSect="002E585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63FAE" w14:textId="77777777" w:rsidR="00DD5C33" w:rsidRDefault="00DD5C33">
      <w:r>
        <w:separator/>
      </w:r>
    </w:p>
  </w:endnote>
  <w:endnote w:type="continuationSeparator" w:id="0">
    <w:p w14:paraId="2D21AD60" w14:textId="77777777" w:rsidR="00DD5C33" w:rsidRDefault="00DD5C33" w:rsidP="003B38C1">
      <w:r>
        <w:separator/>
      </w:r>
    </w:p>
    <w:p w14:paraId="00050250" w14:textId="77777777" w:rsidR="00DD5C33" w:rsidRPr="003B38C1" w:rsidRDefault="00DD5C33" w:rsidP="003B38C1">
      <w:pPr>
        <w:spacing w:after="60"/>
        <w:rPr>
          <w:sz w:val="17"/>
        </w:rPr>
      </w:pPr>
      <w:r>
        <w:rPr>
          <w:sz w:val="17"/>
        </w:rPr>
        <w:t>[Endnote continued from previous page]</w:t>
      </w:r>
    </w:p>
  </w:endnote>
  <w:endnote w:type="continuationNotice" w:id="1">
    <w:p w14:paraId="502692E0" w14:textId="77777777" w:rsidR="00DD5C33" w:rsidRPr="003B38C1" w:rsidRDefault="00DD5C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A820" w14:textId="77777777" w:rsidR="00450D1E" w:rsidRDefault="00450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BF20" w14:textId="77777777" w:rsidR="00450D1E" w:rsidRDefault="00450D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CEB80" w14:textId="77777777" w:rsidR="00450D1E" w:rsidRDefault="00450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D6A82" w14:textId="77777777" w:rsidR="00DD5C33" w:rsidRDefault="00DD5C33">
      <w:r>
        <w:separator/>
      </w:r>
    </w:p>
  </w:footnote>
  <w:footnote w:type="continuationSeparator" w:id="0">
    <w:p w14:paraId="2687F864" w14:textId="77777777" w:rsidR="00DD5C33" w:rsidRDefault="00DD5C33" w:rsidP="008B60B2">
      <w:r>
        <w:separator/>
      </w:r>
    </w:p>
    <w:p w14:paraId="4950C8C7" w14:textId="77777777" w:rsidR="00DD5C33" w:rsidRPr="00ED77FB" w:rsidRDefault="00DD5C33" w:rsidP="008B60B2">
      <w:pPr>
        <w:spacing w:after="60"/>
        <w:rPr>
          <w:sz w:val="17"/>
          <w:szCs w:val="17"/>
        </w:rPr>
      </w:pPr>
      <w:r w:rsidRPr="00ED77FB">
        <w:rPr>
          <w:sz w:val="17"/>
          <w:szCs w:val="17"/>
        </w:rPr>
        <w:t>[Footnote continued from previous page]</w:t>
      </w:r>
    </w:p>
  </w:footnote>
  <w:footnote w:type="continuationNotice" w:id="1">
    <w:p w14:paraId="3C09E432" w14:textId="77777777" w:rsidR="00DD5C33" w:rsidRPr="00ED77FB" w:rsidRDefault="00DD5C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4B26" w14:textId="77777777" w:rsidR="00450D1E" w:rsidRDefault="00450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C20AB" w14:textId="1F8DFC09" w:rsidR="00D07C78" w:rsidRPr="002326AB" w:rsidRDefault="002E585B" w:rsidP="00477D6B">
    <w:pPr>
      <w:jc w:val="right"/>
      <w:rPr>
        <w:caps/>
      </w:rPr>
    </w:pPr>
    <w:bookmarkStart w:id="5" w:name="Code2"/>
    <w:bookmarkEnd w:id="5"/>
    <w:r>
      <w:rPr>
        <w:caps/>
      </w:rPr>
      <w:t>C</w:t>
    </w:r>
    <w:r w:rsidR="00D53CBA">
      <w:rPr>
        <w:caps/>
      </w:rPr>
      <w:t>WS/</w:t>
    </w:r>
    <w:r w:rsidR="00FE65E7">
      <w:rPr>
        <w:caps/>
      </w:rPr>
      <w:t>10/2</w:t>
    </w:r>
  </w:p>
  <w:p w14:paraId="0D8DEAE9" w14:textId="516C4C2A" w:rsidR="00D07C78" w:rsidRDefault="00D07C78" w:rsidP="00477D6B">
    <w:pPr>
      <w:jc w:val="right"/>
    </w:pPr>
    <w:r>
      <w:t xml:space="preserve">page </w:t>
    </w:r>
    <w:r>
      <w:fldChar w:fldCharType="begin"/>
    </w:r>
    <w:r>
      <w:instrText xml:space="preserve"> PAGE  \* MERGEFORMAT </w:instrText>
    </w:r>
    <w:r>
      <w:fldChar w:fldCharType="separate"/>
    </w:r>
    <w:r w:rsidR="009D060A">
      <w:rPr>
        <w:noProof/>
      </w:rPr>
      <w:t>2</w:t>
    </w:r>
    <w:r>
      <w:fldChar w:fldCharType="end"/>
    </w:r>
  </w:p>
  <w:p w14:paraId="18799542" w14:textId="77777777" w:rsidR="00D07C78" w:rsidRDefault="00D07C78" w:rsidP="00477D6B">
    <w:pPr>
      <w:jc w:val="right"/>
    </w:pPr>
  </w:p>
  <w:p w14:paraId="0B5FC9B0"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7837" w14:textId="77777777" w:rsidR="00450D1E" w:rsidRDefault="00450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206B16"/>
    <w:multiLevelType w:val="hybridMultilevel"/>
    <w:tmpl w:val="C7E63DB2"/>
    <w:lvl w:ilvl="0" w:tplc="D0C0E12A">
      <w:start w:val="1"/>
      <w:numFmt w:val="lowerLetter"/>
      <w:lvlText w:val="(%1)"/>
      <w:lvlJc w:val="left"/>
      <w:pPr>
        <w:ind w:left="6710" w:hanging="550"/>
      </w:pPr>
      <w:rPr>
        <w:rFonts w:hint="default"/>
      </w:rPr>
    </w:lvl>
    <w:lvl w:ilvl="1" w:tplc="04090019" w:tentative="1">
      <w:start w:val="1"/>
      <w:numFmt w:val="lowerLetter"/>
      <w:lvlText w:val="%2."/>
      <w:lvlJc w:val="left"/>
      <w:pPr>
        <w:ind w:left="7240" w:hanging="360"/>
      </w:pPr>
    </w:lvl>
    <w:lvl w:ilvl="2" w:tplc="0409001B" w:tentative="1">
      <w:start w:val="1"/>
      <w:numFmt w:val="lowerRoman"/>
      <w:lvlText w:val="%3."/>
      <w:lvlJc w:val="right"/>
      <w:pPr>
        <w:ind w:left="7960" w:hanging="180"/>
      </w:pPr>
    </w:lvl>
    <w:lvl w:ilvl="3" w:tplc="0409000F" w:tentative="1">
      <w:start w:val="1"/>
      <w:numFmt w:val="decimal"/>
      <w:lvlText w:val="%4."/>
      <w:lvlJc w:val="left"/>
      <w:pPr>
        <w:ind w:left="8680" w:hanging="360"/>
      </w:pPr>
    </w:lvl>
    <w:lvl w:ilvl="4" w:tplc="04090019" w:tentative="1">
      <w:start w:val="1"/>
      <w:numFmt w:val="lowerLetter"/>
      <w:lvlText w:val="%5."/>
      <w:lvlJc w:val="left"/>
      <w:pPr>
        <w:ind w:left="9400" w:hanging="360"/>
      </w:pPr>
    </w:lvl>
    <w:lvl w:ilvl="5" w:tplc="0409001B" w:tentative="1">
      <w:start w:val="1"/>
      <w:numFmt w:val="lowerRoman"/>
      <w:lvlText w:val="%6."/>
      <w:lvlJc w:val="right"/>
      <w:pPr>
        <w:ind w:left="10120" w:hanging="180"/>
      </w:pPr>
    </w:lvl>
    <w:lvl w:ilvl="6" w:tplc="0409000F" w:tentative="1">
      <w:start w:val="1"/>
      <w:numFmt w:val="decimal"/>
      <w:lvlText w:val="%7."/>
      <w:lvlJc w:val="left"/>
      <w:pPr>
        <w:ind w:left="10840" w:hanging="360"/>
      </w:pPr>
    </w:lvl>
    <w:lvl w:ilvl="7" w:tplc="04090019" w:tentative="1">
      <w:start w:val="1"/>
      <w:numFmt w:val="lowerLetter"/>
      <w:lvlText w:val="%8."/>
      <w:lvlJc w:val="left"/>
      <w:pPr>
        <w:ind w:left="11560" w:hanging="360"/>
      </w:pPr>
    </w:lvl>
    <w:lvl w:ilvl="8" w:tplc="0409001B" w:tentative="1">
      <w:start w:val="1"/>
      <w:numFmt w:val="lowerRoman"/>
      <w:lvlText w:val="%9."/>
      <w:lvlJc w:val="right"/>
      <w:pPr>
        <w:ind w:left="12280" w:hanging="180"/>
      </w:pPr>
    </w:lvl>
  </w:abstractNum>
  <w:abstractNum w:abstractNumId="7"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7"/>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43CAA"/>
    <w:rsid w:val="00056816"/>
    <w:rsid w:val="00075432"/>
    <w:rsid w:val="000968ED"/>
    <w:rsid w:val="000A3D97"/>
    <w:rsid w:val="000D0970"/>
    <w:rsid w:val="000E3A98"/>
    <w:rsid w:val="000F5E56"/>
    <w:rsid w:val="00110B70"/>
    <w:rsid w:val="001362EE"/>
    <w:rsid w:val="00137848"/>
    <w:rsid w:val="00160104"/>
    <w:rsid w:val="001647D5"/>
    <w:rsid w:val="00166FA6"/>
    <w:rsid w:val="00180BC3"/>
    <w:rsid w:val="001832A6"/>
    <w:rsid w:val="001C2D44"/>
    <w:rsid w:val="001D4107"/>
    <w:rsid w:val="00203D24"/>
    <w:rsid w:val="0021217E"/>
    <w:rsid w:val="00222C84"/>
    <w:rsid w:val="002326AB"/>
    <w:rsid w:val="00242FC5"/>
    <w:rsid w:val="00243430"/>
    <w:rsid w:val="00250BD9"/>
    <w:rsid w:val="002634C4"/>
    <w:rsid w:val="00263EF9"/>
    <w:rsid w:val="00266080"/>
    <w:rsid w:val="00272A8D"/>
    <w:rsid w:val="002766E3"/>
    <w:rsid w:val="00276878"/>
    <w:rsid w:val="00280C7A"/>
    <w:rsid w:val="002928D3"/>
    <w:rsid w:val="002D61B0"/>
    <w:rsid w:val="002E585B"/>
    <w:rsid w:val="002F1FE6"/>
    <w:rsid w:val="002F4E68"/>
    <w:rsid w:val="002F7453"/>
    <w:rsid w:val="00310785"/>
    <w:rsid w:val="00312F7F"/>
    <w:rsid w:val="00337D78"/>
    <w:rsid w:val="0034720B"/>
    <w:rsid w:val="00354376"/>
    <w:rsid w:val="00356D35"/>
    <w:rsid w:val="00361450"/>
    <w:rsid w:val="003673CF"/>
    <w:rsid w:val="003726AC"/>
    <w:rsid w:val="003845C1"/>
    <w:rsid w:val="003A6F89"/>
    <w:rsid w:val="003B339D"/>
    <w:rsid w:val="003B38C1"/>
    <w:rsid w:val="003C34E9"/>
    <w:rsid w:val="003D5977"/>
    <w:rsid w:val="004167C6"/>
    <w:rsid w:val="0041768C"/>
    <w:rsid w:val="00423E3E"/>
    <w:rsid w:val="00427AF4"/>
    <w:rsid w:val="00434EDA"/>
    <w:rsid w:val="0044175F"/>
    <w:rsid w:val="00443C10"/>
    <w:rsid w:val="00450D1E"/>
    <w:rsid w:val="004647DA"/>
    <w:rsid w:val="00474062"/>
    <w:rsid w:val="00477841"/>
    <w:rsid w:val="00477D6B"/>
    <w:rsid w:val="00491DA7"/>
    <w:rsid w:val="004A79D9"/>
    <w:rsid w:val="004F36BE"/>
    <w:rsid w:val="004F4293"/>
    <w:rsid w:val="004F487C"/>
    <w:rsid w:val="005019FF"/>
    <w:rsid w:val="00511202"/>
    <w:rsid w:val="0053057A"/>
    <w:rsid w:val="0054680A"/>
    <w:rsid w:val="00556076"/>
    <w:rsid w:val="00560A29"/>
    <w:rsid w:val="005C6649"/>
    <w:rsid w:val="005D752F"/>
    <w:rsid w:val="005E6C0F"/>
    <w:rsid w:val="00605827"/>
    <w:rsid w:val="006063B6"/>
    <w:rsid w:val="00646050"/>
    <w:rsid w:val="006713CA"/>
    <w:rsid w:val="00676C5C"/>
    <w:rsid w:val="006C6644"/>
    <w:rsid w:val="006E3C5B"/>
    <w:rsid w:val="00720EFD"/>
    <w:rsid w:val="00745732"/>
    <w:rsid w:val="0076525D"/>
    <w:rsid w:val="007854AF"/>
    <w:rsid w:val="00787A1A"/>
    <w:rsid w:val="00793A7C"/>
    <w:rsid w:val="007A398A"/>
    <w:rsid w:val="007B3CC2"/>
    <w:rsid w:val="007B5A88"/>
    <w:rsid w:val="007D1613"/>
    <w:rsid w:val="007E4C0E"/>
    <w:rsid w:val="008004BE"/>
    <w:rsid w:val="008356C0"/>
    <w:rsid w:val="00846CF6"/>
    <w:rsid w:val="008610AC"/>
    <w:rsid w:val="008A134B"/>
    <w:rsid w:val="008B2CC1"/>
    <w:rsid w:val="008B60B2"/>
    <w:rsid w:val="009016C2"/>
    <w:rsid w:val="0090731E"/>
    <w:rsid w:val="00916EE2"/>
    <w:rsid w:val="00966A22"/>
    <w:rsid w:val="0096722F"/>
    <w:rsid w:val="00980843"/>
    <w:rsid w:val="009C4589"/>
    <w:rsid w:val="009D060A"/>
    <w:rsid w:val="009D286E"/>
    <w:rsid w:val="009E2791"/>
    <w:rsid w:val="009E3F6F"/>
    <w:rsid w:val="009F499F"/>
    <w:rsid w:val="00A15ECE"/>
    <w:rsid w:val="00A37342"/>
    <w:rsid w:val="00A42DAF"/>
    <w:rsid w:val="00A45BD8"/>
    <w:rsid w:val="00A54493"/>
    <w:rsid w:val="00A718CE"/>
    <w:rsid w:val="00A869B7"/>
    <w:rsid w:val="00A90362"/>
    <w:rsid w:val="00A90F0A"/>
    <w:rsid w:val="00AA6F7F"/>
    <w:rsid w:val="00AC205C"/>
    <w:rsid w:val="00AC4CEC"/>
    <w:rsid w:val="00AE6825"/>
    <w:rsid w:val="00AE7643"/>
    <w:rsid w:val="00AF0A6B"/>
    <w:rsid w:val="00AF178B"/>
    <w:rsid w:val="00B05A69"/>
    <w:rsid w:val="00B355B6"/>
    <w:rsid w:val="00B415AD"/>
    <w:rsid w:val="00B719F4"/>
    <w:rsid w:val="00B75281"/>
    <w:rsid w:val="00B75AC4"/>
    <w:rsid w:val="00B80108"/>
    <w:rsid w:val="00B8287D"/>
    <w:rsid w:val="00B90644"/>
    <w:rsid w:val="00B92F1F"/>
    <w:rsid w:val="00B941D5"/>
    <w:rsid w:val="00B9734B"/>
    <w:rsid w:val="00BA30E2"/>
    <w:rsid w:val="00C11BFE"/>
    <w:rsid w:val="00C12B3D"/>
    <w:rsid w:val="00C33A82"/>
    <w:rsid w:val="00C5068F"/>
    <w:rsid w:val="00C57F29"/>
    <w:rsid w:val="00C86D74"/>
    <w:rsid w:val="00CB6496"/>
    <w:rsid w:val="00CD04F1"/>
    <w:rsid w:val="00CF6577"/>
    <w:rsid w:val="00CF681A"/>
    <w:rsid w:val="00D05A1A"/>
    <w:rsid w:val="00D07C78"/>
    <w:rsid w:val="00D45252"/>
    <w:rsid w:val="00D53CBA"/>
    <w:rsid w:val="00D61BB3"/>
    <w:rsid w:val="00D71B4D"/>
    <w:rsid w:val="00D93D55"/>
    <w:rsid w:val="00DC68D0"/>
    <w:rsid w:val="00DD5C33"/>
    <w:rsid w:val="00DD7B7F"/>
    <w:rsid w:val="00DF3E80"/>
    <w:rsid w:val="00E15015"/>
    <w:rsid w:val="00E335FE"/>
    <w:rsid w:val="00E42FB8"/>
    <w:rsid w:val="00E45755"/>
    <w:rsid w:val="00E55A68"/>
    <w:rsid w:val="00EA6E55"/>
    <w:rsid w:val="00EA7D6E"/>
    <w:rsid w:val="00EB0274"/>
    <w:rsid w:val="00EB2F76"/>
    <w:rsid w:val="00EC4E49"/>
    <w:rsid w:val="00ED77FB"/>
    <w:rsid w:val="00EE45FA"/>
    <w:rsid w:val="00F043DE"/>
    <w:rsid w:val="00F66152"/>
    <w:rsid w:val="00F9165B"/>
    <w:rsid w:val="00FC482F"/>
    <w:rsid w:val="00FE65E7"/>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571D6"/>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58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9C4589"/>
    <w:rPr>
      <w:rFonts w:ascii="Segoe UI" w:hAnsi="Segoe UI" w:cs="Segoe UI"/>
      <w:szCs w:val="18"/>
    </w:rPr>
  </w:style>
  <w:style w:type="character" w:customStyle="1" w:styleId="BalloonTextChar">
    <w:name w:val="Balloon Text Char"/>
    <w:basedOn w:val="DefaultParagraphFont"/>
    <w:link w:val="BalloonText"/>
    <w:semiHidden/>
    <w:rsid w:val="009C4589"/>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paragraph" w:customStyle="1" w:styleId="Default">
    <w:name w:val="Default"/>
    <w:rsid w:val="0034720B"/>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about-wipo/en/oversight/iaod/evaluation/pdf/220216-evaluation-WIPO-standing-committees.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BACDA-913D-43EB-AD6C-B8084258A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0</TotalTime>
  <Pages>2</Pages>
  <Words>778</Words>
  <Characters>4141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CWS/10/2</vt:lpstr>
    </vt:vector>
  </TitlesOfParts>
  <Company>WIPO</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dc:title>
  <dc:subject>Proposal for survey on Office practices for Digital Transformation</dc:subject>
  <dc:creator>WIPO</dc:creator>
  <cp:keywords>FOR OFFICIAL USE ONLY</cp:keywords>
  <cp:lastModifiedBy>CHAVAS Louison</cp:lastModifiedBy>
  <cp:revision>2</cp:revision>
  <cp:lastPrinted>2011-02-15T11:56:00Z</cp:lastPrinted>
  <dcterms:created xsi:type="dcterms:W3CDTF">2022-09-26T13:40:00Z</dcterms:created>
  <dcterms:modified xsi:type="dcterms:W3CDTF">2022-09-26T13:40:00Z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e5e0ec9f-abdb-4293-9e98-9300d4a6903b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