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740F1"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5E67DF60" wp14:editId="51F155D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D8334B2" w14:textId="77777777" w:rsidR="008B2CC1" w:rsidRPr="002326AB" w:rsidRDefault="005125DE" w:rsidP="000C1414">
      <w:pPr>
        <w:jc w:val="right"/>
        <w:rPr>
          <w:rFonts w:ascii="Arial Black" w:hAnsi="Arial Black"/>
          <w:caps/>
          <w:sz w:val="15"/>
          <w:szCs w:val="15"/>
        </w:rPr>
      </w:pPr>
      <w:r>
        <w:rPr>
          <w:rFonts w:ascii="Arial Black" w:hAnsi="Arial Black"/>
          <w:caps/>
          <w:sz w:val="15"/>
          <w:szCs w:val="15"/>
        </w:rPr>
        <w:t>CWs/10</w:t>
      </w:r>
      <w:r w:rsidR="00846CF6">
        <w:rPr>
          <w:rFonts w:ascii="Arial Black" w:hAnsi="Arial Black"/>
          <w:caps/>
          <w:sz w:val="15"/>
          <w:szCs w:val="15"/>
        </w:rPr>
        <w:t>/</w:t>
      </w:r>
      <w:bookmarkStart w:id="0" w:name="Code"/>
      <w:bookmarkEnd w:id="0"/>
      <w:r>
        <w:rPr>
          <w:rFonts w:ascii="Arial Black" w:hAnsi="Arial Black"/>
          <w:caps/>
          <w:sz w:val="15"/>
          <w:szCs w:val="15"/>
        </w:rPr>
        <w:t>1</w:t>
      </w:r>
      <w:r w:rsidR="000C1414">
        <w:rPr>
          <w:rFonts w:ascii="Arial Black" w:hAnsi="Arial Black"/>
          <w:caps/>
          <w:sz w:val="15"/>
          <w:szCs w:val="15"/>
        </w:rPr>
        <w:t>8</w:t>
      </w:r>
    </w:p>
    <w:p w14:paraId="1D894DA8"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600CFE">
        <w:rPr>
          <w:rFonts w:ascii="Arial Black" w:hAnsi="Arial Black"/>
          <w:caps/>
          <w:sz w:val="15"/>
          <w:szCs w:val="15"/>
        </w:rPr>
        <w:t>english</w:t>
      </w:r>
    </w:p>
    <w:bookmarkEnd w:id="1"/>
    <w:p w14:paraId="3774FA54" w14:textId="5C91CED7" w:rsidR="008B2CC1" w:rsidRPr="000A3D97" w:rsidRDefault="00EB2F76" w:rsidP="006F3CB9">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6D51A8" w:rsidRPr="000E0241">
        <w:rPr>
          <w:rFonts w:ascii="Arial Black" w:hAnsi="Arial Black"/>
          <w:caps/>
          <w:sz w:val="15"/>
          <w:szCs w:val="15"/>
        </w:rPr>
        <w:t>October</w:t>
      </w:r>
      <w:r w:rsidR="006F3CB9">
        <w:rPr>
          <w:rFonts w:ascii="Arial Black" w:hAnsi="Arial Black"/>
          <w:caps/>
          <w:sz w:val="15"/>
          <w:szCs w:val="15"/>
        </w:rPr>
        <w:t xml:space="preserve"> 4</w:t>
      </w:r>
      <w:r w:rsidR="005125DE">
        <w:rPr>
          <w:rFonts w:ascii="Arial Black" w:hAnsi="Arial Black"/>
          <w:caps/>
          <w:sz w:val="15"/>
          <w:szCs w:val="15"/>
        </w:rPr>
        <w:t>, 2022</w:t>
      </w:r>
    </w:p>
    <w:p w14:paraId="1DB42942" w14:textId="77777777" w:rsidR="008B2CC1" w:rsidRPr="00600CFE" w:rsidRDefault="00E45755" w:rsidP="00720EFD">
      <w:pPr>
        <w:pStyle w:val="Heading1"/>
        <w:spacing w:before="0" w:after="480"/>
        <w:rPr>
          <w:sz w:val="36"/>
          <w:szCs w:val="28"/>
        </w:rPr>
      </w:pPr>
      <w:bookmarkStart w:id="3" w:name="_GoBack"/>
      <w:bookmarkEnd w:id="2"/>
      <w:bookmarkEnd w:id="3"/>
      <w:r w:rsidRPr="00600CFE">
        <w:rPr>
          <w:caps w:val="0"/>
          <w:sz w:val="28"/>
        </w:rPr>
        <w:t xml:space="preserve">Committee on WIPO Standards </w:t>
      </w:r>
      <w:r w:rsidRPr="00600CFE">
        <w:rPr>
          <w:sz w:val="28"/>
        </w:rPr>
        <w:t>(CWS)</w:t>
      </w:r>
    </w:p>
    <w:p w14:paraId="239F7A0F" w14:textId="77777777" w:rsidR="00E45755" w:rsidRPr="00846CF6" w:rsidRDefault="005125DE" w:rsidP="00E45755">
      <w:pPr>
        <w:outlineLvl w:val="1"/>
        <w:rPr>
          <w:b/>
          <w:sz w:val="24"/>
          <w:szCs w:val="24"/>
        </w:rPr>
      </w:pPr>
      <w:r>
        <w:rPr>
          <w:b/>
          <w:sz w:val="24"/>
          <w:szCs w:val="24"/>
        </w:rPr>
        <w:t>Te</w:t>
      </w:r>
      <w:r w:rsidR="00E45755" w:rsidRPr="00846CF6">
        <w:rPr>
          <w:b/>
          <w:sz w:val="24"/>
          <w:szCs w:val="24"/>
        </w:rPr>
        <w:t>nth Session</w:t>
      </w:r>
    </w:p>
    <w:p w14:paraId="381A43F4" w14:textId="77777777" w:rsidR="008B2CC1" w:rsidRPr="003845C1" w:rsidRDefault="00846CF6" w:rsidP="00F9165B">
      <w:pPr>
        <w:spacing w:after="720"/>
        <w:outlineLvl w:val="1"/>
        <w:rPr>
          <w:b/>
          <w:sz w:val="24"/>
          <w:szCs w:val="24"/>
        </w:rPr>
      </w:pPr>
      <w:r w:rsidRPr="00846CF6">
        <w:rPr>
          <w:b/>
          <w:sz w:val="24"/>
          <w:szCs w:val="24"/>
        </w:rPr>
        <w:t xml:space="preserve">Geneva, November </w:t>
      </w:r>
      <w:r w:rsidR="005125DE">
        <w:rPr>
          <w:b/>
          <w:sz w:val="24"/>
          <w:szCs w:val="24"/>
        </w:rPr>
        <w:t>2</w:t>
      </w:r>
      <w:r w:rsidRPr="00846CF6">
        <w:rPr>
          <w:b/>
          <w:sz w:val="24"/>
          <w:szCs w:val="24"/>
        </w:rPr>
        <w:t xml:space="preserve">1 to </w:t>
      </w:r>
      <w:r w:rsidR="005125DE">
        <w:rPr>
          <w:b/>
          <w:sz w:val="24"/>
          <w:szCs w:val="24"/>
        </w:rPr>
        <w:t>25, 2022</w:t>
      </w:r>
    </w:p>
    <w:p w14:paraId="62ADAB73" w14:textId="77777777" w:rsidR="008B2CC1" w:rsidRPr="00401963" w:rsidRDefault="008A3961" w:rsidP="00DD7B7F">
      <w:pPr>
        <w:spacing w:after="360"/>
        <w:outlineLvl w:val="0"/>
        <w:rPr>
          <w:caps/>
        </w:rPr>
      </w:pPr>
      <w:bookmarkStart w:id="4" w:name="TitleOfDoc"/>
      <w:r w:rsidRPr="0043784B">
        <w:rPr>
          <w:caps/>
          <w:sz w:val="24"/>
        </w:rPr>
        <w:t>Analysis of</w:t>
      </w:r>
      <w:r>
        <w:rPr>
          <w:caps/>
          <w:sz w:val="24"/>
        </w:rPr>
        <w:t xml:space="preserve"> survey results on calendar dates</w:t>
      </w:r>
    </w:p>
    <w:p w14:paraId="3B974361" w14:textId="77777777" w:rsidR="006F5ABA" w:rsidRDefault="00600CFE" w:rsidP="001D4107">
      <w:pPr>
        <w:spacing w:after="1040"/>
        <w:rPr>
          <w:i/>
        </w:rPr>
      </w:pPr>
      <w:bookmarkStart w:id="5" w:name="Prepared"/>
      <w:bookmarkEnd w:id="4"/>
      <w:bookmarkEnd w:id="5"/>
      <w:r>
        <w:rPr>
          <w:i/>
        </w:rPr>
        <w:t>Document prepared by the International Bureau</w:t>
      </w:r>
    </w:p>
    <w:p w14:paraId="3500A998" w14:textId="77777777" w:rsidR="00600CFE" w:rsidRDefault="00600CFE" w:rsidP="00600CFE">
      <w:pPr>
        <w:pStyle w:val="Heading2"/>
        <w:spacing w:before="0"/>
        <w:rPr>
          <w:rFonts w:eastAsia="Malgun Gothic"/>
          <w:caps w:val="0"/>
          <w:szCs w:val="22"/>
        </w:rPr>
      </w:pPr>
      <w:r>
        <w:rPr>
          <w:rFonts w:eastAsia="Malgun Gothic"/>
          <w:caps w:val="0"/>
          <w:szCs w:val="22"/>
        </w:rPr>
        <w:t>BACKGROUND</w:t>
      </w:r>
    </w:p>
    <w:p w14:paraId="7576FF63" w14:textId="1E702622" w:rsidR="00305685" w:rsidRDefault="00600CFE" w:rsidP="00C53C0D">
      <w:pPr>
        <w:pStyle w:val="ONUMFS"/>
      </w:pPr>
      <w:r>
        <w:fldChar w:fldCharType="begin"/>
      </w:r>
      <w:r>
        <w:instrText xml:space="preserve"> AUTONUM  </w:instrText>
      </w:r>
      <w:r>
        <w:fldChar w:fldCharType="end"/>
      </w:r>
      <w:r>
        <w:tab/>
        <w:t xml:space="preserve">At its </w:t>
      </w:r>
      <w:r w:rsidR="008A3961">
        <w:t>ninth</w:t>
      </w:r>
      <w:r>
        <w:t xml:space="preserve"> session in 20</w:t>
      </w:r>
      <w:r w:rsidR="008A3961">
        <w:t>21</w:t>
      </w:r>
      <w:r>
        <w:t xml:space="preserve">, the </w:t>
      </w:r>
      <w:r w:rsidR="00E400DE">
        <w:t xml:space="preserve">Committee on WIPO </w:t>
      </w:r>
      <w:r w:rsidR="0016734B">
        <w:t>Standards</w:t>
      </w:r>
      <w:r w:rsidR="008A3961">
        <w:t xml:space="preserve"> </w:t>
      </w:r>
      <w:r w:rsidR="00867670">
        <w:t xml:space="preserve">(CWS) </w:t>
      </w:r>
      <w:r w:rsidR="008A3961">
        <w:t xml:space="preserve">approved a revised schedule for updating the surveys in Part </w:t>
      </w:r>
      <w:proofErr w:type="gramStart"/>
      <w:r w:rsidR="008A3961">
        <w:t>7</w:t>
      </w:r>
      <w:proofErr w:type="gramEnd"/>
      <w:r w:rsidR="008A3961">
        <w:t xml:space="preserve"> of the </w:t>
      </w:r>
      <w:r w:rsidR="008A3961" w:rsidRPr="00367D2C">
        <w:rPr>
          <w:i/>
        </w:rPr>
        <w:t>WIPO Handbook</w:t>
      </w:r>
      <w:r w:rsidR="00867670">
        <w:rPr>
          <w:i/>
        </w:rPr>
        <w:t xml:space="preserve"> </w:t>
      </w:r>
      <w:r w:rsidR="00867670" w:rsidRPr="00867670">
        <w:rPr>
          <w:i/>
        </w:rPr>
        <w:t>on Intellectual Property Information and Documentation</w:t>
      </w:r>
      <w:r w:rsidR="005638A7">
        <w:t>.</w:t>
      </w:r>
      <w:r w:rsidR="00D84C77">
        <w:t xml:space="preserve"> </w:t>
      </w:r>
      <w:r w:rsidR="005638A7">
        <w:t xml:space="preserve"> </w:t>
      </w:r>
      <w:r w:rsidR="008A3961">
        <w:t xml:space="preserve">The schedule includes an update to Part 7.1 on calendar dates to be performed in 2022 </w:t>
      </w:r>
      <w:r w:rsidR="00D84C77">
        <w:t>(</w:t>
      </w:r>
      <w:r w:rsidR="000E0241">
        <w:t>s</w:t>
      </w:r>
      <w:r w:rsidR="008A3961">
        <w:t>ee paragraphs 109 to 114 of document CWS/9/25</w:t>
      </w:r>
      <w:r w:rsidR="00D84C77">
        <w:t>)</w:t>
      </w:r>
      <w:r w:rsidR="000E0241">
        <w:t>.</w:t>
      </w:r>
    </w:p>
    <w:p w14:paraId="71306AA1" w14:textId="0E0BB4D4" w:rsidR="00600CFE" w:rsidRDefault="005638A7" w:rsidP="00600CFE">
      <w:pPr>
        <w:pStyle w:val="ONUMFS"/>
      </w:pPr>
      <w:r>
        <w:fldChar w:fldCharType="begin"/>
      </w:r>
      <w:r>
        <w:instrText xml:space="preserve"> AUTONUM  </w:instrText>
      </w:r>
      <w:r>
        <w:fldChar w:fldCharType="end"/>
      </w:r>
      <w:r>
        <w:tab/>
      </w:r>
      <w:r w:rsidR="008A3961">
        <w:t xml:space="preserve">In August 2022, the Secretariat issued circular </w:t>
      </w:r>
      <w:r w:rsidR="00867670">
        <w:t>C.</w:t>
      </w:r>
      <w:r w:rsidR="008A3961">
        <w:t xml:space="preserve">CWS.162 inviting </w:t>
      </w:r>
      <w:r w:rsidR="000E0241">
        <w:t>Intellectual Property Offices (</w:t>
      </w:r>
      <w:r w:rsidR="008A3961">
        <w:t>IPOs</w:t>
      </w:r>
      <w:r w:rsidR="000E0241">
        <w:t>)</w:t>
      </w:r>
      <w:r w:rsidR="008A3961">
        <w:t xml:space="preserve"> to participate in the survey on representation of calendar dates</w:t>
      </w:r>
      <w:r w:rsidR="00B97F26">
        <w:t>.</w:t>
      </w:r>
      <w:r w:rsidR="008A3961">
        <w:t xml:space="preserve">  Resp</w:t>
      </w:r>
      <w:r w:rsidR="006F1453">
        <w:t>onses have been received from 37</w:t>
      </w:r>
      <w:r w:rsidR="008A3961">
        <w:t xml:space="preserve"> IPOs through September 26, 2022.  Responses to the survey </w:t>
      </w:r>
      <w:proofErr w:type="gramStart"/>
      <w:r w:rsidR="008A3961">
        <w:t>are expected to be published</w:t>
      </w:r>
      <w:proofErr w:type="gramEnd"/>
      <w:r w:rsidR="008A3961">
        <w:t xml:space="preserve"> in Part 7 of the WIPO Handbook by the end of 2022, considering</w:t>
      </w:r>
      <w:r w:rsidR="008C1C71">
        <w:t xml:space="preserve"> the</w:t>
      </w:r>
      <w:r w:rsidR="008A3961">
        <w:t xml:space="preserve"> time </w:t>
      </w:r>
      <w:r w:rsidR="008C1C71">
        <w:t xml:space="preserve">needed </w:t>
      </w:r>
      <w:r w:rsidR="008A3961">
        <w:t>for</w:t>
      </w:r>
      <w:r w:rsidR="00DC437E">
        <w:t xml:space="preserve"> preparation and translation</w:t>
      </w:r>
      <w:r w:rsidR="00D85B67">
        <w:rPr>
          <w:rStyle w:val="FootnoteReference"/>
        </w:rPr>
        <w:footnoteReference w:id="2"/>
      </w:r>
      <w:r w:rsidR="00DC437E">
        <w:t>.</w:t>
      </w:r>
    </w:p>
    <w:p w14:paraId="69779174" w14:textId="77777777" w:rsidR="008A3961" w:rsidRDefault="00DC437E" w:rsidP="008A3961">
      <w:pPr>
        <w:pStyle w:val="Heading2"/>
        <w:spacing w:before="0"/>
        <w:rPr>
          <w:rFonts w:eastAsia="Malgun Gothic"/>
          <w:caps w:val="0"/>
          <w:szCs w:val="22"/>
        </w:rPr>
      </w:pPr>
      <w:r>
        <w:rPr>
          <w:rFonts w:eastAsia="Malgun Gothic"/>
          <w:caps w:val="0"/>
          <w:szCs w:val="22"/>
        </w:rPr>
        <w:t xml:space="preserve">SURVEY </w:t>
      </w:r>
      <w:r w:rsidR="008A3961">
        <w:rPr>
          <w:rFonts w:eastAsia="Malgun Gothic"/>
          <w:caps w:val="0"/>
          <w:szCs w:val="22"/>
        </w:rPr>
        <w:t>ANALYSIS</w:t>
      </w:r>
    </w:p>
    <w:p w14:paraId="2B140FCB" w14:textId="5D969522" w:rsidR="00B97F26" w:rsidRDefault="00FC6627" w:rsidP="008363DE">
      <w:pPr>
        <w:pStyle w:val="ONUMFS"/>
        <w:rPr>
          <w:lang w:eastAsia="en-US"/>
        </w:rPr>
      </w:pPr>
      <w:r>
        <w:fldChar w:fldCharType="begin"/>
      </w:r>
      <w:r>
        <w:instrText xml:space="preserve"> AUTONUM  </w:instrText>
      </w:r>
      <w:r>
        <w:fldChar w:fldCharType="end"/>
      </w:r>
      <w:r>
        <w:tab/>
      </w:r>
      <w:r w:rsidR="006F1453">
        <w:rPr>
          <w:lang w:eastAsia="en-US"/>
        </w:rPr>
        <w:t>Responses were received from 37</w:t>
      </w:r>
      <w:r w:rsidR="00DC437E">
        <w:rPr>
          <w:lang w:eastAsia="en-US"/>
        </w:rPr>
        <w:t xml:space="preserve"> member states and regional IPOs</w:t>
      </w:r>
      <w:r w:rsidR="00FA07AC">
        <w:rPr>
          <w:lang w:eastAsia="en-US"/>
        </w:rPr>
        <w:t>.  There were 34 responding member states</w:t>
      </w:r>
      <w:r w:rsidR="00DC437E" w:rsidRPr="00855FAD">
        <w:rPr>
          <w:lang w:eastAsia="en-US"/>
        </w:rPr>
        <w:t xml:space="preserve">: </w:t>
      </w:r>
      <w:r w:rsidR="00DC437E">
        <w:rPr>
          <w:lang w:eastAsia="en-US"/>
        </w:rPr>
        <w:t xml:space="preserve"> </w:t>
      </w:r>
      <w:r w:rsidR="008363DE">
        <w:rPr>
          <w:lang w:eastAsia="en-US"/>
        </w:rPr>
        <w:t>Australia;  Austria;  Bahrain;  Burkina Faso;  Canada;  Chile;  China;  Colombia;  Croatia;  Cuba;  Denmark;  Estonia;  Finland;  France;  Hong Kong, China;  Hungary;  Japan;  Kazakhstan;  Latvia;  Lithuania;  Mexico;  New Zealand;  Norway;  Philippines;  Poland;  Portugal;  Slovakia;  Slovenia;  Spain;  Sweden;  Ukraine;  United Kingdom;  United States of America</w:t>
      </w:r>
      <w:r w:rsidR="00DC437E">
        <w:rPr>
          <w:lang w:eastAsia="en-US"/>
        </w:rPr>
        <w:t>.</w:t>
      </w:r>
      <w:r w:rsidR="00FA07AC">
        <w:rPr>
          <w:lang w:eastAsia="en-US"/>
        </w:rPr>
        <w:t xml:space="preserve">  Three regional IPOs responded: Eurasian Patent Organization (EAPO)</w:t>
      </w:r>
      <w:proofErr w:type="gramStart"/>
      <w:r w:rsidR="006F3CB9">
        <w:rPr>
          <w:lang w:eastAsia="en-US"/>
        </w:rPr>
        <w:t>;  European</w:t>
      </w:r>
      <w:proofErr w:type="gramEnd"/>
      <w:r w:rsidR="006F3CB9">
        <w:rPr>
          <w:lang w:eastAsia="en-US"/>
        </w:rPr>
        <w:t xml:space="preserve"> Patent Office (EPO) and</w:t>
      </w:r>
      <w:r w:rsidR="00FA07AC">
        <w:rPr>
          <w:lang w:eastAsia="en-US"/>
        </w:rPr>
        <w:t xml:space="preserve"> European Union Intelle</w:t>
      </w:r>
      <w:r w:rsidR="006F3CB9">
        <w:rPr>
          <w:lang w:eastAsia="en-US"/>
        </w:rPr>
        <w:t>ctual Property Office (EUIPO).</w:t>
      </w:r>
    </w:p>
    <w:p w14:paraId="3BAEB3DD" w14:textId="3ADC4BDA" w:rsidR="00623106" w:rsidRDefault="00DC437E" w:rsidP="00600CFE">
      <w:pPr>
        <w:pStyle w:val="ONUMFS"/>
        <w:rPr>
          <w:lang w:eastAsia="en-US"/>
        </w:rPr>
      </w:pPr>
      <w:r>
        <w:rPr>
          <w:lang w:eastAsia="en-US"/>
        </w:rPr>
        <w:lastRenderedPageBreak/>
        <w:fldChar w:fldCharType="begin"/>
      </w:r>
      <w:r>
        <w:rPr>
          <w:lang w:eastAsia="en-US"/>
        </w:rPr>
        <w:instrText xml:space="preserve"> AUTONUM  </w:instrText>
      </w:r>
      <w:r>
        <w:rPr>
          <w:lang w:eastAsia="en-US"/>
        </w:rPr>
        <w:fldChar w:fldCharType="end"/>
      </w:r>
      <w:r>
        <w:rPr>
          <w:lang w:eastAsia="en-US"/>
        </w:rPr>
        <w:tab/>
        <w:t xml:space="preserve">The following are some highlights of the results.  </w:t>
      </w:r>
      <w:r w:rsidR="00623106">
        <w:rPr>
          <w:lang w:eastAsia="en-US"/>
        </w:rPr>
        <w:t xml:space="preserve">Percentages do not add </w:t>
      </w:r>
      <w:r w:rsidR="008C1C71">
        <w:rPr>
          <w:lang w:eastAsia="en-US"/>
        </w:rPr>
        <w:t xml:space="preserve">up </w:t>
      </w:r>
      <w:r w:rsidR="00623106">
        <w:rPr>
          <w:lang w:eastAsia="en-US"/>
        </w:rPr>
        <w:t>to 100</w:t>
      </w:r>
      <w:r w:rsidR="008C1C71">
        <w:rPr>
          <w:lang w:eastAsia="en-US"/>
        </w:rPr>
        <w:t xml:space="preserve"> per cent</w:t>
      </w:r>
      <w:r w:rsidR="00623106">
        <w:rPr>
          <w:lang w:eastAsia="en-US"/>
        </w:rPr>
        <w:t xml:space="preserve"> because most questions allow multiple answers.  This reflects that each IP</w:t>
      </w:r>
      <w:r w:rsidR="00E1366B">
        <w:rPr>
          <w:lang w:eastAsia="en-US"/>
        </w:rPr>
        <w:t>O</w:t>
      </w:r>
      <w:r w:rsidR="00623106">
        <w:rPr>
          <w:lang w:eastAsia="en-US"/>
        </w:rPr>
        <w:t xml:space="preserve"> publishes many different types of documents that may have different practices for representing dates.</w:t>
      </w:r>
    </w:p>
    <w:p w14:paraId="38370C50" w14:textId="19B5303C" w:rsidR="00D96263" w:rsidRDefault="00623106" w:rsidP="006C0A78">
      <w:pPr>
        <w:pStyle w:val="ONUMFS"/>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E250D2">
        <w:rPr>
          <w:lang w:eastAsia="en-US"/>
        </w:rPr>
        <w:t>The year-first order for numeric dates, e.g.</w:t>
      </w:r>
      <w:r w:rsidR="00323860">
        <w:rPr>
          <w:lang w:eastAsia="en-US"/>
        </w:rPr>
        <w:t>,</w:t>
      </w:r>
      <w:r w:rsidR="00E250D2">
        <w:rPr>
          <w:lang w:eastAsia="en-US"/>
        </w:rPr>
        <w:t xml:space="preserve"> 2022.09.27, is only </w:t>
      </w:r>
      <w:r w:rsidR="006C0A78">
        <w:rPr>
          <w:lang w:eastAsia="en-US"/>
        </w:rPr>
        <w:t xml:space="preserve">reported as being </w:t>
      </w:r>
      <w:r w:rsidR="00E250D2">
        <w:rPr>
          <w:lang w:eastAsia="en-US"/>
        </w:rPr>
        <w:t xml:space="preserve">used by </w:t>
      </w:r>
      <w:r w:rsidR="00AA6B45">
        <w:rPr>
          <w:lang w:eastAsia="en-US"/>
        </w:rPr>
        <w:t>16</w:t>
      </w:r>
      <w:r w:rsidR="00E250D2">
        <w:rPr>
          <w:lang w:eastAsia="en-US"/>
        </w:rPr>
        <w:t xml:space="preserve"> respondents</w:t>
      </w:r>
      <w:r w:rsidR="004A10C7">
        <w:rPr>
          <w:lang w:eastAsia="en-US"/>
        </w:rPr>
        <w:t xml:space="preserve"> </w:t>
      </w:r>
      <w:r w:rsidR="00AA6B45">
        <w:rPr>
          <w:lang w:eastAsia="en-US"/>
        </w:rPr>
        <w:t>(43</w:t>
      </w:r>
      <w:r w:rsidR="008C1C71">
        <w:rPr>
          <w:lang w:eastAsia="en-US"/>
        </w:rPr>
        <w:t xml:space="preserve"> per cent</w:t>
      </w:r>
      <w:r w:rsidR="00AA6B45">
        <w:rPr>
          <w:lang w:eastAsia="en-US"/>
        </w:rPr>
        <w:t xml:space="preserve">) </w:t>
      </w:r>
      <w:r w:rsidR="004A10C7">
        <w:rPr>
          <w:lang w:eastAsia="en-US"/>
        </w:rPr>
        <w:t xml:space="preserve">on </w:t>
      </w:r>
      <w:r w:rsidR="000857E1">
        <w:rPr>
          <w:lang w:eastAsia="en-US"/>
        </w:rPr>
        <w:t>q</w:t>
      </w:r>
      <w:r w:rsidR="004A10C7">
        <w:rPr>
          <w:lang w:eastAsia="en-US"/>
        </w:rPr>
        <w:t>uestion 1</w:t>
      </w:r>
      <w:r w:rsidR="00367D2C">
        <w:rPr>
          <w:lang w:eastAsia="en-US"/>
        </w:rPr>
        <w:t xml:space="preserve"> of the Survey</w:t>
      </w:r>
      <w:r w:rsidR="00E250D2">
        <w:rPr>
          <w:lang w:eastAsia="en-US"/>
        </w:rPr>
        <w:t xml:space="preserve">, despite being the preferred format recommended by </w:t>
      </w:r>
      <w:r w:rsidR="00867670">
        <w:rPr>
          <w:lang w:eastAsia="en-US"/>
        </w:rPr>
        <w:t xml:space="preserve">WIPO Standard </w:t>
      </w:r>
      <w:r w:rsidR="00E250D2">
        <w:rPr>
          <w:lang w:eastAsia="en-US"/>
        </w:rPr>
        <w:t>ST.2 for usage by IPOs since 1997.  Day-first order, e.g.</w:t>
      </w:r>
      <w:r w:rsidR="00323860">
        <w:rPr>
          <w:lang w:eastAsia="en-US"/>
        </w:rPr>
        <w:t>,</w:t>
      </w:r>
      <w:r w:rsidR="00E250D2">
        <w:rPr>
          <w:lang w:eastAsia="en-US"/>
        </w:rPr>
        <w:t xml:space="preserve"> 27.09.2022, is </w:t>
      </w:r>
      <w:r w:rsidR="006C0A78">
        <w:rPr>
          <w:lang w:eastAsia="en-US"/>
        </w:rPr>
        <w:t xml:space="preserve">reported as being </w:t>
      </w:r>
      <w:r w:rsidR="00E250D2">
        <w:rPr>
          <w:lang w:eastAsia="en-US"/>
        </w:rPr>
        <w:t>used by 68</w:t>
      </w:r>
      <w:r w:rsidR="008C1C71">
        <w:rPr>
          <w:lang w:eastAsia="en-US"/>
        </w:rPr>
        <w:t xml:space="preserve"> per cent</w:t>
      </w:r>
      <w:r w:rsidR="00E250D2">
        <w:rPr>
          <w:lang w:eastAsia="en-US"/>
        </w:rPr>
        <w:t xml:space="preserve"> of respondents</w:t>
      </w:r>
      <w:r w:rsidR="0059485E">
        <w:rPr>
          <w:lang w:eastAsia="en-US"/>
        </w:rPr>
        <w:t xml:space="preserve"> in contradiction of ST.2</w:t>
      </w:r>
      <w:r w:rsidR="00E250D2">
        <w:rPr>
          <w:lang w:eastAsia="en-US"/>
        </w:rPr>
        <w:t xml:space="preserve">.  The remaining respondents either </w:t>
      </w:r>
      <w:r w:rsidR="00BD39A7">
        <w:rPr>
          <w:lang w:eastAsia="en-US"/>
        </w:rPr>
        <w:t>use another format or do not use purely numeric dates.</w:t>
      </w:r>
    </w:p>
    <w:p w14:paraId="07D2F5B6" w14:textId="213646EC" w:rsidR="007D52C4" w:rsidRDefault="007D52C4" w:rsidP="007D52C4">
      <w:pPr>
        <w:pStyle w:val="ONUMFS"/>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t xml:space="preserve">The statistics on </w:t>
      </w:r>
      <w:r w:rsidR="000857E1">
        <w:rPr>
          <w:lang w:eastAsia="en-US"/>
        </w:rPr>
        <w:t>q</w:t>
      </w:r>
      <w:r>
        <w:rPr>
          <w:lang w:eastAsia="en-US"/>
        </w:rPr>
        <w:t>uestion 1 are misleading for several reasons:</w:t>
      </w:r>
    </w:p>
    <w:p w14:paraId="4328F0DA" w14:textId="1D8BD297" w:rsidR="007D52C4" w:rsidRDefault="007D52C4" w:rsidP="002E0871">
      <w:pPr>
        <w:pStyle w:val="ONUMFS"/>
        <w:numPr>
          <w:ilvl w:val="0"/>
          <w:numId w:val="11"/>
        </w:numPr>
        <w:rPr>
          <w:lang w:eastAsia="en-US"/>
        </w:rPr>
      </w:pPr>
      <w:r>
        <w:rPr>
          <w:lang w:eastAsia="en-US"/>
        </w:rPr>
        <w:t xml:space="preserve">Respondents were allowed to select multiple answers on </w:t>
      </w:r>
      <w:r w:rsidR="000857E1">
        <w:rPr>
          <w:lang w:eastAsia="en-US"/>
        </w:rPr>
        <w:t>q</w:t>
      </w:r>
      <w:r>
        <w:rPr>
          <w:lang w:eastAsia="en-US"/>
        </w:rPr>
        <w:t>uestion 1, to reflect that different documents may have different date practices.  Many respondents who chose year-first also chose day-first.  Only nine respondents (24</w:t>
      </w:r>
      <w:r w:rsidR="008C1C71">
        <w:rPr>
          <w:lang w:eastAsia="en-US"/>
        </w:rPr>
        <w:t xml:space="preserve"> per cent</w:t>
      </w:r>
      <w:r>
        <w:rPr>
          <w:lang w:eastAsia="en-US"/>
        </w:rPr>
        <w:t xml:space="preserve">) reported using year-first as their only date order, in compliance with ST.2.  Those respondents are </w:t>
      </w:r>
      <w:r w:rsidR="00821DD7">
        <w:rPr>
          <w:lang w:eastAsia="en-US"/>
        </w:rPr>
        <w:t xml:space="preserve">the </w:t>
      </w:r>
      <w:r w:rsidR="00FD3663">
        <w:rPr>
          <w:lang w:eastAsia="en-US"/>
        </w:rPr>
        <w:t xml:space="preserve">following </w:t>
      </w:r>
      <w:r w:rsidR="00821DD7">
        <w:rPr>
          <w:lang w:eastAsia="en-US"/>
        </w:rPr>
        <w:t xml:space="preserve">IPOs: </w:t>
      </w:r>
      <w:r>
        <w:rPr>
          <w:lang w:eastAsia="en-US"/>
        </w:rPr>
        <w:t>China</w:t>
      </w:r>
      <w:proofErr w:type="gramStart"/>
      <w:r>
        <w:rPr>
          <w:lang w:eastAsia="en-US"/>
        </w:rPr>
        <w:t>;  Denmark</w:t>
      </w:r>
      <w:proofErr w:type="gramEnd"/>
      <w:r>
        <w:rPr>
          <w:lang w:eastAsia="en-US"/>
        </w:rPr>
        <w:t>;  Hungary;  Japan;  Lithuania;  Norway;  Portugal;  Sweden</w:t>
      </w:r>
      <w:r w:rsidR="00821DD7">
        <w:rPr>
          <w:lang w:eastAsia="en-US"/>
        </w:rPr>
        <w:t>; and EAPO</w:t>
      </w:r>
      <w:r>
        <w:rPr>
          <w:lang w:eastAsia="en-US"/>
        </w:rPr>
        <w:t>.</w:t>
      </w:r>
    </w:p>
    <w:p w14:paraId="6B4201FE" w14:textId="77777777" w:rsidR="007D52C4" w:rsidRDefault="007D52C4" w:rsidP="002E0871">
      <w:pPr>
        <w:pStyle w:val="ONUMFS"/>
        <w:numPr>
          <w:ilvl w:val="0"/>
          <w:numId w:val="11"/>
        </w:numPr>
        <w:rPr>
          <w:lang w:eastAsia="en-US"/>
        </w:rPr>
      </w:pPr>
      <w:r>
        <w:rPr>
          <w:lang w:eastAsia="en-US"/>
        </w:rPr>
        <w:t>At least one respondent did not select year-first as one of the date formats they use, but indicated in comments that they do in fact use year-first date formats in some circumstances.</w:t>
      </w:r>
    </w:p>
    <w:p w14:paraId="76483E57" w14:textId="23A8A15A" w:rsidR="007D52C4" w:rsidRDefault="007D52C4" w:rsidP="002E0871">
      <w:pPr>
        <w:pStyle w:val="ONUMFS"/>
        <w:numPr>
          <w:ilvl w:val="0"/>
          <w:numId w:val="11"/>
        </w:numPr>
        <w:rPr>
          <w:lang w:eastAsia="en-US"/>
        </w:rPr>
      </w:pPr>
      <w:r>
        <w:rPr>
          <w:lang w:eastAsia="en-US"/>
        </w:rPr>
        <w:t xml:space="preserve">On </w:t>
      </w:r>
      <w:r w:rsidR="000857E1">
        <w:rPr>
          <w:lang w:eastAsia="en-US"/>
        </w:rPr>
        <w:t>q</w:t>
      </w:r>
      <w:r>
        <w:rPr>
          <w:lang w:eastAsia="en-US"/>
        </w:rPr>
        <w:t xml:space="preserve">uestion 6, 24 respondents reported using one of the specific year-first formats.  This suggests that the </w:t>
      </w:r>
      <w:r w:rsidR="00367D2C">
        <w:rPr>
          <w:lang w:eastAsia="en-US"/>
        </w:rPr>
        <w:t>eight</w:t>
      </w:r>
      <w:r>
        <w:rPr>
          <w:lang w:eastAsia="en-US"/>
        </w:rPr>
        <w:t xml:space="preserve"> respondents</w:t>
      </w:r>
      <w:r w:rsidR="00367D2C">
        <w:rPr>
          <w:lang w:eastAsia="en-US"/>
        </w:rPr>
        <w:t>,</w:t>
      </w:r>
      <w:r>
        <w:rPr>
          <w:lang w:eastAsia="en-US"/>
        </w:rPr>
        <w:t xml:space="preserve"> who chose a year-first format on </w:t>
      </w:r>
      <w:r w:rsidR="000857E1">
        <w:rPr>
          <w:lang w:eastAsia="en-US"/>
        </w:rPr>
        <w:t>q</w:t>
      </w:r>
      <w:r>
        <w:rPr>
          <w:lang w:eastAsia="en-US"/>
        </w:rPr>
        <w:t xml:space="preserve">uestion 6 but did not answer year-first on </w:t>
      </w:r>
      <w:r w:rsidR="000857E1">
        <w:rPr>
          <w:lang w:eastAsia="en-US"/>
        </w:rPr>
        <w:t>q</w:t>
      </w:r>
      <w:r>
        <w:rPr>
          <w:lang w:eastAsia="en-US"/>
        </w:rPr>
        <w:t>uestion 1</w:t>
      </w:r>
      <w:r w:rsidR="00367D2C">
        <w:rPr>
          <w:lang w:eastAsia="en-US"/>
        </w:rPr>
        <w:t>,</w:t>
      </w:r>
      <w:r>
        <w:rPr>
          <w:lang w:eastAsia="en-US"/>
        </w:rPr>
        <w:t xml:space="preserve"> </w:t>
      </w:r>
      <w:r w:rsidR="000857E1">
        <w:rPr>
          <w:lang w:eastAsia="en-US"/>
        </w:rPr>
        <w:t xml:space="preserve">perhaps </w:t>
      </w:r>
      <w:r>
        <w:rPr>
          <w:lang w:eastAsia="en-US"/>
        </w:rPr>
        <w:t xml:space="preserve">misunderstood </w:t>
      </w:r>
      <w:r w:rsidR="000857E1">
        <w:rPr>
          <w:lang w:eastAsia="en-US"/>
        </w:rPr>
        <w:t>q</w:t>
      </w:r>
      <w:r>
        <w:rPr>
          <w:lang w:eastAsia="en-US"/>
        </w:rPr>
        <w:t>uestion</w:t>
      </w:r>
      <w:r w:rsidR="00367D2C">
        <w:rPr>
          <w:lang w:eastAsia="en-US"/>
        </w:rPr>
        <w:t xml:space="preserve"> 1</w:t>
      </w:r>
      <w:r>
        <w:rPr>
          <w:lang w:eastAsia="en-US"/>
        </w:rPr>
        <w:t>.</w:t>
      </w:r>
    </w:p>
    <w:p w14:paraId="32E02989" w14:textId="2C20E426" w:rsidR="00D2749D" w:rsidRDefault="00BD39A7" w:rsidP="00600CFE">
      <w:pPr>
        <w:pStyle w:val="ONUMFS"/>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D2749D">
        <w:rPr>
          <w:lang w:eastAsia="en-US"/>
        </w:rPr>
        <w:t xml:space="preserve">The most commonly used separator between </w:t>
      </w:r>
      <w:r w:rsidR="0059485E">
        <w:rPr>
          <w:lang w:eastAsia="en-US"/>
        </w:rPr>
        <w:t>date components is a dot “.” (68</w:t>
      </w:r>
      <w:r w:rsidR="008C1C71">
        <w:rPr>
          <w:lang w:eastAsia="en-US"/>
        </w:rPr>
        <w:t xml:space="preserve"> per cent</w:t>
      </w:r>
      <w:r w:rsidR="00D2749D">
        <w:rPr>
          <w:lang w:eastAsia="en-US"/>
        </w:rPr>
        <w:t xml:space="preserve">), followed by dash “-“, space, or comma.  </w:t>
      </w:r>
      <w:proofErr w:type="gramStart"/>
      <w:r w:rsidR="00D2749D">
        <w:rPr>
          <w:lang w:eastAsia="en-US"/>
        </w:rPr>
        <w:t>However</w:t>
      </w:r>
      <w:proofErr w:type="gramEnd"/>
      <w:r w:rsidR="00D2749D">
        <w:rPr>
          <w:lang w:eastAsia="en-US"/>
        </w:rPr>
        <w:t xml:space="preserve"> 32</w:t>
      </w:r>
      <w:r w:rsidR="008C1C71">
        <w:rPr>
          <w:lang w:eastAsia="en-US"/>
        </w:rPr>
        <w:t xml:space="preserve"> per cent</w:t>
      </w:r>
      <w:r w:rsidR="00D2749D">
        <w:rPr>
          <w:lang w:eastAsia="en-US"/>
        </w:rPr>
        <w:t xml:space="preserve"> of respondents reported using a different separator in at least some of their published dates.</w:t>
      </w:r>
    </w:p>
    <w:p w14:paraId="5CA649C1" w14:textId="308AC4BE" w:rsidR="00DC437E" w:rsidRDefault="00D2749D" w:rsidP="00600CFE">
      <w:pPr>
        <w:pStyle w:val="ONUMFS"/>
        <w:rPr>
          <w:lang w:eastAsia="en-US"/>
        </w:rPr>
      </w:pPr>
      <w:r>
        <w:rPr>
          <w:lang w:eastAsia="en-US"/>
        </w:rPr>
        <w:fldChar w:fldCharType="begin"/>
      </w:r>
      <w:r>
        <w:rPr>
          <w:lang w:eastAsia="en-US"/>
        </w:rPr>
        <w:instrText xml:space="preserve"> AUTONUM  </w:instrText>
      </w:r>
      <w:r>
        <w:rPr>
          <w:lang w:eastAsia="en-US"/>
        </w:rPr>
        <w:fldChar w:fldCharType="end"/>
      </w:r>
      <w:r w:rsidR="0059485E">
        <w:rPr>
          <w:lang w:eastAsia="en-US"/>
        </w:rPr>
        <w:tab/>
        <w:t>A little over 80</w:t>
      </w:r>
      <w:r w:rsidR="008C1C71">
        <w:rPr>
          <w:lang w:eastAsia="en-US"/>
        </w:rPr>
        <w:t xml:space="preserve"> per cent</w:t>
      </w:r>
      <w:r>
        <w:rPr>
          <w:lang w:eastAsia="en-US"/>
        </w:rPr>
        <w:t xml:space="preserve"> of respondents reported that leading zeroes are always included in numeric dates, such as </w:t>
      </w:r>
      <w:r w:rsidR="000E0241">
        <w:rPr>
          <w:lang w:eastAsia="en-US"/>
        </w:rPr>
        <w:t>“</w:t>
      </w:r>
      <w:r>
        <w:rPr>
          <w:lang w:eastAsia="en-US"/>
        </w:rPr>
        <w:t>09</w:t>
      </w:r>
      <w:r w:rsidR="000E0241">
        <w:rPr>
          <w:lang w:eastAsia="en-US"/>
        </w:rPr>
        <w:t>”</w:t>
      </w:r>
      <w:r w:rsidR="0059485E">
        <w:rPr>
          <w:lang w:eastAsia="en-US"/>
        </w:rPr>
        <w:t xml:space="preserve"> for September.  However, 19</w:t>
      </w:r>
      <w:r w:rsidR="008C1C71">
        <w:rPr>
          <w:lang w:eastAsia="en-US"/>
        </w:rPr>
        <w:t xml:space="preserve"> per cent</w:t>
      </w:r>
      <w:r>
        <w:rPr>
          <w:lang w:eastAsia="en-US"/>
        </w:rPr>
        <w:t xml:space="preserve"> of respondents </w:t>
      </w:r>
      <w:r w:rsidR="00DD4E8D">
        <w:rPr>
          <w:lang w:eastAsia="en-US"/>
        </w:rPr>
        <w:t>stated that they do omit leading zeroes in some circumstances.  This contradicts the recommendations of ST.2, which since 1997 has recommended always using two digits for day and month to avoid confusion.</w:t>
      </w:r>
    </w:p>
    <w:p w14:paraId="72685AE9" w14:textId="6CEC8BBE" w:rsidR="00D2749D" w:rsidRDefault="00DD4E8D" w:rsidP="00600CFE">
      <w:pPr>
        <w:pStyle w:val="ONUMFS"/>
        <w:rPr>
          <w:lang w:eastAsia="en-US"/>
        </w:rPr>
      </w:pPr>
      <w:r>
        <w:rPr>
          <w:lang w:eastAsia="en-US"/>
        </w:rPr>
        <w:fldChar w:fldCharType="begin"/>
      </w:r>
      <w:r>
        <w:rPr>
          <w:lang w:eastAsia="en-US"/>
        </w:rPr>
        <w:instrText xml:space="preserve"> AUTONUM  </w:instrText>
      </w:r>
      <w:r>
        <w:rPr>
          <w:lang w:eastAsia="en-US"/>
        </w:rPr>
        <w:fldChar w:fldCharType="end"/>
      </w:r>
      <w:r w:rsidR="0059485E">
        <w:rPr>
          <w:lang w:eastAsia="en-US"/>
        </w:rPr>
        <w:tab/>
        <w:t>Slightly more than half (51</w:t>
      </w:r>
      <w:r w:rsidR="008C1C71">
        <w:rPr>
          <w:lang w:eastAsia="en-US"/>
        </w:rPr>
        <w:t xml:space="preserve"> per cent</w:t>
      </w:r>
      <w:r>
        <w:rPr>
          <w:lang w:eastAsia="en-US"/>
        </w:rPr>
        <w:t xml:space="preserve">) of respondents report that they never spell out the names of months in any dates.  </w:t>
      </w:r>
      <w:r w:rsidR="00DC5989">
        <w:rPr>
          <w:lang w:eastAsia="en-US"/>
        </w:rPr>
        <w:t>The remaining respondents use either full or abbreviated month names in at least some published dates.  The most commonly used languages for month names are English (47</w:t>
      </w:r>
      <w:r w:rsidR="008C1C71">
        <w:rPr>
          <w:lang w:eastAsia="en-US"/>
        </w:rPr>
        <w:t xml:space="preserve"> per cent</w:t>
      </w:r>
      <w:r w:rsidR="00DC5989">
        <w:rPr>
          <w:lang w:eastAsia="en-US"/>
        </w:rPr>
        <w:t>), Spanish (21</w:t>
      </w:r>
      <w:r w:rsidR="008C1C71">
        <w:rPr>
          <w:lang w:eastAsia="en-US"/>
        </w:rPr>
        <w:t xml:space="preserve"> per cent</w:t>
      </w:r>
      <w:r w:rsidR="00DC5989">
        <w:rPr>
          <w:lang w:eastAsia="en-US"/>
        </w:rPr>
        <w:t>), and French (15</w:t>
      </w:r>
      <w:r w:rsidR="008C1C71">
        <w:rPr>
          <w:lang w:eastAsia="en-US"/>
        </w:rPr>
        <w:t xml:space="preserve"> per cent</w:t>
      </w:r>
      <w:r w:rsidR="00DC5989">
        <w:rPr>
          <w:lang w:eastAsia="en-US"/>
        </w:rPr>
        <w:t>).</w:t>
      </w:r>
    </w:p>
    <w:p w14:paraId="287488C5" w14:textId="15659CF8" w:rsidR="00623106" w:rsidRDefault="00DC5989" w:rsidP="00600CFE">
      <w:pPr>
        <w:pStyle w:val="ONUMFS"/>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t xml:space="preserve">Among date formats used by respondents, the most common </w:t>
      </w:r>
      <w:r w:rsidR="008A748C">
        <w:rPr>
          <w:lang w:eastAsia="en-US"/>
        </w:rPr>
        <w:t xml:space="preserve">(regardless of separators) </w:t>
      </w:r>
      <w:r>
        <w:rPr>
          <w:lang w:eastAsia="en-US"/>
        </w:rPr>
        <w:t>is</w:t>
      </w:r>
      <w:r w:rsidRPr="00DC5989">
        <w:rPr>
          <w:lang w:eastAsia="en-US"/>
        </w:rPr>
        <w:t xml:space="preserve"> </w:t>
      </w:r>
      <w:r w:rsidR="008A748C">
        <w:rPr>
          <w:lang w:eastAsia="en-US"/>
        </w:rPr>
        <w:t>DD.MM</w:t>
      </w:r>
      <w:r w:rsidR="0059485E">
        <w:rPr>
          <w:lang w:eastAsia="en-US"/>
        </w:rPr>
        <w:t>.CCYY used by 27 respondents (73</w:t>
      </w:r>
      <w:r w:rsidR="008C1C71">
        <w:rPr>
          <w:lang w:eastAsia="en-US"/>
        </w:rPr>
        <w:t xml:space="preserve"> per cent</w:t>
      </w:r>
      <w:r w:rsidR="008A748C">
        <w:rPr>
          <w:lang w:eastAsia="en-US"/>
        </w:rPr>
        <w:t xml:space="preserve">), followed by </w:t>
      </w:r>
      <w:r w:rsidRPr="00DC5989">
        <w:rPr>
          <w:lang w:eastAsia="en-US"/>
        </w:rPr>
        <w:t>CCYY.MM.DD</w:t>
      </w:r>
      <w:r w:rsidR="0059485E">
        <w:rPr>
          <w:lang w:eastAsia="en-US"/>
        </w:rPr>
        <w:t xml:space="preserve"> used by 24 respondents (65</w:t>
      </w:r>
      <w:r w:rsidR="008C1C71">
        <w:rPr>
          <w:lang w:eastAsia="en-US"/>
        </w:rPr>
        <w:t xml:space="preserve"> per cent</w:t>
      </w:r>
      <w:r w:rsidR="008A748C">
        <w:rPr>
          <w:lang w:eastAsia="en-US"/>
        </w:rPr>
        <w:t xml:space="preserve">).  </w:t>
      </w:r>
      <w:r w:rsidR="00787EC8">
        <w:rPr>
          <w:lang w:eastAsia="en-US"/>
        </w:rPr>
        <w:t>Other common formats are DD.MM.YY by 13 respondents (36</w:t>
      </w:r>
      <w:r w:rsidR="008C1C71">
        <w:rPr>
          <w:lang w:eastAsia="en-US"/>
        </w:rPr>
        <w:t xml:space="preserve"> per cent</w:t>
      </w:r>
      <w:r w:rsidR="00787EC8">
        <w:rPr>
          <w:lang w:eastAsia="en-US"/>
        </w:rPr>
        <w:t>)</w:t>
      </w:r>
      <w:r w:rsidR="0059485E">
        <w:rPr>
          <w:lang w:eastAsia="en-US"/>
        </w:rPr>
        <w:t>,</w:t>
      </w:r>
      <w:r w:rsidR="00787EC8">
        <w:rPr>
          <w:lang w:eastAsia="en-US"/>
        </w:rPr>
        <w:t xml:space="preserve"> </w:t>
      </w:r>
      <w:r w:rsidR="0059485E" w:rsidRPr="0059485E">
        <w:rPr>
          <w:lang w:eastAsia="en-US"/>
        </w:rPr>
        <w:t>CCYY.(M)M.(D)D</w:t>
      </w:r>
      <w:r w:rsidR="0059485E">
        <w:rPr>
          <w:lang w:eastAsia="en-US"/>
        </w:rPr>
        <w:t xml:space="preserve"> i.e. </w:t>
      </w:r>
      <w:r w:rsidR="00787EC8">
        <w:rPr>
          <w:lang w:eastAsia="en-US"/>
        </w:rPr>
        <w:t>year-fi</w:t>
      </w:r>
      <w:r w:rsidR="0059485E">
        <w:rPr>
          <w:lang w:eastAsia="en-US"/>
        </w:rPr>
        <w:t>rst with leading zeroes omitted by 12 respondents (32</w:t>
      </w:r>
      <w:r w:rsidR="008C1C71">
        <w:rPr>
          <w:lang w:eastAsia="en-US"/>
        </w:rPr>
        <w:t xml:space="preserve"> per cent</w:t>
      </w:r>
      <w:r w:rsidR="00787EC8">
        <w:rPr>
          <w:lang w:eastAsia="en-US"/>
        </w:rPr>
        <w:t xml:space="preserve">), and </w:t>
      </w:r>
      <w:r w:rsidR="0059485E" w:rsidRPr="0059485E">
        <w:rPr>
          <w:lang w:eastAsia="en-US"/>
        </w:rPr>
        <w:t>(D)D.(M)M.CCYY</w:t>
      </w:r>
      <w:r w:rsidR="0059485E">
        <w:rPr>
          <w:lang w:eastAsia="en-US"/>
        </w:rPr>
        <w:t xml:space="preserve"> i.e. </w:t>
      </w:r>
      <w:r w:rsidR="00787EC8">
        <w:rPr>
          <w:lang w:eastAsia="en-US"/>
        </w:rPr>
        <w:t>day-first with leading zeroes omitted by 10 respondents</w:t>
      </w:r>
      <w:r w:rsidR="0059485E">
        <w:rPr>
          <w:lang w:eastAsia="en-US"/>
        </w:rPr>
        <w:t xml:space="preserve"> (27</w:t>
      </w:r>
      <w:r w:rsidR="008C1C71">
        <w:rPr>
          <w:lang w:eastAsia="en-US"/>
        </w:rPr>
        <w:t xml:space="preserve"> per cent</w:t>
      </w:r>
      <w:r w:rsidR="00623106">
        <w:rPr>
          <w:lang w:eastAsia="en-US"/>
        </w:rPr>
        <w:t xml:space="preserve">).  Also used are </w:t>
      </w:r>
      <w:r w:rsidR="00787EC8" w:rsidRPr="00787EC8">
        <w:rPr>
          <w:lang w:eastAsia="en-US"/>
        </w:rPr>
        <w:t>(D)D.MM.YY</w:t>
      </w:r>
      <w:r w:rsidR="0059485E">
        <w:rPr>
          <w:lang w:eastAsia="en-US"/>
        </w:rPr>
        <w:t xml:space="preserve"> by 9 respondents (24</w:t>
      </w:r>
      <w:r w:rsidR="008C1C71">
        <w:rPr>
          <w:lang w:eastAsia="en-US"/>
        </w:rPr>
        <w:t xml:space="preserve"> per cent</w:t>
      </w:r>
      <w:r w:rsidR="00787EC8">
        <w:rPr>
          <w:lang w:eastAsia="en-US"/>
        </w:rPr>
        <w:t>) and YY.MM.DD or YY.(M)M.(D)D by 8 respondents each (22</w:t>
      </w:r>
      <w:r w:rsidR="008C1C71">
        <w:rPr>
          <w:lang w:eastAsia="en-US"/>
        </w:rPr>
        <w:t xml:space="preserve"> per cent</w:t>
      </w:r>
      <w:r w:rsidR="00787EC8">
        <w:rPr>
          <w:lang w:eastAsia="en-US"/>
        </w:rPr>
        <w:t>)</w:t>
      </w:r>
      <w:r w:rsidR="00623106">
        <w:rPr>
          <w:lang w:eastAsia="en-US"/>
        </w:rPr>
        <w:t>.</w:t>
      </w:r>
    </w:p>
    <w:p w14:paraId="0262ED6E" w14:textId="323461F0" w:rsidR="005E13B4" w:rsidRDefault="00623106" w:rsidP="00675404">
      <w:pPr>
        <w:pStyle w:val="ONUMFS"/>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t>For date storage, 28 respondents (75</w:t>
      </w:r>
      <w:r w:rsidR="008C1C71">
        <w:rPr>
          <w:lang w:eastAsia="en-US"/>
        </w:rPr>
        <w:t xml:space="preserve"> per cent</w:t>
      </w:r>
      <w:r>
        <w:rPr>
          <w:lang w:eastAsia="en-US"/>
        </w:rPr>
        <w:t>) report using database fields to store date formats for IP documents.  A timestamp (number of second or milliseconds from a fixed poi</w:t>
      </w:r>
      <w:r w:rsidR="006F1453">
        <w:rPr>
          <w:lang w:eastAsia="en-US"/>
        </w:rPr>
        <w:t xml:space="preserve">nt) is used by </w:t>
      </w:r>
      <w:r w:rsidR="00D90B18">
        <w:rPr>
          <w:lang w:eastAsia="en-US"/>
        </w:rPr>
        <w:t>six</w:t>
      </w:r>
      <w:r w:rsidR="006F1453">
        <w:rPr>
          <w:lang w:eastAsia="en-US"/>
        </w:rPr>
        <w:t xml:space="preserve"> respondents (16</w:t>
      </w:r>
      <w:r w:rsidR="008C1C71">
        <w:rPr>
          <w:lang w:eastAsia="en-US"/>
        </w:rPr>
        <w:t xml:space="preserve"> per cent</w:t>
      </w:r>
      <w:r>
        <w:rPr>
          <w:lang w:eastAsia="en-US"/>
        </w:rPr>
        <w:t xml:space="preserve">), while a different integer-based offset is used by </w:t>
      </w:r>
      <w:r w:rsidR="00D90B18">
        <w:rPr>
          <w:lang w:eastAsia="en-US"/>
        </w:rPr>
        <w:t>four</w:t>
      </w:r>
      <w:r>
        <w:rPr>
          <w:lang w:eastAsia="en-US"/>
        </w:rPr>
        <w:t xml:space="preserve"> respondents (11</w:t>
      </w:r>
      <w:r w:rsidR="008C1C71">
        <w:rPr>
          <w:lang w:eastAsia="en-US"/>
        </w:rPr>
        <w:t xml:space="preserve"> per cent</w:t>
      </w:r>
      <w:r>
        <w:rPr>
          <w:lang w:eastAsia="en-US"/>
        </w:rPr>
        <w:t>).</w:t>
      </w:r>
      <w:r w:rsidR="00283926">
        <w:rPr>
          <w:lang w:eastAsia="en-US"/>
        </w:rPr>
        <w:t xml:space="preserve">  Only </w:t>
      </w:r>
      <w:r w:rsidR="00D90B18">
        <w:rPr>
          <w:lang w:eastAsia="en-US"/>
        </w:rPr>
        <w:t>four</w:t>
      </w:r>
      <w:r w:rsidR="00283926">
        <w:rPr>
          <w:lang w:eastAsia="en-US"/>
        </w:rPr>
        <w:t xml:space="preserve"> respondents indicated that their systems </w:t>
      </w:r>
      <w:proofErr w:type="gramStart"/>
      <w:r w:rsidR="00283926">
        <w:rPr>
          <w:lang w:eastAsia="en-US"/>
        </w:rPr>
        <w:t>may</w:t>
      </w:r>
      <w:proofErr w:type="gramEnd"/>
      <w:r w:rsidR="00283926">
        <w:rPr>
          <w:lang w:eastAsia="en-US"/>
        </w:rPr>
        <w:t xml:space="preserve"> </w:t>
      </w:r>
      <w:r w:rsidR="006F1453">
        <w:rPr>
          <w:lang w:eastAsia="en-US"/>
        </w:rPr>
        <w:t xml:space="preserve">potentially </w:t>
      </w:r>
      <w:r w:rsidR="00283926">
        <w:rPr>
          <w:lang w:eastAsia="en-US"/>
        </w:rPr>
        <w:t>be affected by timestamp date rollovers in 2036, 2038, or 2079.</w:t>
      </w:r>
    </w:p>
    <w:p w14:paraId="283B4764" w14:textId="77777777" w:rsidR="00600CFE" w:rsidRPr="003A5F87" w:rsidRDefault="00600CFE" w:rsidP="00600CFE">
      <w:pPr>
        <w:pStyle w:val="ONUMFS"/>
        <w:spacing w:after="120"/>
        <w:ind w:left="5530"/>
        <w:rPr>
          <w:i/>
        </w:rPr>
      </w:pPr>
      <w:r>
        <w:rPr>
          <w:i/>
          <w:szCs w:val="22"/>
        </w:rPr>
        <w:fldChar w:fldCharType="begin"/>
      </w:r>
      <w:r>
        <w:rPr>
          <w:i/>
          <w:szCs w:val="22"/>
        </w:rPr>
        <w:instrText xml:space="preserve"> AUTONUM  </w:instrText>
      </w:r>
      <w:r>
        <w:rPr>
          <w:i/>
          <w:szCs w:val="22"/>
        </w:rPr>
        <w:fldChar w:fldCharType="end"/>
      </w:r>
      <w:r>
        <w:rPr>
          <w:i/>
          <w:szCs w:val="22"/>
        </w:rPr>
        <w:tab/>
      </w:r>
      <w:r w:rsidRPr="003A5F87">
        <w:rPr>
          <w:i/>
          <w:szCs w:val="22"/>
        </w:rPr>
        <w:t>Th</w:t>
      </w:r>
      <w:r w:rsidRPr="003A5F87">
        <w:rPr>
          <w:i/>
        </w:rPr>
        <w:t xml:space="preserve">e CWS is invited to: </w:t>
      </w:r>
    </w:p>
    <w:p w14:paraId="052E842D" w14:textId="77777777" w:rsidR="00600CFE" w:rsidRDefault="00600CFE" w:rsidP="000E0241">
      <w:pPr>
        <w:pStyle w:val="BodyText"/>
        <w:numPr>
          <w:ilvl w:val="0"/>
          <w:numId w:val="8"/>
        </w:numPr>
        <w:tabs>
          <w:tab w:val="left" w:pos="6160"/>
          <w:tab w:val="left" w:pos="6710"/>
        </w:tabs>
        <w:ind w:left="5530" w:firstLine="562"/>
        <w:rPr>
          <w:i/>
        </w:rPr>
      </w:pPr>
      <w:r w:rsidRPr="006A730D">
        <w:rPr>
          <w:i/>
        </w:rPr>
        <w:t xml:space="preserve">note the content of </w:t>
      </w:r>
      <w:r>
        <w:rPr>
          <w:i/>
        </w:rPr>
        <w:t xml:space="preserve">this </w:t>
      </w:r>
      <w:r w:rsidRPr="006A730D">
        <w:rPr>
          <w:i/>
        </w:rPr>
        <w:t>document;</w:t>
      </w:r>
      <w:r w:rsidR="00DC437E">
        <w:rPr>
          <w:i/>
        </w:rPr>
        <w:t xml:space="preserve"> and</w:t>
      </w:r>
      <w:r>
        <w:rPr>
          <w:i/>
        </w:rPr>
        <w:t xml:space="preserve"> </w:t>
      </w:r>
    </w:p>
    <w:p w14:paraId="64916958" w14:textId="4EE1160D" w:rsidR="00600CFE" w:rsidRPr="006A730D" w:rsidRDefault="00DC437E" w:rsidP="000E0241">
      <w:pPr>
        <w:pStyle w:val="BodyText"/>
        <w:numPr>
          <w:ilvl w:val="0"/>
          <w:numId w:val="8"/>
        </w:numPr>
        <w:tabs>
          <w:tab w:val="left" w:pos="6160"/>
          <w:tab w:val="left" w:pos="6710"/>
        </w:tabs>
        <w:ind w:left="5530" w:firstLine="562"/>
        <w:rPr>
          <w:i/>
        </w:rPr>
      </w:pPr>
      <w:proofErr w:type="gramStart"/>
      <w:r w:rsidRPr="00DC437E">
        <w:rPr>
          <w:i/>
        </w:rPr>
        <w:t>consider</w:t>
      </w:r>
      <w:proofErr w:type="gramEnd"/>
      <w:r w:rsidRPr="00DC437E">
        <w:rPr>
          <w:i/>
        </w:rPr>
        <w:t xml:space="preserve"> and approve the contents of the survey analysis</w:t>
      </w:r>
      <w:r w:rsidR="00367D2C">
        <w:rPr>
          <w:i/>
        </w:rPr>
        <w:t xml:space="preserve"> as indicated</w:t>
      </w:r>
      <w:r w:rsidRPr="00DC437E">
        <w:rPr>
          <w:i/>
        </w:rPr>
        <w:t xml:space="preserve"> in paragraphs 3 to </w:t>
      </w:r>
      <w:r w:rsidR="00283926">
        <w:rPr>
          <w:i/>
        </w:rPr>
        <w:t>1</w:t>
      </w:r>
      <w:r w:rsidR="00367D2C">
        <w:rPr>
          <w:i/>
        </w:rPr>
        <w:t>1</w:t>
      </w:r>
      <w:r w:rsidRPr="00DC437E">
        <w:rPr>
          <w:i/>
        </w:rPr>
        <w:t xml:space="preserve"> above for publication with the surv</w:t>
      </w:r>
      <w:r>
        <w:rPr>
          <w:i/>
        </w:rPr>
        <w:t>ey results in the WIPO Handbook.</w:t>
      </w:r>
    </w:p>
    <w:p w14:paraId="39833B3F" w14:textId="77777777" w:rsidR="00600CFE" w:rsidRPr="00084955" w:rsidRDefault="00600CFE" w:rsidP="00600CFE">
      <w:pPr>
        <w:rPr>
          <w:szCs w:val="22"/>
        </w:rPr>
      </w:pPr>
    </w:p>
    <w:p w14:paraId="7A84B766" w14:textId="77777777" w:rsidR="00600CFE" w:rsidRPr="00084955" w:rsidRDefault="00600CFE" w:rsidP="00600CFE">
      <w:pPr>
        <w:pStyle w:val="Endofdocument"/>
        <w:ind w:left="5530"/>
      </w:pPr>
      <w:r w:rsidRPr="00084955">
        <w:rPr>
          <w:rFonts w:cs="Arial"/>
          <w:sz w:val="22"/>
          <w:szCs w:val="22"/>
        </w:rPr>
        <w:t>[</w:t>
      </w:r>
      <w:r w:rsidR="006D51A8">
        <w:rPr>
          <w:rFonts w:cs="Arial"/>
          <w:sz w:val="22"/>
          <w:szCs w:val="22"/>
        </w:rPr>
        <w:t>End of document</w:t>
      </w:r>
      <w:r w:rsidRPr="00084955">
        <w:rPr>
          <w:rFonts w:cs="Arial"/>
          <w:sz w:val="22"/>
          <w:szCs w:val="22"/>
        </w:rPr>
        <w:t>]</w:t>
      </w:r>
    </w:p>
    <w:p w14:paraId="507CCA40" w14:textId="77777777" w:rsidR="002326AB" w:rsidRDefault="002326AB" w:rsidP="002326AB">
      <w:pPr>
        <w:spacing w:after="220"/>
      </w:pPr>
    </w:p>
    <w:sectPr w:rsidR="002326AB" w:rsidSect="00600CF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E8BB9" w14:textId="77777777" w:rsidR="008141E3" w:rsidRDefault="008141E3">
      <w:r>
        <w:separator/>
      </w:r>
    </w:p>
  </w:endnote>
  <w:endnote w:type="continuationSeparator" w:id="0">
    <w:p w14:paraId="5A7E4D72" w14:textId="77777777" w:rsidR="008141E3" w:rsidRDefault="008141E3" w:rsidP="003B38C1">
      <w:r>
        <w:separator/>
      </w:r>
    </w:p>
    <w:p w14:paraId="3A6DF4D7" w14:textId="77777777" w:rsidR="008141E3" w:rsidRPr="003B38C1" w:rsidRDefault="008141E3" w:rsidP="003B38C1">
      <w:pPr>
        <w:spacing w:after="60"/>
        <w:rPr>
          <w:sz w:val="17"/>
        </w:rPr>
      </w:pPr>
      <w:r>
        <w:rPr>
          <w:sz w:val="17"/>
        </w:rPr>
        <w:t>[Endnote continued from previous page]</w:t>
      </w:r>
    </w:p>
  </w:endnote>
  <w:endnote w:type="continuationNotice" w:id="1">
    <w:p w14:paraId="464C628A" w14:textId="77777777" w:rsidR="008141E3" w:rsidRPr="003B38C1" w:rsidRDefault="008141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2070E" w14:textId="77777777" w:rsidR="005C229B" w:rsidRDefault="005C2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62BB4" w14:textId="77777777" w:rsidR="005C229B" w:rsidRDefault="005C2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11AF0" w14:textId="77777777" w:rsidR="005C229B" w:rsidRDefault="005C2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3A88E" w14:textId="77777777" w:rsidR="008141E3" w:rsidRDefault="008141E3">
      <w:r>
        <w:separator/>
      </w:r>
    </w:p>
  </w:footnote>
  <w:footnote w:type="continuationSeparator" w:id="0">
    <w:p w14:paraId="01F7C7EF" w14:textId="77777777" w:rsidR="008141E3" w:rsidRDefault="008141E3" w:rsidP="008B60B2">
      <w:r>
        <w:separator/>
      </w:r>
    </w:p>
    <w:p w14:paraId="19BDC7BC" w14:textId="77777777" w:rsidR="008141E3" w:rsidRPr="00ED77FB" w:rsidRDefault="008141E3" w:rsidP="008B60B2">
      <w:pPr>
        <w:spacing w:after="60"/>
        <w:rPr>
          <w:sz w:val="17"/>
          <w:szCs w:val="17"/>
        </w:rPr>
      </w:pPr>
      <w:r w:rsidRPr="00ED77FB">
        <w:rPr>
          <w:sz w:val="17"/>
          <w:szCs w:val="17"/>
        </w:rPr>
        <w:t>[Footnote continued from previous page]</w:t>
      </w:r>
    </w:p>
  </w:footnote>
  <w:footnote w:type="continuationNotice" w:id="1">
    <w:p w14:paraId="57937960" w14:textId="77777777" w:rsidR="008141E3" w:rsidRPr="00ED77FB" w:rsidRDefault="008141E3" w:rsidP="008B60B2">
      <w:pPr>
        <w:spacing w:before="60"/>
        <w:jc w:val="right"/>
        <w:rPr>
          <w:sz w:val="17"/>
          <w:szCs w:val="17"/>
        </w:rPr>
      </w:pPr>
      <w:r w:rsidRPr="00ED77FB">
        <w:rPr>
          <w:sz w:val="17"/>
          <w:szCs w:val="17"/>
        </w:rPr>
        <w:t>[Footnote continued on next page]</w:t>
      </w:r>
    </w:p>
  </w:footnote>
  <w:footnote w:id="2">
    <w:p w14:paraId="7224DA8A" w14:textId="1B0A0ABC" w:rsidR="00D85B67" w:rsidRDefault="00D85B67" w:rsidP="009D35DE">
      <w:pPr>
        <w:pStyle w:val="FootnoteText"/>
      </w:pPr>
      <w:r>
        <w:rPr>
          <w:rStyle w:val="FootnoteReference"/>
        </w:rPr>
        <w:footnoteRef/>
      </w:r>
      <w:r>
        <w:t xml:space="preserve"> A preview of the results without translation may be found at: </w:t>
      </w:r>
      <w:hyperlink r:id="rId1" w:history="1">
        <w:r w:rsidR="00675404" w:rsidRPr="001E442C">
          <w:rPr>
            <w:rStyle w:val="Hyperlink"/>
          </w:rPr>
          <w:t>http://www.wipo.int/meetings/en/doc_details.jsp?doc_id=586531</w:t>
        </w:r>
      </w:hyperlink>
      <w:r w:rsidR="009D35D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196B0" w14:textId="77777777" w:rsidR="005C229B" w:rsidRDefault="005C2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C3D27" w14:textId="77777777" w:rsidR="00D07C78" w:rsidRPr="002326AB" w:rsidRDefault="00600CFE" w:rsidP="000C1414">
    <w:pPr>
      <w:jc w:val="right"/>
      <w:rPr>
        <w:caps/>
      </w:rPr>
    </w:pPr>
    <w:bookmarkStart w:id="6" w:name="Code2"/>
    <w:bookmarkEnd w:id="6"/>
    <w:r>
      <w:rPr>
        <w:caps/>
      </w:rPr>
      <w:t>C</w:t>
    </w:r>
    <w:r w:rsidR="005125DE">
      <w:rPr>
        <w:caps/>
      </w:rPr>
      <w:t>WS/10/1</w:t>
    </w:r>
    <w:r w:rsidR="000C1414">
      <w:rPr>
        <w:caps/>
      </w:rPr>
      <w:t>8</w:t>
    </w:r>
  </w:p>
  <w:p w14:paraId="5D92F502" w14:textId="48095111"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A463C3">
      <w:rPr>
        <w:noProof/>
      </w:rPr>
      <w:t>3</w:t>
    </w:r>
    <w:r>
      <w:fldChar w:fldCharType="end"/>
    </w:r>
  </w:p>
  <w:p w14:paraId="69CE3786" w14:textId="77777777" w:rsidR="00D07C78" w:rsidRDefault="00D07C78" w:rsidP="00477D6B">
    <w:pPr>
      <w:jc w:val="right"/>
    </w:pPr>
  </w:p>
  <w:p w14:paraId="2734FBCE"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5A122" w14:textId="77777777" w:rsidR="005C229B" w:rsidRDefault="005C2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E672CE"/>
    <w:multiLevelType w:val="hybridMultilevel"/>
    <w:tmpl w:val="1C0A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F5630"/>
    <w:multiLevelType w:val="hybridMultilevel"/>
    <w:tmpl w:val="E454E534"/>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5442E"/>
    <w:multiLevelType w:val="hybridMultilevel"/>
    <w:tmpl w:val="C480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922900"/>
    <w:multiLevelType w:val="hybridMultilevel"/>
    <w:tmpl w:val="4F84037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E7E33"/>
    <w:multiLevelType w:val="hybridMultilevel"/>
    <w:tmpl w:val="5780362A"/>
    <w:lvl w:ilvl="0" w:tplc="36BAC89A">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8"/>
  </w:num>
  <w:num w:numId="5">
    <w:abstractNumId w:val="1"/>
  </w:num>
  <w:num w:numId="6">
    <w:abstractNumId w:val="3"/>
  </w:num>
  <w:num w:numId="7">
    <w:abstractNumId w:val="6"/>
  </w:num>
  <w:num w:numId="8">
    <w:abstractNumId w:val="1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FE"/>
    <w:rsid w:val="0001132E"/>
    <w:rsid w:val="00043CAA"/>
    <w:rsid w:val="00045C96"/>
    <w:rsid w:val="00056816"/>
    <w:rsid w:val="00075432"/>
    <w:rsid w:val="00075F44"/>
    <w:rsid w:val="000857E1"/>
    <w:rsid w:val="000968ED"/>
    <w:rsid w:val="000A3D97"/>
    <w:rsid w:val="000C1414"/>
    <w:rsid w:val="000E0241"/>
    <w:rsid w:val="000F2299"/>
    <w:rsid w:val="000F5E56"/>
    <w:rsid w:val="001362EE"/>
    <w:rsid w:val="001647D5"/>
    <w:rsid w:val="0016734B"/>
    <w:rsid w:val="001832A6"/>
    <w:rsid w:val="001D4107"/>
    <w:rsid w:val="001E5DCA"/>
    <w:rsid w:val="00203D24"/>
    <w:rsid w:val="0021217E"/>
    <w:rsid w:val="002326AB"/>
    <w:rsid w:val="00243430"/>
    <w:rsid w:val="002634C4"/>
    <w:rsid w:val="00283926"/>
    <w:rsid w:val="00284A30"/>
    <w:rsid w:val="002928D3"/>
    <w:rsid w:val="002C08A8"/>
    <w:rsid w:val="002D1555"/>
    <w:rsid w:val="002E0871"/>
    <w:rsid w:val="002F1FE6"/>
    <w:rsid w:val="002F4485"/>
    <w:rsid w:val="002F4E68"/>
    <w:rsid w:val="00305685"/>
    <w:rsid w:val="00312F7F"/>
    <w:rsid w:val="00314F45"/>
    <w:rsid w:val="00323860"/>
    <w:rsid w:val="00361450"/>
    <w:rsid w:val="00366B1C"/>
    <w:rsid w:val="003673CF"/>
    <w:rsid w:val="00367D2C"/>
    <w:rsid w:val="003729E4"/>
    <w:rsid w:val="0038062B"/>
    <w:rsid w:val="003845C1"/>
    <w:rsid w:val="003A6094"/>
    <w:rsid w:val="003A6F89"/>
    <w:rsid w:val="003B38C1"/>
    <w:rsid w:val="003B41B2"/>
    <w:rsid w:val="003C34E9"/>
    <w:rsid w:val="00401963"/>
    <w:rsid w:val="00423E3E"/>
    <w:rsid w:val="004252C3"/>
    <w:rsid w:val="00427AF4"/>
    <w:rsid w:val="0043512D"/>
    <w:rsid w:val="004647DA"/>
    <w:rsid w:val="00473586"/>
    <w:rsid w:val="00474062"/>
    <w:rsid w:val="00477D6B"/>
    <w:rsid w:val="004A10C7"/>
    <w:rsid w:val="004C481D"/>
    <w:rsid w:val="004E18DF"/>
    <w:rsid w:val="005019FF"/>
    <w:rsid w:val="005125DE"/>
    <w:rsid w:val="0053057A"/>
    <w:rsid w:val="00556076"/>
    <w:rsid w:val="00560A29"/>
    <w:rsid w:val="00562680"/>
    <w:rsid w:val="005638A7"/>
    <w:rsid w:val="0059485E"/>
    <w:rsid w:val="005B4A4E"/>
    <w:rsid w:val="005C229B"/>
    <w:rsid w:val="005C6649"/>
    <w:rsid w:val="005D3DE1"/>
    <w:rsid w:val="005E13B4"/>
    <w:rsid w:val="005E182E"/>
    <w:rsid w:val="005E73F8"/>
    <w:rsid w:val="00600CFE"/>
    <w:rsid w:val="006047E5"/>
    <w:rsid w:val="00605827"/>
    <w:rsid w:val="00620FCB"/>
    <w:rsid w:val="00623106"/>
    <w:rsid w:val="00646050"/>
    <w:rsid w:val="00651CF1"/>
    <w:rsid w:val="006713CA"/>
    <w:rsid w:val="00675404"/>
    <w:rsid w:val="00675425"/>
    <w:rsid w:val="00676C5C"/>
    <w:rsid w:val="006A430F"/>
    <w:rsid w:val="006C0A78"/>
    <w:rsid w:val="006D51A8"/>
    <w:rsid w:val="006F1453"/>
    <w:rsid w:val="006F1BD9"/>
    <w:rsid w:val="006F3CB9"/>
    <w:rsid w:val="006F5ABA"/>
    <w:rsid w:val="00720EFD"/>
    <w:rsid w:val="0073396D"/>
    <w:rsid w:val="007854AF"/>
    <w:rsid w:val="00787EC8"/>
    <w:rsid w:val="00793A7C"/>
    <w:rsid w:val="007A398A"/>
    <w:rsid w:val="007B0A6C"/>
    <w:rsid w:val="007B2F3E"/>
    <w:rsid w:val="007D1613"/>
    <w:rsid w:val="007D52C4"/>
    <w:rsid w:val="007E4C0E"/>
    <w:rsid w:val="008075F1"/>
    <w:rsid w:val="008141E3"/>
    <w:rsid w:val="00821DD7"/>
    <w:rsid w:val="008363DE"/>
    <w:rsid w:val="0084516F"/>
    <w:rsid w:val="00846CF6"/>
    <w:rsid w:val="00847472"/>
    <w:rsid w:val="00861242"/>
    <w:rsid w:val="00867670"/>
    <w:rsid w:val="008A134B"/>
    <w:rsid w:val="008A3961"/>
    <w:rsid w:val="008A748C"/>
    <w:rsid w:val="008B2CC1"/>
    <w:rsid w:val="008B60B2"/>
    <w:rsid w:val="008C1C71"/>
    <w:rsid w:val="0090731E"/>
    <w:rsid w:val="00916EE2"/>
    <w:rsid w:val="00934669"/>
    <w:rsid w:val="00966A22"/>
    <w:rsid w:val="0096722F"/>
    <w:rsid w:val="00980843"/>
    <w:rsid w:val="009D35DE"/>
    <w:rsid w:val="009E0871"/>
    <w:rsid w:val="009E2791"/>
    <w:rsid w:val="009E3F6F"/>
    <w:rsid w:val="009F499F"/>
    <w:rsid w:val="00A37342"/>
    <w:rsid w:val="00A42DAF"/>
    <w:rsid w:val="00A45BD8"/>
    <w:rsid w:val="00A463C3"/>
    <w:rsid w:val="00A627BE"/>
    <w:rsid w:val="00A869B7"/>
    <w:rsid w:val="00A90F0A"/>
    <w:rsid w:val="00AA6B45"/>
    <w:rsid w:val="00AC205C"/>
    <w:rsid w:val="00AF0A6B"/>
    <w:rsid w:val="00B05A69"/>
    <w:rsid w:val="00B355B6"/>
    <w:rsid w:val="00B46BD8"/>
    <w:rsid w:val="00B75281"/>
    <w:rsid w:val="00B91B74"/>
    <w:rsid w:val="00B92F1F"/>
    <w:rsid w:val="00B9734B"/>
    <w:rsid w:val="00B97F26"/>
    <w:rsid w:val="00BA30E2"/>
    <w:rsid w:val="00BB5B51"/>
    <w:rsid w:val="00BD39A7"/>
    <w:rsid w:val="00C11BFE"/>
    <w:rsid w:val="00C15FA7"/>
    <w:rsid w:val="00C3295D"/>
    <w:rsid w:val="00C32A22"/>
    <w:rsid w:val="00C379A4"/>
    <w:rsid w:val="00C5068F"/>
    <w:rsid w:val="00C705A0"/>
    <w:rsid w:val="00C86D74"/>
    <w:rsid w:val="00CB2AF7"/>
    <w:rsid w:val="00CD04F1"/>
    <w:rsid w:val="00CF681A"/>
    <w:rsid w:val="00D07C78"/>
    <w:rsid w:val="00D2749D"/>
    <w:rsid w:val="00D43E3B"/>
    <w:rsid w:val="00D45252"/>
    <w:rsid w:val="00D71B4D"/>
    <w:rsid w:val="00D72E92"/>
    <w:rsid w:val="00D84C77"/>
    <w:rsid w:val="00D85B67"/>
    <w:rsid w:val="00D90B18"/>
    <w:rsid w:val="00D93D55"/>
    <w:rsid w:val="00D96263"/>
    <w:rsid w:val="00DB17C6"/>
    <w:rsid w:val="00DB1A4B"/>
    <w:rsid w:val="00DB44B7"/>
    <w:rsid w:val="00DC437E"/>
    <w:rsid w:val="00DC5989"/>
    <w:rsid w:val="00DD3B16"/>
    <w:rsid w:val="00DD4E8D"/>
    <w:rsid w:val="00DD7B7F"/>
    <w:rsid w:val="00E1366B"/>
    <w:rsid w:val="00E14198"/>
    <w:rsid w:val="00E15015"/>
    <w:rsid w:val="00E250D2"/>
    <w:rsid w:val="00E335FE"/>
    <w:rsid w:val="00E400DE"/>
    <w:rsid w:val="00E45755"/>
    <w:rsid w:val="00E55A68"/>
    <w:rsid w:val="00E62DA7"/>
    <w:rsid w:val="00E77211"/>
    <w:rsid w:val="00EA7D6E"/>
    <w:rsid w:val="00EB2F76"/>
    <w:rsid w:val="00EC4E49"/>
    <w:rsid w:val="00ED77FB"/>
    <w:rsid w:val="00ED7F2F"/>
    <w:rsid w:val="00EE45FA"/>
    <w:rsid w:val="00F043DE"/>
    <w:rsid w:val="00F141D6"/>
    <w:rsid w:val="00F66152"/>
    <w:rsid w:val="00F9165B"/>
    <w:rsid w:val="00FA07AC"/>
    <w:rsid w:val="00FA12D9"/>
    <w:rsid w:val="00FB5BC2"/>
    <w:rsid w:val="00FC482F"/>
    <w:rsid w:val="00FC6627"/>
    <w:rsid w:val="00FD366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D3C91"/>
  <w15:docId w15:val="{C8B80AFD-1FBD-4BFA-9E6A-067605E0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B1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075F44"/>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075F44"/>
    <w:rPr>
      <w:rFonts w:ascii="Arial" w:eastAsia="SimSun" w:hAnsi="Arial" w:cs="Arial"/>
      <w:bCs/>
      <w:iCs/>
      <w:caps/>
      <w:sz w:val="22"/>
      <w:szCs w:val="28"/>
      <w:lang w:val="en-US" w:eastAsia="zh-CN"/>
    </w:rPr>
  </w:style>
  <w:style w:type="paragraph" w:customStyle="1" w:styleId="Endofdocument">
    <w:name w:val="End of document"/>
    <w:basedOn w:val="Normal"/>
    <w:rsid w:val="00600CFE"/>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600CFE"/>
    <w:rPr>
      <w:rFonts w:ascii="Arial" w:eastAsia="SimSun" w:hAnsi="Arial" w:cs="Arial"/>
      <w:sz w:val="22"/>
      <w:lang w:val="en-US" w:eastAsia="zh-CN"/>
    </w:rPr>
  </w:style>
  <w:style w:type="paragraph" w:styleId="BalloonText">
    <w:name w:val="Balloon Text"/>
    <w:basedOn w:val="Normal"/>
    <w:link w:val="BalloonTextChar"/>
    <w:semiHidden/>
    <w:unhideWhenUsed/>
    <w:rsid w:val="00366B1C"/>
    <w:rPr>
      <w:rFonts w:ascii="Segoe UI" w:hAnsi="Segoe UI" w:cs="Segoe UI"/>
      <w:szCs w:val="18"/>
    </w:rPr>
  </w:style>
  <w:style w:type="character" w:customStyle="1" w:styleId="BalloonTextChar">
    <w:name w:val="Balloon Text Char"/>
    <w:basedOn w:val="DefaultParagraphFont"/>
    <w:link w:val="BalloonText"/>
    <w:semiHidden/>
    <w:rsid w:val="00366B1C"/>
    <w:rPr>
      <w:rFonts w:ascii="Segoe UI" w:eastAsia="SimSun" w:hAnsi="Segoe UI" w:cs="Segoe UI"/>
      <w:sz w:val="22"/>
      <w:szCs w:val="18"/>
      <w:lang w:val="en-US" w:eastAsia="zh-CN"/>
    </w:rPr>
  </w:style>
  <w:style w:type="character" w:styleId="Hyperlink">
    <w:name w:val="Hyperlink"/>
    <w:basedOn w:val="DefaultParagraphFont"/>
    <w:unhideWhenUsed/>
    <w:rsid w:val="004E18DF"/>
    <w:rPr>
      <w:color w:val="0000FF" w:themeColor="hyperlink"/>
      <w:u w:val="single"/>
    </w:rPr>
  </w:style>
  <w:style w:type="character" w:styleId="CommentReference">
    <w:name w:val="annotation reference"/>
    <w:basedOn w:val="DefaultParagraphFont"/>
    <w:semiHidden/>
    <w:unhideWhenUsed/>
    <w:rsid w:val="00366B1C"/>
    <w:rPr>
      <w:sz w:val="16"/>
      <w:szCs w:val="16"/>
    </w:rPr>
  </w:style>
  <w:style w:type="paragraph" w:styleId="CommentSubject">
    <w:name w:val="annotation subject"/>
    <w:basedOn w:val="CommentText"/>
    <w:next w:val="CommentText"/>
    <w:link w:val="CommentSubjectChar"/>
    <w:semiHidden/>
    <w:unhideWhenUsed/>
    <w:rsid w:val="00366B1C"/>
    <w:rPr>
      <w:b/>
      <w:bCs/>
      <w:sz w:val="20"/>
    </w:rPr>
  </w:style>
  <w:style w:type="character" w:customStyle="1" w:styleId="CommentTextChar">
    <w:name w:val="Comment Text Char"/>
    <w:basedOn w:val="DefaultParagraphFont"/>
    <w:link w:val="CommentText"/>
    <w:semiHidden/>
    <w:rsid w:val="00366B1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66B1C"/>
    <w:rPr>
      <w:rFonts w:ascii="Arial" w:eastAsia="SimSun" w:hAnsi="Arial" w:cs="Arial"/>
      <w:b/>
      <w:bCs/>
      <w:sz w:val="18"/>
      <w:lang w:val="en-US" w:eastAsia="zh-CN"/>
    </w:rPr>
  </w:style>
  <w:style w:type="paragraph" w:styleId="Revision">
    <w:name w:val="Revision"/>
    <w:hidden/>
    <w:uiPriority w:val="99"/>
    <w:semiHidden/>
    <w:rsid w:val="007D52C4"/>
    <w:rPr>
      <w:rFonts w:ascii="Arial" w:eastAsia="SimSun" w:hAnsi="Arial" w:cs="Arial"/>
      <w:sz w:val="22"/>
      <w:lang w:val="en-US" w:eastAsia="zh-CN"/>
    </w:rPr>
  </w:style>
  <w:style w:type="character" w:styleId="FootnoteReference">
    <w:name w:val="footnote reference"/>
    <w:basedOn w:val="DefaultParagraphFont"/>
    <w:semiHidden/>
    <w:unhideWhenUsed/>
    <w:rsid w:val="00D85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027">
      <w:bodyDiv w:val="1"/>
      <w:marLeft w:val="0"/>
      <w:marRight w:val="0"/>
      <w:marTop w:val="0"/>
      <w:marBottom w:val="0"/>
      <w:divBdr>
        <w:top w:val="none" w:sz="0" w:space="0" w:color="auto"/>
        <w:left w:val="none" w:sz="0" w:space="0" w:color="auto"/>
        <w:bottom w:val="none" w:sz="0" w:space="0" w:color="auto"/>
        <w:right w:val="none" w:sz="0" w:space="0" w:color="auto"/>
      </w:divBdr>
    </w:div>
    <w:div w:id="24412149">
      <w:bodyDiv w:val="1"/>
      <w:marLeft w:val="0"/>
      <w:marRight w:val="0"/>
      <w:marTop w:val="0"/>
      <w:marBottom w:val="0"/>
      <w:divBdr>
        <w:top w:val="none" w:sz="0" w:space="0" w:color="auto"/>
        <w:left w:val="none" w:sz="0" w:space="0" w:color="auto"/>
        <w:bottom w:val="none" w:sz="0" w:space="0" w:color="auto"/>
        <w:right w:val="none" w:sz="0" w:space="0" w:color="auto"/>
      </w:divBdr>
    </w:div>
    <w:div w:id="95173173">
      <w:bodyDiv w:val="1"/>
      <w:marLeft w:val="0"/>
      <w:marRight w:val="0"/>
      <w:marTop w:val="0"/>
      <w:marBottom w:val="0"/>
      <w:divBdr>
        <w:top w:val="none" w:sz="0" w:space="0" w:color="auto"/>
        <w:left w:val="none" w:sz="0" w:space="0" w:color="auto"/>
        <w:bottom w:val="none" w:sz="0" w:space="0" w:color="auto"/>
        <w:right w:val="none" w:sz="0" w:space="0" w:color="auto"/>
      </w:divBdr>
    </w:div>
    <w:div w:id="135993375">
      <w:bodyDiv w:val="1"/>
      <w:marLeft w:val="0"/>
      <w:marRight w:val="0"/>
      <w:marTop w:val="0"/>
      <w:marBottom w:val="0"/>
      <w:divBdr>
        <w:top w:val="none" w:sz="0" w:space="0" w:color="auto"/>
        <w:left w:val="none" w:sz="0" w:space="0" w:color="auto"/>
        <w:bottom w:val="none" w:sz="0" w:space="0" w:color="auto"/>
        <w:right w:val="none" w:sz="0" w:space="0" w:color="auto"/>
      </w:divBdr>
    </w:div>
    <w:div w:id="388502733">
      <w:bodyDiv w:val="1"/>
      <w:marLeft w:val="0"/>
      <w:marRight w:val="0"/>
      <w:marTop w:val="0"/>
      <w:marBottom w:val="0"/>
      <w:divBdr>
        <w:top w:val="none" w:sz="0" w:space="0" w:color="auto"/>
        <w:left w:val="none" w:sz="0" w:space="0" w:color="auto"/>
        <w:bottom w:val="none" w:sz="0" w:space="0" w:color="auto"/>
        <w:right w:val="none" w:sz="0" w:space="0" w:color="auto"/>
      </w:divBdr>
    </w:div>
    <w:div w:id="427893591">
      <w:bodyDiv w:val="1"/>
      <w:marLeft w:val="0"/>
      <w:marRight w:val="0"/>
      <w:marTop w:val="0"/>
      <w:marBottom w:val="0"/>
      <w:divBdr>
        <w:top w:val="none" w:sz="0" w:space="0" w:color="auto"/>
        <w:left w:val="none" w:sz="0" w:space="0" w:color="auto"/>
        <w:bottom w:val="none" w:sz="0" w:space="0" w:color="auto"/>
        <w:right w:val="none" w:sz="0" w:space="0" w:color="auto"/>
      </w:divBdr>
    </w:div>
    <w:div w:id="474228336">
      <w:bodyDiv w:val="1"/>
      <w:marLeft w:val="0"/>
      <w:marRight w:val="0"/>
      <w:marTop w:val="0"/>
      <w:marBottom w:val="0"/>
      <w:divBdr>
        <w:top w:val="none" w:sz="0" w:space="0" w:color="auto"/>
        <w:left w:val="none" w:sz="0" w:space="0" w:color="auto"/>
        <w:bottom w:val="none" w:sz="0" w:space="0" w:color="auto"/>
        <w:right w:val="none" w:sz="0" w:space="0" w:color="auto"/>
      </w:divBdr>
    </w:div>
    <w:div w:id="493376824">
      <w:bodyDiv w:val="1"/>
      <w:marLeft w:val="0"/>
      <w:marRight w:val="0"/>
      <w:marTop w:val="0"/>
      <w:marBottom w:val="0"/>
      <w:divBdr>
        <w:top w:val="none" w:sz="0" w:space="0" w:color="auto"/>
        <w:left w:val="none" w:sz="0" w:space="0" w:color="auto"/>
        <w:bottom w:val="none" w:sz="0" w:space="0" w:color="auto"/>
        <w:right w:val="none" w:sz="0" w:space="0" w:color="auto"/>
      </w:divBdr>
    </w:div>
    <w:div w:id="715467411">
      <w:bodyDiv w:val="1"/>
      <w:marLeft w:val="0"/>
      <w:marRight w:val="0"/>
      <w:marTop w:val="0"/>
      <w:marBottom w:val="0"/>
      <w:divBdr>
        <w:top w:val="none" w:sz="0" w:space="0" w:color="auto"/>
        <w:left w:val="none" w:sz="0" w:space="0" w:color="auto"/>
        <w:bottom w:val="none" w:sz="0" w:space="0" w:color="auto"/>
        <w:right w:val="none" w:sz="0" w:space="0" w:color="auto"/>
      </w:divBdr>
    </w:div>
    <w:div w:id="814299028">
      <w:bodyDiv w:val="1"/>
      <w:marLeft w:val="0"/>
      <w:marRight w:val="0"/>
      <w:marTop w:val="0"/>
      <w:marBottom w:val="0"/>
      <w:divBdr>
        <w:top w:val="none" w:sz="0" w:space="0" w:color="auto"/>
        <w:left w:val="none" w:sz="0" w:space="0" w:color="auto"/>
        <w:bottom w:val="none" w:sz="0" w:space="0" w:color="auto"/>
        <w:right w:val="none" w:sz="0" w:space="0" w:color="auto"/>
      </w:divBdr>
    </w:div>
    <w:div w:id="869950405">
      <w:bodyDiv w:val="1"/>
      <w:marLeft w:val="0"/>
      <w:marRight w:val="0"/>
      <w:marTop w:val="0"/>
      <w:marBottom w:val="0"/>
      <w:divBdr>
        <w:top w:val="none" w:sz="0" w:space="0" w:color="auto"/>
        <w:left w:val="none" w:sz="0" w:space="0" w:color="auto"/>
        <w:bottom w:val="none" w:sz="0" w:space="0" w:color="auto"/>
        <w:right w:val="none" w:sz="0" w:space="0" w:color="auto"/>
      </w:divBdr>
    </w:div>
    <w:div w:id="952631824">
      <w:bodyDiv w:val="1"/>
      <w:marLeft w:val="0"/>
      <w:marRight w:val="0"/>
      <w:marTop w:val="0"/>
      <w:marBottom w:val="0"/>
      <w:divBdr>
        <w:top w:val="none" w:sz="0" w:space="0" w:color="auto"/>
        <w:left w:val="none" w:sz="0" w:space="0" w:color="auto"/>
        <w:bottom w:val="none" w:sz="0" w:space="0" w:color="auto"/>
        <w:right w:val="none" w:sz="0" w:space="0" w:color="auto"/>
      </w:divBdr>
    </w:div>
    <w:div w:id="976908681">
      <w:bodyDiv w:val="1"/>
      <w:marLeft w:val="0"/>
      <w:marRight w:val="0"/>
      <w:marTop w:val="0"/>
      <w:marBottom w:val="0"/>
      <w:divBdr>
        <w:top w:val="none" w:sz="0" w:space="0" w:color="auto"/>
        <w:left w:val="none" w:sz="0" w:space="0" w:color="auto"/>
        <w:bottom w:val="none" w:sz="0" w:space="0" w:color="auto"/>
        <w:right w:val="none" w:sz="0" w:space="0" w:color="auto"/>
      </w:divBdr>
    </w:div>
    <w:div w:id="1036809720">
      <w:bodyDiv w:val="1"/>
      <w:marLeft w:val="0"/>
      <w:marRight w:val="0"/>
      <w:marTop w:val="0"/>
      <w:marBottom w:val="0"/>
      <w:divBdr>
        <w:top w:val="none" w:sz="0" w:space="0" w:color="auto"/>
        <w:left w:val="none" w:sz="0" w:space="0" w:color="auto"/>
        <w:bottom w:val="none" w:sz="0" w:space="0" w:color="auto"/>
        <w:right w:val="none" w:sz="0" w:space="0" w:color="auto"/>
      </w:divBdr>
    </w:div>
    <w:div w:id="1196191663">
      <w:bodyDiv w:val="1"/>
      <w:marLeft w:val="0"/>
      <w:marRight w:val="0"/>
      <w:marTop w:val="0"/>
      <w:marBottom w:val="0"/>
      <w:divBdr>
        <w:top w:val="none" w:sz="0" w:space="0" w:color="auto"/>
        <w:left w:val="none" w:sz="0" w:space="0" w:color="auto"/>
        <w:bottom w:val="none" w:sz="0" w:space="0" w:color="auto"/>
        <w:right w:val="none" w:sz="0" w:space="0" w:color="auto"/>
      </w:divBdr>
    </w:div>
    <w:div w:id="1241792552">
      <w:bodyDiv w:val="1"/>
      <w:marLeft w:val="0"/>
      <w:marRight w:val="0"/>
      <w:marTop w:val="0"/>
      <w:marBottom w:val="0"/>
      <w:divBdr>
        <w:top w:val="none" w:sz="0" w:space="0" w:color="auto"/>
        <w:left w:val="none" w:sz="0" w:space="0" w:color="auto"/>
        <w:bottom w:val="none" w:sz="0" w:space="0" w:color="auto"/>
        <w:right w:val="none" w:sz="0" w:space="0" w:color="auto"/>
      </w:divBdr>
    </w:div>
    <w:div w:id="1263565486">
      <w:bodyDiv w:val="1"/>
      <w:marLeft w:val="0"/>
      <w:marRight w:val="0"/>
      <w:marTop w:val="0"/>
      <w:marBottom w:val="0"/>
      <w:divBdr>
        <w:top w:val="none" w:sz="0" w:space="0" w:color="auto"/>
        <w:left w:val="none" w:sz="0" w:space="0" w:color="auto"/>
        <w:bottom w:val="none" w:sz="0" w:space="0" w:color="auto"/>
        <w:right w:val="none" w:sz="0" w:space="0" w:color="auto"/>
      </w:divBdr>
    </w:div>
    <w:div w:id="1271818241">
      <w:bodyDiv w:val="1"/>
      <w:marLeft w:val="0"/>
      <w:marRight w:val="0"/>
      <w:marTop w:val="0"/>
      <w:marBottom w:val="0"/>
      <w:divBdr>
        <w:top w:val="none" w:sz="0" w:space="0" w:color="auto"/>
        <w:left w:val="none" w:sz="0" w:space="0" w:color="auto"/>
        <w:bottom w:val="none" w:sz="0" w:space="0" w:color="auto"/>
        <w:right w:val="none" w:sz="0" w:space="0" w:color="auto"/>
      </w:divBdr>
    </w:div>
    <w:div w:id="1278295201">
      <w:bodyDiv w:val="1"/>
      <w:marLeft w:val="0"/>
      <w:marRight w:val="0"/>
      <w:marTop w:val="0"/>
      <w:marBottom w:val="0"/>
      <w:divBdr>
        <w:top w:val="none" w:sz="0" w:space="0" w:color="auto"/>
        <w:left w:val="none" w:sz="0" w:space="0" w:color="auto"/>
        <w:bottom w:val="none" w:sz="0" w:space="0" w:color="auto"/>
        <w:right w:val="none" w:sz="0" w:space="0" w:color="auto"/>
      </w:divBdr>
    </w:div>
    <w:div w:id="1341077766">
      <w:bodyDiv w:val="1"/>
      <w:marLeft w:val="0"/>
      <w:marRight w:val="0"/>
      <w:marTop w:val="0"/>
      <w:marBottom w:val="0"/>
      <w:divBdr>
        <w:top w:val="none" w:sz="0" w:space="0" w:color="auto"/>
        <w:left w:val="none" w:sz="0" w:space="0" w:color="auto"/>
        <w:bottom w:val="none" w:sz="0" w:space="0" w:color="auto"/>
        <w:right w:val="none" w:sz="0" w:space="0" w:color="auto"/>
      </w:divBdr>
    </w:div>
    <w:div w:id="1354957223">
      <w:bodyDiv w:val="1"/>
      <w:marLeft w:val="0"/>
      <w:marRight w:val="0"/>
      <w:marTop w:val="0"/>
      <w:marBottom w:val="0"/>
      <w:divBdr>
        <w:top w:val="none" w:sz="0" w:space="0" w:color="auto"/>
        <w:left w:val="none" w:sz="0" w:space="0" w:color="auto"/>
        <w:bottom w:val="none" w:sz="0" w:space="0" w:color="auto"/>
        <w:right w:val="none" w:sz="0" w:space="0" w:color="auto"/>
      </w:divBdr>
    </w:div>
    <w:div w:id="1476142101">
      <w:bodyDiv w:val="1"/>
      <w:marLeft w:val="0"/>
      <w:marRight w:val="0"/>
      <w:marTop w:val="0"/>
      <w:marBottom w:val="0"/>
      <w:divBdr>
        <w:top w:val="none" w:sz="0" w:space="0" w:color="auto"/>
        <w:left w:val="none" w:sz="0" w:space="0" w:color="auto"/>
        <w:bottom w:val="none" w:sz="0" w:space="0" w:color="auto"/>
        <w:right w:val="none" w:sz="0" w:space="0" w:color="auto"/>
      </w:divBdr>
    </w:div>
    <w:div w:id="1684942660">
      <w:bodyDiv w:val="1"/>
      <w:marLeft w:val="0"/>
      <w:marRight w:val="0"/>
      <w:marTop w:val="0"/>
      <w:marBottom w:val="0"/>
      <w:divBdr>
        <w:top w:val="none" w:sz="0" w:space="0" w:color="auto"/>
        <w:left w:val="none" w:sz="0" w:space="0" w:color="auto"/>
        <w:bottom w:val="none" w:sz="0" w:space="0" w:color="auto"/>
        <w:right w:val="none" w:sz="0" w:space="0" w:color="auto"/>
      </w:divBdr>
    </w:div>
    <w:div w:id="19337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5865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68CDB-161A-4679-82BD-1AE4C2A3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1</TotalTime>
  <Pages>3</Pages>
  <Words>848</Words>
  <Characters>4837</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CWS/10/18</vt:lpstr>
      <vt:lpstr>Committee on WIPO Standards (CWS)</vt:lpstr>
      <vt:lpstr>    Tenth Session</vt:lpstr>
      <vt:lpstr>    Geneva, November 21 to 25, 2022</vt:lpstr>
      <vt:lpstr>Analysis of survey results on calendar dates</vt:lpstr>
      <vt:lpstr>    BACKGROUND</vt:lpstr>
      <vt:lpstr>    SURVEY ANALYSIS</vt:lpstr>
    </vt:vector>
  </TitlesOfParts>
  <Company>WIPO</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CWS/10/18</dc:title>
  <dc:subject>Update of the WIPO Handbook on IP Information and Documentation</dc:subject>
  <dc:creator>WIPO</dc:creator>
  <cp:keywords>FOR OFFICIAL USE ONLY</cp:keywords>
  <cp:lastModifiedBy>CHAVAS Louison</cp:lastModifiedBy>
  <cp:revision>2</cp:revision>
  <cp:lastPrinted>2021-10-05T10:07:00Z</cp:lastPrinted>
  <dcterms:created xsi:type="dcterms:W3CDTF">2022-10-07T09:07:00Z</dcterms:created>
  <dcterms:modified xsi:type="dcterms:W3CDTF">2022-10-07T09:07:00Z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df10f97e-2e13-4370-a6f2-626aec183865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