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D32DF" w14:textId="77777777" w:rsidR="008B2CC1" w:rsidRPr="00F043DE" w:rsidRDefault="00B42BE3" w:rsidP="00846CF6">
      <w:pPr>
        <w:pBdr>
          <w:bottom w:val="single" w:sz="4" w:space="11" w:color="auto"/>
        </w:pBdr>
        <w:spacing w:after="120"/>
        <w:jc w:val="right"/>
        <w:rPr>
          <w:b/>
          <w:sz w:val="32"/>
          <w:szCs w:val="40"/>
        </w:rPr>
      </w:pPr>
      <w:r>
        <w:rPr>
          <w:noProof/>
          <w:sz w:val="28"/>
          <w:szCs w:val="28"/>
          <w:lang w:eastAsia="en-US"/>
        </w:rPr>
        <w:tab/>
      </w:r>
      <w:r w:rsidR="00B92F1F">
        <w:rPr>
          <w:noProof/>
          <w:sz w:val="28"/>
          <w:szCs w:val="28"/>
        </w:rPr>
        <w:drawing>
          <wp:inline distT="0" distB="0" distL="0" distR="0" wp14:anchorId="21346009" wp14:editId="7154FCED">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0FB55D19" w14:textId="77777777" w:rsidR="008B2CC1" w:rsidRPr="002326AB" w:rsidRDefault="00960A12" w:rsidP="00EB2F76">
      <w:pPr>
        <w:jc w:val="right"/>
        <w:rPr>
          <w:rFonts w:ascii="Arial Black" w:hAnsi="Arial Black"/>
          <w:caps/>
          <w:sz w:val="15"/>
          <w:szCs w:val="15"/>
        </w:rPr>
      </w:pPr>
      <w:r>
        <w:rPr>
          <w:rFonts w:ascii="Arial Black" w:hAnsi="Arial Black"/>
          <w:caps/>
          <w:sz w:val="15"/>
          <w:szCs w:val="15"/>
        </w:rPr>
        <w:t>CWs/10</w:t>
      </w:r>
      <w:r w:rsidR="00846CF6">
        <w:rPr>
          <w:rFonts w:ascii="Arial Black" w:hAnsi="Arial Black"/>
          <w:caps/>
          <w:sz w:val="15"/>
          <w:szCs w:val="15"/>
        </w:rPr>
        <w:t>/</w:t>
      </w:r>
      <w:bookmarkStart w:id="0" w:name="Code"/>
      <w:bookmarkEnd w:id="0"/>
      <w:r w:rsidR="00316AC6">
        <w:rPr>
          <w:rFonts w:ascii="Arial Black" w:hAnsi="Arial Black"/>
          <w:caps/>
          <w:sz w:val="15"/>
          <w:szCs w:val="15"/>
        </w:rPr>
        <w:t>16</w:t>
      </w:r>
    </w:p>
    <w:p w14:paraId="3BC13185"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B240C7">
        <w:rPr>
          <w:rFonts w:ascii="Arial Black" w:hAnsi="Arial Black"/>
          <w:caps/>
          <w:sz w:val="15"/>
          <w:szCs w:val="15"/>
        </w:rPr>
        <w:t>english</w:t>
      </w:r>
    </w:p>
    <w:bookmarkEnd w:id="1"/>
    <w:p w14:paraId="7D957FF3" w14:textId="5A6EAC52"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F01A9B" w:rsidRPr="00770599">
        <w:rPr>
          <w:rFonts w:ascii="Arial Black" w:hAnsi="Arial Black"/>
          <w:caps/>
          <w:sz w:val="15"/>
          <w:szCs w:val="15"/>
        </w:rPr>
        <w:t>SEPTEMBER</w:t>
      </w:r>
      <w:r w:rsidR="006E4F82" w:rsidRPr="00770599">
        <w:rPr>
          <w:rFonts w:ascii="Arial Black" w:hAnsi="Arial Black"/>
          <w:caps/>
          <w:sz w:val="15"/>
          <w:szCs w:val="15"/>
        </w:rPr>
        <w:t xml:space="preserve"> 1</w:t>
      </w:r>
      <w:r w:rsidR="00770599">
        <w:rPr>
          <w:rFonts w:ascii="Arial Black" w:hAnsi="Arial Black"/>
          <w:caps/>
          <w:sz w:val="15"/>
          <w:szCs w:val="15"/>
        </w:rPr>
        <w:t>3</w:t>
      </w:r>
      <w:r w:rsidR="00960A12">
        <w:rPr>
          <w:rFonts w:ascii="Arial Black" w:hAnsi="Arial Black"/>
          <w:caps/>
          <w:sz w:val="15"/>
          <w:szCs w:val="15"/>
        </w:rPr>
        <w:t>, 2022</w:t>
      </w:r>
    </w:p>
    <w:p w14:paraId="6B5A75CD" w14:textId="77777777" w:rsidR="008B2CC1" w:rsidRPr="00B240C7" w:rsidRDefault="00E45755" w:rsidP="00720EFD">
      <w:pPr>
        <w:pStyle w:val="Heading1"/>
        <w:spacing w:before="0" w:after="480"/>
        <w:rPr>
          <w:sz w:val="36"/>
          <w:szCs w:val="28"/>
        </w:rPr>
      </w:pPr>
      <w:bookmarkStart w:id="3" w:name="_GoBack"/>
      <w:bookmarkEnd w:id="2"/>
      <w:bookmarkEnd w:id="3"/>
      <w:r w:rsidRPr="00B240C7">
        <w:rPr>
          <w:caps w:val="0"/>
          <w:sz w:val="28"/>
        </w:rPr>
        <w:t xml:space="preserve">Committee on WIPO Standards </w:t>
      </w:r>
      <w:r w:rsidRPr="00B240C7">
        <w:rPr>
          <w:sz w:val="28"/>
        </w:rPr>
        <w:t>(CWS)</w:t>
      </w:r>
    </w:p>
    <w:p w14:paraId="0866224D" w14:textId="77777777" w:rsidR="00E45755" w:rsidRPr="00846CF6" w:rsidRDefault="00960A12" w:rsidP="00E45755">
      <w:pPr>
        <w:outlineLvl w:val="1"/>
        <w:rPr>
          <w:b/>
          <w:sz w:val="24"/>
          <w:szCs w:val="24"/>
        </w:rPr>
      </w:pPr>
      <w:r>
        <w:rPr>
          <w:b/>
          <w:sz w:val="24"/>
          <w:szCs w:val="24"/>
        </w:rPr>
        <w:t>Te</w:t>
      </w:r>
      <w:r w:rsidR="00E45755" w:rsidRPr="00846CF6">
        <w:rPr>
          <w:b/>
          <w:sz w:val="24"/>
          <w:szCs w:val="24"/>
        </w:rPr>
        <w:t>nth Session</w:t>
      </w:r>
    </w:p>
    <w:p w14:paraId="513E9BF2" w14:textId="77777777" w:rsidR="008B2CC1" w:rsidRPr="003845C1" w:rsidRDefault="00846CF6" w:rsidP="00F9165B">
      <w:pPr>
        <w:spacing w:after="720"/>
        <w:outlineLvl w:val="1"/>
        <w:rPr>
          <w:b/>
          <w:sz w:val="24"/>
          <w:szCs w:val="24"/>
        </w:rPr>
      </w:pPr>
      <w:r w:rsidRPr="00846CF6">
        <w:rPr>
          <w:b/>
          <w:sz w:val="24"/>
          <w:szCs w:val="24"/>
        </w:rPr>
        <w:t xml:space="preserve">Geneva, November </w:t>
      </w:r>
      <w:r w:rsidR="00960A12">
        <w:rPr>
          <w:b/>
          <w:sz w:val="24"/>
          <w:szCs w:val="24"/>
        </w:rPr>
        <w:t>2</w:t>
      </w:r>
      <w:r w:rsidRPr="00846CF6">
        <w:rPr>
          <w:b/>
          <w:sz w:val="24"/>
          <w:szCs w:val="24"/>
        </w:rPr>
        <w:t xml:space="preserve">1 to </w:t>
      </w:r>
      <w:r w:rsidR="00960A12">
        <w:rPr>
          <w:b/>
          <w:sz w:val="24"/>
          <w:szCs w:val="24"/>
        </w:rPr>
        <w:t>25, 2022</w:t>
      </w:r>
    </w:p>
    <w:p w14:paraId="69F160B0" w14:textId="77777777" w:rsidR="008B2CC1" w:rsidRPr="003845C1" w:rsidRDefault="00B240C7" w:rsidP="00DD7B7F">
      <w:pPr>
        <w:spacing w:after="360"/>
        <w:outlineLvl w:val="0"/>
        <w:rPr>
          <w:caps/>
          <w:sz w:val="24"/>
        </w:rPr>
      </w:pPr>
      <w:bookmarkStart w:id="4" w:name="TitleOfDoc"/>
      <w:r>
        <w:rPr>
          <w:caps/>
          <w:sz w:val="24"/>
        </w:rPr>
        <w:t>Report by the Part 7 Task Force</w:t>
      </w:r>
    </w:p>
    <w:p w14:paraId="6C172E9B" w14:textId="77777777" w:rsidR="002928D3" w:rsidRPr="00F9165B" w:rsidRDefault="00B240C7" w:rsidP="001D4107">
      <w:pPr>
        <w:spacing w:after="1040"/>
        <w:rPr>
          <w:i/>
        </w:rPr>
      </w:pPr>
      <w:bookmarkStart w:id="5" w:name="Prepared"/>
      <w:bookmarkEnd w:id="4"/>
      <w:bookmarkEnd w:id="5"/>
      <w:r>
        <w:rPr>
          <w:i/>
        </w:rPr>
        <w:t>Document prepared by the Part 7 Task Force Leader</w:t>
      </w:r>
    </w:p>
    <w:p w14:paraId="5063D503" w14:textId="77777777" w:rsidR="00971447" w:rsidRPr="007C4727" w:rsidRDefault="00971447" w:rsidP="00577C36">
      <w:pPr>
        <w:pStyle w:val="Heading2"/>
        <w:spacing w:before="0"/>
      </w:pPr>
      <w:r w:rsidRPr="007C4727">
        <w:rPr>
          <w:caps w:val="0"/>
        </w:rPr>
        <w:t>INTRODUCTION</w:t>
      </w:r>
    </w:p>
    <w:p w14:paraId="20EFB2BA" w14:textId="77777777" w:rsidR="00971447" w:rsidRDefault="00971447" w:rsidP="002F4118">
      <w:pPr>
        <w:pStyle w:val="ONUME"/>
      </w:pPr>
      <w:r w:rsidRPr="007C4727">
        <w:fldChar w:fldCharType="begin"/>
      </w:r>
      <w:r w:rsidRPr="007C4727">
        <w:instrText xml:space="preserve"> AUTONUM  </w:instrText>
      </w:r>
      <w:r w:rsidRPr="007C4727">
        <w:fldChar w:fldCharType="end"/>
      </w:r>
      <w:r w:rsidRPr="007C4727">
        <w:tab/>
      </w:r>
      <w:r w:rsidR="0001008D" w:rsidRPr="0001008D">
        <w:t>At its ninth session</w:t>
      </w:r>
      <w:r w:rsidR="0001008D" w:rsidRPr="007C4727">
        <w:t xml:space="preserve"> </w:t>
      </w:r>
      <w:r w:rsidR="0001008D">
        <w:t xml:space="preserve">in 2021, </w:t>
      </w:r>
      <w:r w:rsidRPr="007C4727">
        <w:t xml:space="preserve">the Committee on WIPO Standards (CWS) </w:t>
      </w:r>
      <w:r w:rsidR="0001008D" w:rsidRPr="0001008D">
        <w:t>approved the revised work plan for updating Part 7 of the WIPO Handbook</w:t>
      </w:r>
      <w:r w:rsidR="0001008D">
        <w:t xml:space="preserve">, including a survey on calendar dates in 2022.  </w:t>
      </w:r>
      <w:r w:rsidR="002F4118" w:rsidRPr="002F4118">
        <w:t xml:space="preserve">The CWS approved a simplified process for updating Part 7 where results will be collected and published without presenting the questionnaire or the </w:t>
      </w:r>
      <w:r w:rsidR="002F4118">
        <w:t xml:space="preserve">results to the CWS for approval.  </w:t>
      </w:r>
      <w:r w:rsidR="0001008D">
        <w:t>T</w:t>
      </w:r>
      <w:r w:rsidR="0083276C">
        <w:t>he CWS requested the Task F</w:t>
      </w:r>
      <w:r w:rsidR="0001008D" w:rsidRPr="0001008D">
        <w:t>orce to schedule an update to Part 7.9 on citation practices (see paragraphs 110 to 114 of document CWS/9/25).</w:t>
      </w:r>
    </w:p>
    <w:p w14:paraId="26A84CDC" w14:textId="77777777" w:rsidR="00971447" w:rsidRPr="007C4727" w:rsidRDefault="00971447" w:rsidP="00577C36">
      <w:pPr>
        <w:pStyle w:val="Heading2"/>
        <w:spacing w:before="0"/>
      </w:pPr>
      <w:r w:rsidRPr="007C4727">
        <w:rPr>
          <w:caps w:val="0"/>
        </w:rPr>
        <w:t>PROGRESS REPORT</w:t>
      </w:r>
    </w:p>
    <w:p w14:paraId="21994BBF" w14:textId="77777777" w:rsidR="0001008D" w:rsidRDefault="00971447" w:rsidP="00B97472">
      <w:pPr>
        <w:spacing w:after="220"/>
        <w:rPr>
          <w:szCs w:val="22"/>
        </w:rPr>
      </w:pPr>
      <w:r w:rsidRPr="007C4727">
        <w:fldChar w:fldCharType="begin"/>
      </w:r>
      <w:r w:rsidRPr="007C4727">
        <w:instrText xml:space="preserve"> AUTONUM  </w:instrText>
      </w:r>
      <w:r w:rsidRPr="007C4727">
        <w:fldChar w:fldCharType="end"/>
      </w:r>
      <w:r w:rsidRPr="007C4727">
        <w:tab/>
      </w:r>
      <w:r>
        <w:t xml:space="preserve">In </w:t>
      </w:r>
      <w:r w:rsidR="0001008D">
        <w:t xml:space="preserve">August </w:t>
      </w:r>
      <w:r>
        <w:t>202</w:t>
      </w:r>
      <w:r w:rsidR="0001008D">
        <w:t>2</w:t>
      </w:r>
      <w:r>
        <w:t xml:space="preserve">, the </w:t>
      </w:r>
      <w:r w:rsidR="00475A47">
        <w:t xml:space="preserve">Secretariat </w:t>
      </w:r>
      <w:r w:rsidR="0001008D">
        <w:t xml:space="preserve">issued circular </w:t>
      </w:r>
      <w:r w:rsidR="00EA0BB3">
        <w:t xml:space="preserve">C.CWS </w:t>
      </w:r>
      <w:r w:rsidR="0001008D">
        <w:t xml:space="preserve">162 inviting </w:t>
      </w:r>
      <w:r w:rsidR="0083276C">
        <w:t>Intellectual Property Offices (</w:t>
      </w:r>
      <w:r w:rsidR="0001008D">
        <w:t>IPOs</w:t>
      </w:r>
      <w:r w:rsidR="0083276C">
        <w:t>)</w:t>
      </w:r>
      <w:r w:rsidR="0001008D">
        <w:t xml:space="preserve"> to take the survey on representation of calendar dates</w:t>
      </w:r>
      <w:r>
        <w:rPr>
          <w:szCs w:val="22"/>
        </w:rPr>
        <w:t xml:space="preserve">.  </w:t>
      </w:r>
      <w:r w:rsidR="0001008D">
        <w:rPr>
          <w:szCs w:val="22"/>
        </w:rPr>
        <w:t>The su</w:t>
      </w:r>
      <w:r w:rsidR="0075079F">
        <w:rPr>
          <w:szCs w:val="22"/>
        </w:rPr>
        <w:t xml:space="preserve">rvey concludes in </w:t>
      </w:r>
      <w:r w:rsidR="0001008D">
        <w:rPr>
          <w:szCs w:val="22"/>
        </w:rPr>
        <w:t>Sept</w:t>
      </w:r>
      <w:r w:rsidR="0083276C">
        <w:rPr>
          <w:szCs w:val="22"/>
        </w:rPr>
        <w:t>ember 2022</w:t>
      </w:r>
      <w:r w:rsidR="0001008D">
        <w:rPr>
          <w:szCs w:val="22"/>
        </w:rPr>
        <w:t xml:space="preserve">.  As agreed </w:t>
      </w:r>
      <w:r w:rsidR="00475A47">
        <w:rPr>
          <w:szCs w:val="22"/>
        </w:rPr>
        <w:t xml:space="preserve">at the ninth session, Part 7.1 of the WIPO Handbook will be updated with the survey results when they are available.  Results should be published by the end of 2022, considering the time required to prepare and translate the results.  The Secretariat will provide information on the </w:t>
      </w:r>
      <w:r w:rsidR="00367025">
        <w:rPr>
          <w:szCs w:val="22"/>
        </w:rPr>
        <w:t xml:space="preserve">analysis of </w:t>
      </w:r>
      <w:r w:rsidR="00475A47">
        <w:rPr>
          <w:szCs w:val="22"/>
        </w:rPr>
        <w:t xml:space="preserve">responses received </w:t>
      </w:r>
      <w:r w:rsidR="0075079F">
        <w:rPr>
          <w:szCs w:val="22"/>
        </w:rPr>
        <w:t>in document CWS/10/18</w:t>
      </w:r>
      <w:r w:rsidR="00475A47">
        <w:rPr>
          <w:szCs w:val="22"/>
        </w:rPr>
        <w:t>.</w:t>
      </w:r>
    </w:p>
    <w:p w14:paraId="10FB9E3B" w14:textId="0B283244" w:rsidR="00475A47" w:rsidRDefault="0001008D" w:rsidP="00EE0F3E">
      <w:pPr>
        <w:spacing w:after="220"/>
        <w:rPr>
          <w:szCs w:val="22"/>
        </w:rPr>
      </w:pPr>
      <w:r w:rsidRPr="007C4727">
        <w:fldChar w:fldCharType="begin"/>
      </w:r>
      <w:r w:rsidRPr="007C4727">
        <w:instrText xml:space="preserve"> AUTONUM  </w:instrText>
      </w:r>
      <w:r w:rsidRPr="007C4727">
        <w:fldChar w:fldCharType="end"/>
      </w:r>
      <w:r w:rsidRPr="007C4727">
        <w:tab/>
      </w:r>
      <w:r w:rsidR="00577C36">
        <w:rPr>
          <w:szCs w:val="22"/>
        </w:rPr>
        <w:t>The Task F</w:t>
      </w:r>
      <w:r w:rsidR="00BE7036">
        <w:rPr>
          <w:szCs w:val="22"/>
        </w:rPr>
        <w:t xml:space="preserve">orce </w:t>
      </w:r>
      <w:r w:rsidR="00475A47">
        <w:rPr>
          <w:szCs w:val="22"/>
        </w:rPr>
        <w:t xml:space="preserve">discussed revising the work plan to schedule an update for citation practices in Part 7.9 of the WIPO Handbook.  Since </w:t>
      </w:r>
      <w:r w:rsidR="00352C7A">
        <w:rPr>
          <w:szCs w:val="22"/>
        </w:rPr>
        <w:t xml:space="preserve">the </w:t>
      </w:r>
      <w:r w:rsidR="00475A47">
        <w:rPr>
          <w:szCs w:val="22"/>
        </w:rPr>
        <w:t xml:space="preserve">updating </w:t>
      </w:r>
      <w:r w:rsidR="00352C7A">
        <w:rPr>
          <w:szCs w:val="22"/>
        </w:rPr>
        <w:t xml:space="preserve">of </w:t>
      </w:r>
      <w:r w:rsidR="00475A47">
        <w:rPr>
          <w:szCs w:val="22"/>
        </w:rPr>
        <w:t>citation practices was requested by the CWS last year, the update should be scheduled relatively soon.</w:t>
      </w:r>
      <w:r w:rsidR="0083276C">
        <w:rPr>
          <w:szCs w:val="22"/>
        </w:rPr>
        <w:br w:type="page"/>
      </w:r>
    </w:p>
    <w:p w14:paraId="1FF1E79F" w14:textId="77777777" w:rsidR="00955266" w:rsidRDefault="00475A47" w:rsidP="00955266">
      <w:pPr>
        <w:spacing w:after="220"/>
        <w:rPr>
          <w:szCs w:val="22"/>
        </w:rPr>
      </w:pPr>
      <w:r w:rsidRPr="007C4727">
        <w:lastRenderedPageBreak/>
        <w:fldChar w:fldCharType="begin"/>
      </w:r>
      <w:r w:rsidRPr="007C4727">
        <w:instrText xml:space="preserve"> AUTONUM  </w:instrText>
      </w:r>
      <w:r w:rsidRPr="007C4727">
        <w:fldChar w:fldCharType="end"/>
      </w:r>
      <w:r w:rsidRPr="007C4727">
        <w:tab/>
      </w:r>
      <w:r>
        <w:rPr>
          <w:szCs w:val="22"/>
        </w:rPr>
        <w:t xml:space="preserve">The Task Force considered several options, </w:t>
      </w:r>
      <w:r w:rsidR="00955266">
        <w:rPr>
          <w:szCs w:val="22"/>
        </w:rPr>
        <w:t xml:space="preserve">such as </w:t>
      </w:r>
      <w:r>
        <w:rPr>
          <w:szCs w:val="22"/>
        </w:rPr>
        <w:t xml:space="preserve">updating 7.9 in 2023 and delaying all existing survey updates in the work plan by </w:t>
      </w:r>
      <w:r w:rsidR="00955266">
        <w:rPr>
          <w:szCs w:val="22"/>
        </w:rPr>
        <w:t>one year.  The best option recommended by the Task Force is to update both 7.9 on citation practices and part 7.6 on b</w:t>
      </w:r>
      <w:r w:rsidR="00955266" w:rsidRPr="00955266">
        <w:rPr>
          <w:szCs w:val="22"/>
        </w:rPr>
        <w:t>ibliographic information in patent</w:t>
      </w:r>
      <w:r w:rsidR="00955266">
        <w:rPr>
          <w:szCs w:val="22"/>
        </w:rPr>
        <w:t xml:space="preserve"> gazettes in 2023.  Normally, only one update to Part 7 is scheduled per calendar year to avoid burdening IPOs with too many surveys</w:t>
      </w:r>
      <w:r w:rsidR="000168DE">
        <w:rPr>
          <w:szCs w:val="22"/>
        </w:rPr>
        <w:t>, considering that other Task Forces also conduct surveys of IPOs</w:t>
      </w:r>
      <w:r w:rsidR="00955266">
        <w:rPr>
          <w:szCs w:val="22"/>
        </w:rPr>
        <w:t xml:space="preserve">.  However, no other Task Forces are proposing surveys </w:t>
      </w:r>
      <w:r w:rsidR="000168DE">
        <w:rPr>
          <w:szCs w:val="22"/>
        </w:rPr>
        <w:t xml:space="preserve">for 2023 </w:t>
      </w:r>
      <w:r w:rsidR="00955266">
        <w:rPr>
          <w:szCs w:val="22"/>
        </w:rPr>
        <w:t xml:space="preserve">at the tenth session of the CWS.  If the proposed schedule for Part 7 is approved, only two </w:t>
      </w:r>
      <w:r w:rsidR="000168DE">
        <w:rPr>
          <w:szCs w:val="22"/>
        </w:rPr>
        <w:t xml:space="preserve">CWS </w:t>
      </w:r>
      <w:r w:rsidR="00955266">
        <w:rPr>
          <w:szCs w:val="22"/>
        </w:rPr>
        <w:t>surveys will be conducted in 2023: citation practices (7.9) and b</w:t>
      </w:r>
      <w:r w:rsidR="00955266" w:rsidRPr="00955266">
        <w:rPr>
          <w:szCs w:val="22"/>
        </w:rPr>
        <w:t>ibliographic information in patent</w:t>
      </w:r>
      <w:r w:rsidR="00955266">
        <w:rPr>
          <w:szCs w:val="22"/>
        </w:rPr>
        <w:t xml:space="preserve"> gazettes (7.6).  </w:t>
      </w:r>
      <w:r w:rsidR="000168DE">
        <w:rPr>
          <w:szCs w:val="22"/>
        </w:rPr>
        <w:t>This would allow preserving the existing schedule in the Part 7 work plan while updating 7.9 in a timely manner.</w:t>
      </w:r>
    </w:p>
    <w:p w14:paraId="1E4F7C5B" w14:textId="77777777" w:rsidR="000168DE" w:rsidRPr="00B42BE3" w:rsidRDefault="000168DE" w:rsidP="000168DE">
      <w:pPr>
        <w:pStyle w:val="Heading2"/>
        <w:rPr>
          <w:szCs w:val="22"/>
          <w:shd w:val="clear" w:color="auto" w:fill="FFFFFF"/>
        </w:rPr>
      </w:pPr>
      <w:r w:rsidRPr="00BE7036">
        <w:t>Work Plan</w:t>
      </w:r>
      <w:r w:rsidRPr="00B42BE3">
        <w:rPr>
          <w:szCs w:val="22"/>
          <w:shd w:val="clear" w:color="auto" w:fill="FFFFFF"/>
        </w:rPr>
        <w:t xml:space="preserve"> </w:t>
      </w:r>
    </w:p>
    <w:p w14:paraId="6A626E5F" w14:textId="7C1E9109" w:rsidR="00971447" w:rsidRDefault="003B1BAC" w:rsidP="00EE0F3E">
      <w:pPr>
        <w:spacing w:after="120"/>
      </w:pPr>
      <w:r w:rsidRPr="007C4727">
        <w:fldChar w:fldCharType="begin"/>
      </w:r>
      <w:r w:rsidRPr="007C4727">
        <w:instrText xml:space="preserve"> AUTONUM  </w:instrText>
      </w:r>
      <w:r w:rsidRPr="007C4727">
        <w:fldChar w:fldCharType="end"/>
      </w:r>
      <w:r w:rsidRPr="007C4727">
        <w:tab/>
      </w:r>
      <w:r w:rsidR="00577C36">
        <w:t xml:space="preserve">The </w:t>
      </w:r>
      <w:r w:rsidR="000168DE">
        <w:t>proposed work plan</w:t>
      </w:r>
      <w:r w:rsidR="00352C7A">
        <w:t>,</w:t>
      </w:r>
      <w:r w:rsidR="00971447">
        <w:t xml:space="preserve"> </w:t>
      </w:r>
      <w:r w:rsidR="000168DE">
        <w:t>incorporating the recommendations above</w:t>
      </w:r>
      <w:r w:rsidR="00352C7A">
        <w:t>, i</w:t>
      </w:r>
      <w:r w:rsidR="000168DE">
        <w:t>s as follows</w:t>
      </w:r>
      <w:r w:rsidR="00971447">
        <w:t>:</w:t>
      </w:r>
    </w:p>
    <w:tbl>
      <w:tblPr>
        <w:tblStyle w:val="TableGrid"/>
        <w:tblW w:w="8995" w:type="dxa"/>
        <w:tblLayout w:type="fixed"/>
        <w:tblCellMar>
          <w:top w:w="57" w:type="dxa"/>
          <w:bottom w:w="57" w:type="dxa"/>
        </w:tblCellMar>
        <w:tblLook w:val="04A0" w:firstRow="1" w:lastRow="0" w:firstColumn="1" w:lastColumn="0" w:noHBand="0" w:noVBand="1"/>
      </w:tblPr>
      <w:tblGrid>
        <w:gridCol w:w="1555"/>
        <w:gridCol w:w="3543"/>
        <w:gridCol w:w="1276"/>
        <w:gridCol w:w="2621"/>
      </w:tblGrid>
      <w:tr w:rsidR="000168DE" w14:paraId="537C6FE6" w14:textId="77777777" w:rsidTr="002F4118">
        <w:trPr>
          <w:trHeight w:val="721"/>
        </w:trPr>
        <w:tc>
          <w:tcPr>
            <w:tcW w:w="1555" w:type="dxa"/>
            <w:shd w:val="clear" w:color="auto" w:fill="D9D9D9" w:themeFill="background1" w:themeFillShade="D9"/>
            <w:vAlign w:val="center"/>
          </w:tcPr>
          <w:p w14:paraId="5D311F02" w14:textId="77777777" w:rsidR="000168DE" w:rsidRPr="000F509D" w:rsidRDefault="000168DE" w:rsidP="0083276C">
            <w:pPr>
              <w:spacing w:after="60"/>
              <w:jc w:val="center"/>
              <w:rPr>
                <w:b/>
              </w:rPr>
            </w:pPr>
            <w:r>
              <w:rPr>
                <w:b/>
              </w:rPr>
              <w:t>Section</w:t>
            </w:r>
          </w:p>
        </w:tc>
        <w:tc>
          <w:tcPr>
            <w:tcW w:w="3543" w:type="dxa"/>
            <w:shd w:val="clear" w:color="auto" w:fill="D9D9D9" w:themeFill="background1" w:themeFillShade="D9"/>
            <w:vAlign w:val="center"/>
          </w:tcPr>
          <w:p w14:paraId="407F6A2A" w14:textId="77777777" w:rsidR="000168DE" w:rsidRPr="000F509D" w:rsidRDefault="000168DE" w:rsidP="0083276C">
            <w:pPr>
              <w:spacing w:after="60"/>
              <w:jc w:val="center"/>
              <w:rPr>
                <w:b/>
              </w:rPr>
            </w:pPr>
            <w:r>
              <w:rPr>
                <w:b/>
              </w:rPr>
              <w:t>Topic</w:t>
            </w:r>
          </w:p>
        </w:tc>
        <w:tc>
          <w:tcPr>
            <w:tcW w:w="1276" w:type="dxa"/>
            <w:shd w:val="clear" w:color="auto" w:fill="D9D9D9" w:themeFill="background1" w:themeFillShade="D9"/>
            <w:vAlign w:val="center"/>
          </w:tcPr>
          <w:p w14:paraId="7318B04F" w14:textId="77777777" w:rsidR="000168DE" w:rsidRPr="000F509D" w:rsidRDefault="000168DE" w:rsidP="0083276C">
            <w:pPr>
              <w:spacing w:after="60"/>
              <w:jc w:val="center"/>
              <w:rPr>
                <w:b/>
              </w:rPr>
            </w:pPr>
            <w:r w:rsidRPr="000F509D">
              <w:rPr>
                <w:b/>
              </w:rPr>
              <w:t>Last</w:t>
            </w:r>
          </w:p>
          <w:p w14:paraId="1530CBDA" w14:textId="77777777" w:rsidR="000168DE" w:rsidRPr="000F509D" w:rsidRDefault="00807D43" w:rsidP="0083276C">
            <w:pPr>
              <w:spacing w:after="60"/>
              <w:jc w:val="center"/>
              <w:rPr>
                <w:b/>
              </w:rPr>
            </w:pPr>
            <w:r>
              <w:rPr>
                <w:b/>
              </w:rPr>
              <w:t>P</w:t>
            </w:r>
            <w:r w:rsidR="000168DE">
              <w:rPr>
                <w:b/>
              </w:rPr>
              <w:t>ublished</w:t>
            </w:r>
          </w:p>
        </w:tc>
        <w:tc>
          <w:tcPr>
            <w:tcW w:w="2621" w:type="dxa"/>
            <w:shd w:val="clear" w:color="auto" w:fill="D9D9D9" w:themeFill="background1" w:themeFillShade="D9"/>
            <w:vAlign w:val="center"/>
          </w:tcPr>
          <w:p w14:paraId="0C091522" w14:textId="77777777" w:rsidR="000168DE" w:rsidRPr="000F509D" w:rsidRDefault="000168DE" w:rsidP="0083276C">
            <w:pPr>
              <w:spacing w:after="60"/>
              <w:jc w:val="center"/>
              <w:rPr>
                <w:b/>
              </w:rPr>
            </w:pPr>
            <w:r>
              <w:rPr>
                <w:b/>
              </w:rPr>
              <w:t>Status</w:t>
            </w:r>
          </w:p>
        </w:tc>
      </w:tr>
      <w:tr w:rsidR="000168DE" w14:paraId="6BF11C6F" w14:textId="77777777" w:rsidTr="004E0228">
        <w:tc>
          <w:tcPr>
            <w:tcW w:w="1555" w:type="dxa"/>
            <w:tcBorders>
              <w:top w:val="single" w:sz="4" w:space="0" w:color="auto"/>
              <w:bottom w:val="single" w:sz="4" w:space="0" w:color="auto"/>
            </w:tcBorders>
            <w:shd w:val="clear" w:color="auto" w:fill="auto"/>
          </w:tcPr>
          <w:p w14:paraId="67DDAD62" w14:textId="77777777" w:rsidR="000168DE" w:rsidRDefault="000168DE" w:rsidP="000168DE">
            <w:pPr>
              <w:spacing w:after="60"/>
            </w:pPr>
            <w:r>
              <w:t>Part 7.9</w:t>
            </w:r>
          </w:p>
        </w:tc>
        <w:tc>
          <w:tcPr>
            <w:tcW w:w="3543" w:type="dxa"/>
          </w:tcPr>
          <w:p w14:paraId="3E5178D8" w14:textId="77777777" w:rsidR="000168DE" w:rsidRPr="00FD3D6A" w:rsidRDefault="000168DE" w:rsidP="000168DE">
            <w:pPr>
              <w:spacing w:after="60"/>
              <w:rPr>
                <w:lang w:val="fr-CH"/>
              </w:rPr>
            </w:pPr>
            <w:r>
              <w:rPr>
                <w:lang w:val="fr-CH"/>
              </w:rPr>
              <w:t>Citation practices</w:t>
            </w:r>
          </w:p>
        </w:tc>
        <w:tc>
          <w:tcPr>
            <w:tcW w:w="1276" w:type="dxa"/>
            <w:shd w:val="clear" w:color="auto" w:fill="auto"/>
          </w:tcPr>
          <w:p w14:paraId="5695D40E" w14:textId="77777777" w:rsidR="000168DE" w:rsidRDefault="000168DE" w:rsidP="004E0228">
            <w:pPr>
              <w:spacing w:after="60"/>
              <w:jc w:val="center"/>
            </w:pPr>
            <w:r>
              <w:t>2008</w:t>
            </w:r>
          </w:p>
        </w:tc>
        <w:tc>
          <w:tcPr>
            <w:tcW w:w="2621" w:type="dxa"/>
          </w:tcPr>
          <w:p w14:paraId="4CF4F1E8" w14:textId="77777777" w:rsidR="000168DE" w:rsidRDefault="000168DE" w:rsidP="004E0228">
            <w:pPr>
              <w:spacing w:after="60"/>
              <w:jc w:val="center"/>
            </w:pPr>
            <w:r>
              <w:t>update 2023</w:t>
            </w:r>
          </w:p>
        </w:tc>
      </w:tr>
      <w:tr w:rsidR="000168DE" w14:paraId="2DB0CB31" w14:textId="77777777" w:rsidTr="004E0228">
        <w:tc>
          <w:tcPr>
            <w:tcW w:w="1555" w:type="dxa"/>
            <w:tcBorders>
              <w:top w:val="single" w:sz="4" w:space="0" w:color="auto"/>
              <w:bottom w:val="single" w:sz="4" w:space="0" w:color="auto"/>
            </w:tcBorders>
            <w:shd w:val="clear" w:color="auto" w:fill="auto"/>
          </w:tcPr>
          <w:p w14:paraId="1BDCAF49" w14:textId="77777777" w:rsidR="000168DE" w:rsidRDefault="000168DE" w:rsidP="004E0228">
            <w:pPr>
              <w:spacing w:after="60"/>
            </w:pPr>
            <w:r>
              <w:t>Part 7.6</w:t>
            </w:r>
          </w:p>
        </w:tc>
        <w:tc>
          <w:tcPr>
            <w:tcW w:w="3543" w:type="dxa"/>
          </w:tcPr>
          <w:p w14:paraId="7C3D38CA" w14:textId="77777777" w:rsidR="000168DE" w:rsidRPr="00FD3D6A" w:rsidRDefault="000168DE" w:rsidP="004E0228">
            <w:pPr>
              <w:spacing w:after="60"/>
              <w:rPr>
                <w:lang w:val="fr-CH"/>
              </w:rPr>
            </w:pPr>
            <w:r w:rsidRPr="00316AC6">
              <w:rPr>
                <w:lang w:val="fr-CH"/>
              </w:rPr>
              <w:t>Bibliographic information in patent gazettes</w:t>
            </w:r>
          </w:p>
        </w:tc>
        <w:tc>
          <w:tcPr>
            <w:tcW w:w="1276" w:type="dxa"/>
            <w:shd w:val="clear" w:color="auto" w:fill="auto"/>
          </w:tcPr>
          <w:p w14:paraId="53B8A334" w14:textId="77777777" w:rsidR="000168DE" w:rsidRDefault="000168DE" w:rsidP="004E0228">
            <w:pPr>
              <w:spacing w:after="60"/>
              <w:jc w:val="center"/>
            </w:pPr>
            <w:r>
              <w:t>1990</w:t>
            </w:r>
          </w:p>
        </w:tc>
        <w:tc>
          <w:tcPr>
            <w:tcW w:w="2621" w:type="dxa"/>
          </w:tcPr>
          <w:p w14:paraId="6D59EB9D" w14:textId="77777777" w:rsidR="000168DE" w:rsidRDefault="000168DE" w:rsidP="004E0228">
            <w:pPr>
              <w:spacing w:after="60"/>
              <w:jc w:val="center"/>
            </w:pPr>
            <w:r>
              <w:t>update 2023</w:t>
            </w:r>
          </w:p>
        </w:tc>
      </w:tr>
      <w:tr w:rsidR="000168DE" w14:paraId="1DFE42AA" w14:textId="77777777" w:rsidTr="004E0228">
        <w:tc>
          <w:tcPr>
            <w:tcW w:w="1555" w:type="dxa"/>
            <w:shd w:val="clear" w:color="auto" w:fill="auto"/>
          </w:tcPr>
          <w:p w14:paraId="726FD2AA" w14:textId="77777777" w:rsidR="000168DE" w:rsidRDefault="000168DE" w:rsidP="004E0228">
            <w:pPr>
              <w:spacing w:after="60"/>
            </w:pPr>
            <w:r>
              <w:t>Part 7.2.6</w:t>
            </w:r>
            <w:r w:rsidR="00807D43">
              <w:t xml:space="preserve"> &amp;</w:t>
            </w:r>
          </w:p>
          <w:p w14:paraId="46F1C8FB" w14:textId="77777777" w:rsidR="00807D43" w:rsidRDefault="00807D43" w:rsidP="004E0228">
            <w:pPr>
              <w:spacing w:after="60"/>
            </w:pPr>
            <w:r>
              <w:t>Part 7.2.7</w:t>
            </w:r>
          </w:p>
        </w:tc>
        <w:tc>
          <w:tcPr>
            <w:tcW w:w="3543" w:type="dxa"/>
          </w:tcPr>
          <w:p w14:paraId="44B81D86" w14:textId="77777777" w:rsidR="000168DE" w:rsidRDefault="000168DE" w:rsidP="004E0228">
            <w:pPr>
              <w:spacing w:after="60"/>
            </w:pPr>
            <w:r>
              <w:t>A</w:t>
            </w:r>
            <w:r w:rsidRPr="00E16CBC">
              <w:t>pplication</w:t>
            </w:r>
            <w:r>
              <w:t xml:space="preserve"> n</w:t>
            </w:r>
            <w:r w:rsidRPr="00E16CBC">
              <w:t xml:space="preserve">umbering </w:t>
            </w:r>
            <w:r>
              <w:t>– current practices</w:t>
            </w:r>
            <w:r w:rsidR="00807D43">
              <w:t xml:space="preserve"> &amp; former practices</w:t>
            </w:r>
          </w:p>
        </w:tc>
        <w:tc>
          <w:tcPr>
            <w:tcW w:w="1276" w:type="dxa"/>
            <w:shd w:val="clear" w:color="auto" w:fill="auto"/>
          </w:tcPr>
          <w:p w14:paraId="66517D70" w14:textId="77777777" w:rsidR="000168DE" w:rsidRDefault="000168DE" w:rsidP="004E0228">
            <w:pPr>
              <w:spacing w:after="60"/>
              <w:jc w:val="center"/>
            </w:pPr>
            <w:r>
              <w:t>2017</w:t>
            </w:r>
          </w:p>
        </w:tc>
        <w:tc>
          <w:tcPr>
            <w:tcW w:w="2621" w:type="dxa"/>
          </w:tcPr>
          <w:p w14:paraId="5F4610C5" w14:textId="77777777" w:rsidR="000168DE" w:rsidRDefault="000168DE" w:rsidP="004E0228">
            <w:pPr>
              <w:spacing w:after="60"/>
              <w:jc w:val="center"/>
            </w:pPr>
            <w:r>
              <w:t>update 2024</w:t>
            </w:r>
          </w:p>
        </w:tc>
      </w:tr>
      <w:tr w:rsidR="000168DE" w14:paraId="4930CF12" w14:textId="77777777" w:rsidTr="004E0228">
        <w:tc>
          <w:tcPr>
            <w:tcW w:w="1555" w:type="dxa"/>
            <w:shd w:val="clear" w:color="auto" w:fill="auto"/>
          </w:tcPr>
          <w:p w14:paraId="31071119" w14:textId="77777777" w:rsidR="000168DE" w:rsidRDefault="000168DE" w:rsidP="004E0228">
            <w:pPr>
              <w:spacing w:after="60"/>
            </w:pPr>
            <w:r>
              <w:t>Part 7.3</w:t>
            </w:r>
          </w:p>
        </w:tc>
        <w:tc>
          <w:tcPr>
            <w:tcW w:w="3543" w:type="dxa"/>
          </w:tcPr>
          <w:p w14:paraId="7727C22C" w14:textId="77777777" w:rsidR="000168DE" w:rsidRDefault="000168DE" w:rsidP="004E0228">
            <w:pPr>
              <w:spacing w:after="60"/>
            </w:pPr>
            <w:r w:rsidRPr="006A3493">
              <w:t>Examples and kinds of patent documents</w:t>
            </w:r>
          </w:p>
        </w:tc>
        <w:tc>
          <w:tcPr>
            <w:tcW w:w="1276" w:type="dxa"/>
            <w:shd w:val="clear" w:color="auto" w:fill="auto"/>
          </w:tcPr>
          <w:p w14:paraId="4B5106DF" w14:textId="77777777" w:rsidR="000168DE" w:rsidRDefault="000168DE" w:rsidP="004E0228">
            <w:pPr>
              <w:spacing w:after="60"/>
              <w:jc w:val="center"/>
            </w:pPr>
            <w:r>
              <w:t>2016</w:t>
            </w:r>
          </w:p>
        </w:tc>
        <w:tc>
          <w:tcPr>
            <w:tcW w:w="2621" w:type="dxa"/>
          </w:tcPr>
          <w:p w14:paraId="7E8180A2" w14:textId="77777777" w:rsidR="000168DE" w:rsidRDefault="000168DE" w:rsidP="004E0228">
            <w:pPr>
              <w:spacing w:after="60"/>
              <w:jc w:val="center"/>
            </w:pPr>
            <w:r>
              <w:t>update 2025</w:t>
            </w:r>
          </w:p>
        </w:tc>
      </w:tr>
    </w:tbl>
    <w:p w14:paraId="7084C811" w14:textId="77777777" w:rsidR="000168DE" w:rsidRDefault="000168DE" w:rsidP="00EE0F3E">
      <w:pPr>
        <w:spacing w:after="120"/>
      </w:pPr>
    </w:p>
    <w:p w14:paraId="30FC2EE9" w14:textId="77777777" w:rsidR="0083276C" w:rsidRDefault="003B1BAC" w:rsidP="002F4118">
      <w:pPr>
        <w:spacing w:after="220"/>
      </w:pPr>
      <w:r w:rsidRPr="007C4727">
        <w:fldChar w:fldCharType="begin"/>
      </w:r>
      <w:r w:rsidRPr="007C4727">
        <w:instrText xml:space="preserve"> AUTONUM  </w:instrText>
      </w:r>
      <w:r w:rsidRPr="007C4727">
        <w:fldChar w:fldCharType="end"/>
      </w:r>
      <w:r w:rsidRPr="007C4727">
        <w:tab/>
      </w:r>
      <w:r w:rsidR="00971447">
        <w:t xml:space="preserve">All remaining </w:t>
      </w:r>
      <w:r w:rsidR="0082055C">
        <w:t>Part 7 survey updates</w:t>
      </w:r>
      <w:r w:rsidR="00971447">
        <w:t xml:space="preserve"> will be conducted with the simplified process </w:t>
      </w:r>
      <w:r w:rsidR="000168DE">
        <w:t xml:space="preserve">approved at the ninth session of the CWS: </w:t>
      </w:r>
      <w:r w:rsidR="00971447">
        <w:t>collecting and publishing results without presenting the questionnaire or the results to the CWS for approval</w:t>
      </w:r>
      <w:r w:rsidR="00EA0BB3">
        <w:t xml:space="preserve">, but </w:t>
      </w:r>
      <w:r w:rsidR="00EA0BB3" w:rsidRPr="00EA0BB3">
        <w:t>present</w:t>
      </w:r>
      <w:r w:rsidR="00EA0BB3">
        <w:t>ing</w:t>
      </w:r>
      <w:r w:rsidR="00EA0BB3" w:rsidRPr="00EA0BB3">
        <w:t xml:space="preserve"> analysis </w:t>
      </w:r>
      <w:r w:rsidR="00EA0BB3">
        <w:t xml:space="preserve">of conducted surveys </w:t>
      </w:r>
      <w:r w:rsidR="00EA0BB3" w:rsidRPr="00EA0BB3">
        <w:t>for consideration and approval by the CWS</w:t>
      </w:r>
      <w:r w:rsidR="00807D43">
        <w:t xml:space="preserve"> (see paragraph 114 of document CWS/9/25)</w:t>
      </w:r>
      <w:r w:rsidR="00971447">
        <w:t xml:space="preserve">.  The CWS will be notified of published results at </w:t>
      </w:r>
      <w:r w:rsidR="000168DE">
        <w:t xml:space="preserve">the </w:t>
      </w:r>
      <w:r w:rsidR="00126310">
        <w:t xml:space="preserve">following </w:t>
      </w:r>
      <w:r w:rsidR="00971447">
        <w:t>session.</w:t>
      </w:r>
    </w:p>
    <w:p w14:paraId="55A06880" w14:textId="77777777" w:rsidR="002F4118" w:rsidRPr="0083276C" w:rsidRDefault="002F4118" w:rsidP="002F4118">
      <w:pPr>
        <w:spacing w:after="220"/>
      </w:pPr>
    </w:p>
    <w:p w14:paraId="05D5D7C3" w14:textId="77777777" w:rsidR="00B240C7" w:rsidRPr="000852E7" w:rsidRDefault="00B240C7" w:rsidP="00EE0F3E">
      <w:pPr>
        <w:pStyle w:val="ONUMFS"/>
        <w:numPr>
          <w:ilvl w:val="0"/>
          <w:numId w:val="0"/>
        </w:numPr>
        <w:ind w:left="5530"/>
        <w:rPr>
          <w:i/>
        </w:rPr>
      </w:pPr>
      <w:r>
        <w:rPr>
          <w:i/>
          <w:szCs w:val="22"/>
        </w:rPr>
        <w:fldChar w:fldCharType="begin"/>
      </w:r>
      <w:r>
        <w:rPr>
          <w:i/>
          <w:szCs w:val="22"/>
        </w:rPr>
        <w:instrText xml:space="preserve"> AUTONUM  </w:instrText>
      </w:r>
      <w:r>
        <w:rPr>
          <w:i/>
          <w:szCs w:val="22"/>
        </w:rPr>
        <w:fldChar w:fldCharType="end"/>
      </w:r>
      <w:r>
        <w:rPr>
          <w:i/>
          <w:szCs w:val="22"/>
        </w:rPr>
        <w:tab/>
      </w:r>
      <w:r w:rsidRPr="000852E7">
        <w:rPr>
          <w:i/>
          <w:szCs w:val="22"/>
        </w:rPr>
        <w:t>Th</w:t>
      </w:r>
      <w:r w:rsidRPr="000852E7">
        <w:rPr>
          <w:i/>
        </w:rPr>
        <w:t>e CWS</w:t>
      </w:r>
      <w:r w:rsidRPr="003A5F87">
        <w:rPr>
          <w:i/>
        </w:rPr>
        <w:t xml:space="preserve"> is invited to: </w:t>
      </w:r>
    </w:p>
    <w:p w14:paraId="77C2FE79" w14:textId="77777777" w:rsidR="00B240C7" w:rsidRPr="00BA1256" w:rsidRDefault="00B240C7" w:rsidP="00EE0F3E">
      <w:pPr>
        <w:pStyle w:val="BodyText"/>
        <w:numPr>
          <w:ilvl w:val="0"/>
          <w:numId w:val="9"/>
        </w:numPr>
        <w:tabs>
          <w:tab w:val="left" w:pos="6160"/>
          <w:tab w:val="left" w:pos="6710"/>
        </w:tabs>
        <w:rPr>
          <w:i/>
        </w:rPr>
      </w:pPr>
      <w:r w:rsidRPr="00BA1256">
        <w:rPr>
          <w:i/>
        </w:rPr>
        <w:t>note the content of this document;</w:t>
      </w:r>
      <w:r w:rsidR="000168DE">
        <w:rPr>
          <w:i/>
        </w:rPr>
        <w:t xml:space="preserve"> and</w:t>
      </w:r>
    </w:p>
    <w:p w14:paraId="0EA94F5D" w14:textId="77777777" w:rsidR="00B240C7" w:rsidRPr="000168DE" w:rsidRDefault="003B1BAC" w:rsidP="000168DE">
      <w:pPr>
        <w:pStyle w:val="BodyText"/>
        <w:numPr>
          <w:ilvl w:val="0"/>
          <w:numId w:val="9"/>
        </w:numPr>
        <w:tabs>
          <w:tab w:val="left" w:pos="6160"/>
          <w:tab w:val="left" w:pos="6710"/>
        </w:tabs>
        <w:rPr>
          <w:i/>
        </w:rPr>
      </w:pPr>
      <w:r w:rsidRPr="00BA1256">
        <w:rPr>
          <w:i/>
        </w:rPr>
        <w:t>approve the revised work plan in paragrap</w:t>
      </w:r>
      <w:r w:rsidR="000168DE">
        <w:rPr>
          <w:i/>
        </w:rPr>
        <w:t>h</w:t>
      </w:r>
      <w:r w:rsidRPr="00BA1256">
        <w:rPr>
          <w:i/>
        </w:rPr>
        <w:t xml:space="preserve"> 5 </w:t>
      </w:r>
      <w:r w:rsidR="00D02BB3">
        <w:rPr>
          <w:i/>
        </w:rPr>
        <w:t>above</w:t>
      </w:r>
      <w:r w:rsidR="000168DE">
        <w:rPr>
          <w:i/>
        </w:rPr>
        <w:t>.</w:t>
      </w:r>
    </w:p>
    <w:p w14:paraId="10564960" w14:textId="77777777" w:rsidR="00570C1C" w:rsidRDefault="00570C1C" w:rsidP="00EE0F3E">
      <w:pPr>
        <w:rPr>
          <w:szCs w:val="22"/>
        </w:rPr>
      </w:pPr>
    </w:p>
    <w:p w14:paraId="5949B041" w14:textId="77777777" w:rsidR="000168DE" w:rsidRPr="00084955" w:rsidRDefault="000168DE" w:rsidP="00EE0F3E">
      <w:pPr>
        <w:rPr>
          <w:szCs w:val="22"/>
        </w:rPr>
      </w:pPr>
    </w:p>
    <w:p w14:paraId="7AFB9948" w14:textId="77777777" w:rsidR="00B240C7" w:rsidRDefault="00B240C7" w:rsidP="00EE0F3E">
      <w:pPr>
        <w:pStyle w:val="Endofdocument"/>
        <w:spacing w:before="240" w:line="240" w:lineRule="auto"/>
        <w:ind w:left="5530"/>
      </w:pPr>
      <w:r w:rsidRPr="00084955">
        <w:rPr>
          <w:rFonts w:cs="Arial"/>
          <w:sz w:val="22"/>
          <w:szCs w:val="22"/>
        </w:rPr>
        <w:t>[End of document]</w:t>
      </w:r>
    </w:p>
    <w:sectPr w:rsidR="00B240C7" w:rsidSect="00BA125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2" w:right="1138" w:bottom="1296"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70429" w14:textId="77777777" w:rsidR="00D821D0" w:rsidRDefault="00D821D0">
      <w:r>
        <w:separator/>
      </w:r>
    </w:p>
  </w:endnote>
  <w:endnote w:type="continuationSeparator" w:id="0">
    <w:p w14:paraId="20E6D90B" w14:textId="77777777" w:rsidR="00D821D0" w:rsidRDefault="00D821D0" w:rsidP="003B38C1">
      <w:r>
        <w:separator/>
      </w:r>
    </w:p>
    <w:p w14:paraId="532149BF" w14:textId="77777777" w:rsidR="00D821D0" w:rsidRPr="003B38C1" w:rsidRDefault="00D821D0" w:rsidP="003B38C1">
      <w:pPr>
        <w:spacing w:after="60"/>
        <w:rPr>
          <w:sz w:val="17"/>
        </w:rPr>
      </w:pPr>
      <w:r>
        <w:rPr>
          <w:sz w:val="17"/>
        </w:rPr>
        <w:t>[Endnote continued from previous page]</w:t>
      </w:r>
    </w:p>
  </w:endnote>
  <w:endnote w:type="continuationNotice" w:id="1">
    <w:p w14:paraId="6F96EF14" w14:textId="77777777" w:rsidR="00D821D0" w:rsidRPr="003B38C1" w:rsidRDefault="00D821D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7F2E6" w14:textId="77777777" w:rsidR="00770599" w:rsidRDefault="007705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7AC16" w14:textId="77777777" w:rsidR="00770599" w:rsidRDefault="007705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2A49D" w14:textId="77777777" w:rsidR="00770599" w:rsidRDefault="00770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111F3" w14:textId="77777777" w:rsidR="00D821D0" w:rsidRDefault="00D821D0">
      <w:r>
        <w:separator/>
      </w:r>
    </w:p>
  </w:footnote>
  <w:footnote w:type="continuationSeparator" w:id="0">
    <w:p w14:paraId="0093DD1D" w14:textId="77777777" w:rsidR="00D821D0" w:rsidRDefault="00D821D0" w:rsidP="008B60B2">
      <w:r>
        <w:separator/>
      </w:r>
    </w:p>
    <w:p w14:paraId="439655FC" w14:textId="77777777" w:rsidR="00D821D0" w:rsidRPr="00ED77FB" w:rsidRDefault="00D821D0" w:rsidP="008B60B2">
      <w:pPr>
        <w:spacing w:after="60"/>
        <w:rPr>
          <w:sz w:val="17"/>
          <w:szCs w:val="17"/>
        </w:rPr>
      </w:pPr>
      <w:r w:rsidRPr="00ED77FB">
        <w:rPr>
          <w:sz w:val="17"/>
          <w:szCs w:val="17"/>
        </w:rPr>
        <w:t>[Footnote continued from previous page]</w:t>
      </w:r>
    </w:p>
  </w:footnote>
  <w:footnote w:type="continuationNotice" w:id="1">
    <w:p w14:paraId="7970EF45" w14:textId="77777777" w:rsidR="00D821D0" w:rsidRPr="00ED77FB" w:rsidRDefault="00D821D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BE91A" w14:textId="77777777" w:rsidR="00770599" w:rsidRDefault="007705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C5D28" w14:textId="77777777" w:rsidR="00D07C78" w:rsidRPr="002326AB" w:rsidRDefault="00B240C7" w:rsidP="00477D6B">
    <w:pPr>
      <w:jc w:val="right"/>
      <w:rPr>
        <w:caps/>
      </w:rPr>
    </w:pPr>
    <w:bookmarkStart w:id="6" w:name="Code2"/>
    <w:bookmarkEnd w:id="6"/>
    <w:r>
      <w:rPr>
        <w:caps/>
      </w:rPr>
      <w:t>C</w:t>
    </w:r>
    <w:r w:rsidR="00316AC6">
      <w:rPr>
        <w:caps/>
      </w:rPr>
      <w:t>WS/10/16</w:t>
    </w:r>
  </w:p>
  <w:p w14:paraId="320E7996" w14:textId="1FD12899" w:rsidR="00D07C78" w:rsidRDefault="00D07C78" w:rsidP="00952B65">
    <w:pPr>
      <w:jc w:val="right"/>
    </w:pPr>
    <w:r>
      <w:t xml:space="preserve">page </w:t>
    </w:r>
    <w:r>
      <w:fldChar w:fldCharType="begin"/>
    </w:r>
    <w:r>
      <w:instrText xml:space="preserve"> PAGE  \* MERGEFORMAT </w:instrText>
    </w:r>
    <w:r>
      <w:fldChar w:fldCharType="separate"/>
    </w:r>
    <w:r w:rsidR="00770599">
      <w:rPr>
        <w:noProof/>
      </w:rPr>
      <w:t>2</w:t>
    </w:r>
    <w:r>
      <w:fldChar w:fldCharType="end"/>
    </w:r>
  </w:p>
  <w:p w14:paraId="705B2FDA"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6CD65" w14:textId="77777777" w:rsidR="00770599" w:rsidRDefault="007705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485400"/>
    <w:multiLevelType w:val="hybridMultilevel"/>
    <w:tmpl w:val="430C70FE"/>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3E47CF7"/>
    <w:multiLevelType w:val="hybridMultilevel"/>
    <w:tmpl w:val="900C7E6E"/>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1790657"/>
    <w:multiLevelType w:val="hybridMultilevel"/>
    <w:tmpl w:val="FFD2E234"/>
    <w:lvl w:ilvl="0" w:tplc="F51255DA">
      <w:start w:val="1"/>
      <w:numFmt w:val="lowerLetter"/>
      <w:lvlText w:val="(%1)"/>
      <w:lvlJc w:val="left"/>
      <w:pPr>
        <w:ind w:left="5530" w:firstLine="680"/>
      </w:pPr>
      <w:rPr>
        <w:rFonts w:ascii="Arial" w:eastAsia="SimSun" w:hAnsi="Arial" w:cs="Arial" w:hint="default"/>
      </w:rPr>
    </w:lvl>
    <w:lvl w:ilvl="1" w:tplc="04090019" w:tentative="1">
      <w:start w:val="1"/>
      <w:numFmt w:val="lowerLetter"/>
      <w:lvlText w:val="%2."/>
      <w:lvlJc w:val="left"/>
      <w:pPr>
        <w:ind w:left="10922" w:hanging="360"/>
      </w:pPr>
    </w:lvl>
    <w:lvl w:ilvl="2" w:tplc="0409001B" w:tentative="1">
      <w:start w:val="1"/>
      <w:numFmt w:val="lowerRoman"/>
      <w:lvlText w:val="%3."/>
      <w:lvlJc w:val="right"/>
      <w:pPr>
        <w:ind w:left="11642" w:hanging="180"/>
      </w:pPr>
    </w:lvl>
    <w:lvl w:ilvl="3" w:tplc="0409000F" w:tentative="1">
      <w:start w:val="1"/>
      <w:numFmt w:val="decimal"/>
      <w:lvlText w:val="%4."/>
      <w:lvlJc w:val="left"/>
      <w:pPr>
        <w:ind w:left="12362" w:hanging="360"/>
      </w:pPr>
    </w:lvl>
    <w:lvl w:ilvl="4" w:tplc="04090019" w:tentative="1">
      <w:start w:val="1"/>
      <w:numFmt w:val="lowerLetter"/>
      <w:lvlText w:val="%5."/>
      <w:lvlJc w:val="left"/>
      <w:pPr>
        <w:ind w:left="13082" w:hanging="360"/>
      </w:pPr>
    </w:lvl>
    <w:lvl w:ilvl="5" w:tplc="0409001B" w:tentative="1">
      <w:start w:val="1"/>
      <w:numFmt w:val="lowerRoman"/>
      <w:lvlText w:val="%6."/>
      <w:lvlJc w:val="right"/>
      <w:pPr>
        <w:ind w:left="13802" w:hanging="180"/>
      </w:pPr>
    </w:lvl>
    <w:lvl w:ilvl="6" w:tplc="0409000F" w:tentative="1">
      <w:start w:val="1"/>
      <w:numFmt w:val="decimal"/>
      <w:lvlText w:val="%7."/>
      <w:lvlJc w:val="left"/>
      <w:pPr>
        <w:ind w:left="14522" w:hanging="360"/>
      </w:pPr>
    </w:lvl>
    <w:lvl w:ilvl="7" w:tplc="04090019" w:tentative="1">
      <w:start w:val="1"/>
      <w:numFmt w:val="lowerLetter"/>
      <w:lvlText w:val="%8."/>
      <w:lvlJc w:val="left"/>
      <w:pPr>
        <w:ind w:left="15242" w:hanging="360"/>
      </w:pPr>
    </w:lvl>
    <w:lvl w:ilvl="8" w:tplc="0409001B" w:tentative="1">
      <w:start w:val="1"/>
      <w:numFmt w:val="lowerRoman"/>
      <w:lvlText w:val="%9."/>
      <w:lvlJc w:val="right"/>
      <w:pPr>
        <w:ind w:left="15962"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0C7"/>
    <w:rsid w:val="0001008D"/>
    <w:rsid w:val="000168DE"/>
    <w:rsid w:val="00017696"/>
    <w:rsid w:val="00043CAA"/>
    <w:rsid w:val="000446E1"/>
    <w:rsid w:val="00056816"/>
    <w:rsid w:val="00065F20"/>
    <w:rsid w:val="00075432"/>
    <w:rsid w:val="000968ED"/>
    <w:rsid w:val="000A3D97"/>
    <w:rsid w:val="000A7B44"/>
    <w:rsid w:val="000E74AC"/>
    <w:rsid w:val="000F5E56"/>
    <w:rsid w:val="001124EE"/>
    <w:rsid w:val="00126310"/>
    <w:rsid w:val="00135D7C"/>
    <w:rsid w:val="001362EE"/>
    <w:rsid w:val="001542E3"/>
    <w:rsid w:val="001647D5"/>
    <w:rsid w:val="00173C22"/>
    <w:rsid w:val="001832A6"/>
    <w:rsid w:val="00184F23"/>
    <w:rsid w:val="001D4107"/>
    <w:rsid w:val="001F2623"/>
    <w:rsid w:val="00203D24"/>
    <w:rsid w:val="0021217E"/>
    <w:rsid w:val="00222566"/>
    <w:rsid w:val="002326AB"/>
    <w:rsid w:val="00236266"/>
    <w:rsid w:val="00243430"/>
    <w:rsid w:val="00247B35"/>
    <w:rsid w:val="002634C4"/>
    <w:rsid w:val="002928D3"/>
    <w:rsid w:val="002C2B1E"/>
    <w:rsid w:val="002F1FE6"/>
    <w:rsid w:val="002F3890"/>
    <w:rsid w:val="002F4118"/>
    <w:rsid w:val="002F4E68"/>
    <w:rsid w:val="00312F7F"/>
    <w:rsid w:val="00316AC6"/>
    <w:rsid w:val="00341CE0"/>
    <w:rsid w:val="00352C7A"/>
    <w:rsid w:val="00361450"/>
    <w:rsid w:val="00367025"/>
    <w:rsid w:val="003673CF"/>
    <w:rsid w:val="0037612C"/>
    <w:rsid w:val="003845C1"/>
    <w:rsid w:val="003A2D7C"/>
    <w:rsid w:val="003A6F89"/>
    <w:rsid w:val="003B1BAC"/>
    <w:rsid w:val="003B38C1"/>
    <w:rsid w:val="003C34E9"/>
    <w:rsid w:val="003E35B0"/>
    <w:rsid w:val="00411D57"/>
    <w:rsid w:val="00423E3E"/>
    <w:rsid w:val="00427AF4"/>
    <w:rsid w:val="004647DA"/>
    <w:rsid w:val="00470061"/>
    <w:rsid w:val="00474062"/>
    <w:rsid w:val="00474398"/>
    <w:rsid w:val="00475A47"/>
    <w:rsid w:val="00477D6B"/>
    <w:rsid w:val="004B06FC"/>
    <w:rsid w:val="004C0D1B"/>
    <w:rsid w:val="005019FF"/>
    <w:rsid w:val="0053057A"/>
    <w:rsid w:val="00556076"/>
    <w:rsid w:val="00560A29"/>
    <w:rsid w:val="00570C1C"/>
    <w:rsid w:val="00577C36"/>
    <w:rsid w:val="005830A9"/>
    <w:rsid w:val="005C6649"/>
    <w:rsid w:val="00605827"/>
    <w:rsid w:val="00646050"/>
    <w:rsid w:val="00654353"/>
    <w:rsid w:val="006713CA"/>
    <w:rsid w:val="00676C5C"/>
    <w:rsid w:val="00676FB4"/>
    <w:rsid w:val="006B4FE1"/>
    <w:rsid w:val="006E4F82"/>
    <w:rsid w:val="00720EFD"/>
    <w:rsid w:val="0075079F"/>
    <w:rsid w:val="00770599"/>
    <w:rsid w:val="007854AF"/>
    <w:rsid w:val="00793A7C"/>
    <w:rsid w:val="007A1A18"/>
    <w:rsid w:val="007A398A"/>
    <w:rsid w:val="007D1613"/>
    <w:rsid w:val="007E4C0E"/>
    <w:rsid w:val="007F073F"/>
    <w:rsid w:val="00801B7C"/>
    <w:rsid w:val="00807D43"/>
    <w:rsid w:val="00810E17"/>
    <w:rsid w:val="0081229E"/>
    <w:rsid w:val="0082055C"/>
    <w:rsid w:val="0083276C"/>
    <w:rsid w:val="00846CF6"/>
    <w:rsid w:val="008A134B"/>
    <w:rsid w:val="008A2957"/>
    <w:rsid w:val="008B2CC1"/>
    <w:rsid w:val="008B60B2"/>
    <w:rsid w:val="0090731E"/>
    <w:rsid w:val="00916EE2"/>
    <w:rsid w:val="00920C40"/>
    <w:rsid w:val="00952B65"/>
    <w:rsid w:val="00954009"/>
    <w:rsid w:val="00954CB9"/>
    <w:rsid w:val="00955266"/>
    <w:rsid w:val="00957056"/>
    <w:rsid w:val="00960A12"/>
    <w:rsid w:val="00966A22"/>
    <w:rsid w:val="0096722F"/>
    <w:rsid w:val="00971447"/>
    <w:rsid w:val="00980843"/>
    <w:rsid w:val="009B0BE4"/>
    <w:rsid w:val="009B63AA"/>
    <w:rsid w:val="009E2791"/>
    <w:rsid w:val="009E3F6F"/>
    <w:rsid w:val="009F499F"/>
    <w:rsid w:val="00A37342"/>
    <w:rsid w:val="00A42DAF"/>
    <w:rsid w:val="00A44E43"/>
    <w:rsid w:val="00A45BD8"/>
    <w:rsid w:val="00A8142E"/>
    <w:rsid w:val="00A869B7"/>
    <w:rsid w:val="00A90F0A"/>
    <w:rsid w:val="00AC205C"/>
    <w:rsid w:val="00AF0A6B"/>
    <w:rsid w:val="00B05A69"/>
    <w:rsid w:val="00B240C7"/>
    <w:rsid w:val="00B355B6"/>
    <w:rsid w:val="00B42BE3"/>
    <w:rsid w:val="00B442D7"/>
    <w:rsid w:val="00B44CDD"/>
    <w:rsid w:val="00B75281"/>
    <w:rsid w:val="00B87A92"/>
    <w:rsid w:val="00B92F1F"/>
    <w:rsid w:val="00B9734B"/>
    <w:rsid w:val="00B97472"/>
    <w:rsid w:val="00BA1256"/>
    <w:rsid w:val="00BA30E2"/>
    <w:rsid w:val="00BC7238"/>
    <w:rsid w:val="00BE7036"/>
    <w:rsid w:val="00BF3D54"/>
    <w:rsid w:val="00C11BFE"/>
    <w:rsid w:val="00C33217"/>
    <w:rsid w:val="00C5068F"/>
    <w:rsid w:val="00C63E6B"/>
    <w:rsid w:val="00C86D74"/>
    <w:rsid w:val="00CD04F1"/>
    <w:rsid w:val="00CF681A"/>
    <w:rsid w:val="00D02BB3"/>
    <w:rsid w:val="00D07C78"/>
    <w:rsid w:val="00D45252"/>
    <w:rsid w:val="00D55EC5"/>
    <w:rsid w:val="00D64002"/>
    <w:rsid w:val="00D71B4D"/>
    <w:rsid w:val="00D821D0"/>
    <w:rsid w:val="00D9251F"/>
    <w:rsid w:val="00D93D55"/>
    <w:rsid w:val="00DA0962"/>
    <w:rsid w:val="00DA4116"/>
    <w:rsid w:val="00DD2276"/>
    <w:rsid w:val="00DD7B7F"/>
    <w:rsid w:val="00E15015"/>
    <w:rsid w:val="00E335FE"/>
    <w:rsid w:val="00E45755"/>
    <w:rsid w:val="00E55A68"/>
    <w:rsid w:val="00E87C31"/>
    <w:rsid w:val="00EA0BB3"/>
    <w:rsid w:val="00EA10A2"/>
    <w:rsid w:val="00EA204D"/>
    <w:rsid w:val="00EA21F3"/>
    <w:rsid w:val="00EA7D6E"/>
    <w:rsid w:val="00EB2F76"/>
    <w:rsid w:val="00EC4E49"/>
    <w:rsid w:val="00ED77FB"/>
    <w:rsid w:val="00EE09E1"/>
    <w:rsid w:val="00EE0F3E"/>
    <w:rsid w:val="00EE45FA"/>
    <w:rsid w:val="00F01A9B"/>
    <w:rsid w:val="00F043DE"/>
    <w:rsid w:val="00F56C93"/>
    <w:rsid w:val="00F66152"/>
    <w:rsid w:val="00F80C43"/>
    <w:rsid w:val="00F9165B"/>
    <w:rsid w:val="00FC482F"/>
    <w:rsid w:val="00FD3D6A"/>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CF5557"/>
  <w15:docId w15:val="{5110927A-CBFD-4410-BD52-01E081AF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BE7036"/>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BE7036"/>
    <w:rPr>
      <w:rFonts w:ascii="Arial" w:eastAsia="SimSun" w:hAnsi="Arial" w:cs="Arial"/>
      <w:bCs/>
      <w:iCs/>
      <w:caps/>
      <w:sz w:val="22"/>
      <w:szCs w:val="28"/>
      <w:lang w:val="en-US" w:eastAsia="zh-CN"/>
    </w:rPr>
  </w:style>
  <w:style w:type="character" w:styleId="FootnoteReference">
    <w:name w:val="footnote reference"/>
    <w:rsid w:val="00B240C7"/>
    <w:rPr>
      <w:vertAlign w:val="superscript"/>
    </w:rPr>
  </w:style>
  <w:style w:type="paragraph" w:customStyle="1" w:styleId="Endofdocument">
    <w:name w:val="End of document"/>
    <w:basedOn w:val="Normal"/>
    <w:rsid w:val="00B240C7"/>
    <w:pPr>
      <w:spacing w:line="260" w:lineRule="atLeast"/>
      <w:ind w:left="5534"/>
    </w:pPr>
    <w:rPr>
      <w:rFonts w:eastAsia="Times New Roman" w:cs="Times New Roman"/>
      <w:sz w:val="20"/>
      <w:lang w:eastAsia="en-US"/>
    </w:rPr>
  </w:style>
  <w:style w:type="character" w:customStyle="1" w:styleId="BodyTextChar">
    <w:name w:val="Body Text Char"/>
    <w:basedOn w:val="DefaultParagraphFont"/>
    <w:link w:val="BodyText"/>
    <w:rsid w:val="00B240C7"/>
    <w:rPr>
      <w:rFonts w:ascii="Arial" w:eastAsia="SimSun" w:hAnsi="Arial" w:cs="Arial"/>
      <w:sz w:val="22"/>
      <w:lang w:val="en-US" w:eastAsia="zh-CN"/>
    </w:rPr>
  </w:style>
  <w:style w:type="character" w:customStyle="1" w:styleId="ONUMEChar">
    <w:name w:val="ONUM E Char"/>
    <w:basedOn w:val="DefaultParagraphFont"/>
    <w:link w:val="ONUME"/>
    <w:rsid w:val="00971447"/>
    <w:rPr>
      <w:rFonts w:ascii="Arial" w:eastAsia="SimSun" w:hAnsi="Arial" w:cs="Arial"/>
      <w:sz w:val="22"/>
      <w:lang w:val="en-US" w:eastAsia="zh-CN"/>
    </w:rPr>
  </w:style>
  <w:style w:type="paragraph" w:styleId="ListParagraph">
    <w:name w:val="List Paragraph"/>
    <w:basedOn w:val="Normal"/>
    <w:uiPriority w:val="34"/>
    <w:qFormat/>
    <w:rsid w:val="00971447"/>
    <w:pPr>
      <w:ind w:left="720"/>
      <w:contextualSpacing/>
    </w:pPr>
    <w:rPr>
      <w:rFonts w:eastAsia="Times New Roman"/>
      <w:lang w:eastAsia="en-US"/>
    </w:rPr>
  </w:style>
  <w:style w:type="table" w:styleId="TableGrid">
    <w:name w:val="Table Grid"/>
    <w:basedOn w:val="TableNormal"/>
    <w:rsid w:val="0097144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71447"/>
    <w:rPr>
      <w:sz w:val="16"/>
      <w:szCs w:val="16"/>
    </w:rPr>
  </w:style>
  <w:style w:type="character" w:customStyle="1" w:styleId="CommentTextChar">
    <w:name w:val="Comment Text Char"/>
    <w:basedOn w:val="DefaultParagraphFont"/>
    <w:link w:val="CommentText"/>
    <w:semiHidden/>
    <w:rsid w:val="00971447"/>
    <w:rPr>
      <w:rFonts w:ascii="Arial" w:eastAsia="SimSun" w:hAnsi="Arial" w:cs="Arial"/>
      <w:sz w:val="18"/>
      <w:lang w:val="en-US" w:eastAsia="zh-CN"/>
    </w:rPr>
  </w:style>
  <w:style w:type="character" w:styleId="Hyperlink">
    <w:name w:val="Hyperlink"/>
    <w:basedOn w:val="DefaultParagraphFont"/>
    <w:unhideWhenUsed/>
    <w:rsid w:val="00971447"/>
    <w:rPr>
      <w:color w:val="0000FF" w:themeColor="hyperlink"/>
      <w:u w:val="single"/>
    </w:rPr>
  </w:style>
  <w:style w:type="paragraph" w:styleId="BalloonText">
    <w:name w:val="Balloon Text"/>
    <w:basedOn w:val="Normal"/>
    <w:link w:val="BalloonTextChar"/>
    <w:semiHidden/>
    <w:unhideWhenUsed/>
    <w:rsid w:val="00971447"/>
    <w:rPr>
      <w:rFonts w:ascii="Segoe UI" w:hAnsi="Segoe UI" w:cs="Segoe UI"/>
      <w:sz w:val="18"/>
      <w:szCs w:val="18"/>
    </w:rPr>
  </w:style>
  <w:style w:type="character" w:customStyle="1" w:styleId="BalloonTextChar">
    <w:name w:val="Balloon Text Char"/>
    <w:basedOn w:val="DefaultParagraphFont"/>
    <w:link w:val="BalloonText"/>
    <w:semiHidden/>
    <w:rsid w:val="00971447"/>
    <w:rPr>
      <w:rFonts w:ascii="Segoe UI" w:eastAsia="SimSun" w:hAnsi="Segoe UI" w:cs="Segoe UI"/>
      <w:sz w:val="18"/>
      <w:szCs w:val="18"/>
      <w:lang w:val="en-US" w:eastAsia="zh-CN"/>
    </w:rPr>
  </w:style>
  <w:style w:type="paragraph" w:styleId="CommentSubject">
    <w:name w:val="annotation subject"/>
    <w:basedOn w:val="CommentText"/>
    <w:next w:val="CommentText"/>
    <w:link w:val="CommentSubjectChar"/>
    <w:semiHidden/>
    <w:unhideWhenUsed/>
    <w:rsid w:val="00FD3D6A"/>
    <w:rPr>
      <w:b/>
      <w:bCs/>
      <w:sz w:val="20"/>
    </w:rPr>
  </w:style>
  <w:style w:type="character" w:customStyle="1" w:styleId="CommentSubjectChar">
    <w:name w:val="Comment Subject Char"/>
    <w:basedOn w:val="CommentTextChar"/>
    <w:link w:val="CommentSubject"/>
    <w:semiHidden/>
    <w:rsid w:val="00FD3D6A"/>
    <w:rPr>
      <w:rFonts w:ascii="Arial" w:eastAsia="SimSun" w:hAnsi="Arial" w:cs="Arial"/>
      <w:b/>
      <w:bCs/>
      <w:sz w:val="18"/>
      <w:lang w:val="en-US" w:eastAsia="zh-CN"/>
    </w:rPr>
  </w:style>
  <w:style w:type="character" w:styleId="FollowedHyperlink">
    <w:name w:val="FollowedHyperlink"/>
    <w:basedOn w:val="DefaultParagraphFont"/>
    <w:semiHidden/>
    <w:unhideWhenUsed/>
    <w:rsid w:val="00BF3D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27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A4520-6BED-4F50-8C9E-C0D8D5A75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Template>
  <TotalTime>0</TotalTime>
  <Pages>2</Pages>
  <Words>561</Words>
  <Characters>2852</Characters>
  <Application>Microsoft Office Word</Application>
  <DocSecurity>0</DocSecurity>
  <Lines>78</Lines>
  <Paragraphs>43</Paragraphs>
  <ScaleCrop>false</ScaleCrop>
  <HeadingPairs>
    <vt:vector size="2" baseType="variant">
      <vt:variant>
        <vt:lpstr>Title</vt:lpstr>
      </vt:variant>
      <vt:variant>
        <vt:i4>1</vt:i4>
      </vt:variant>
    </vt:vector>
  </HeadingPairs>
  <TitlesOfParts>
    <vt:vector size="1" baseType="lpstr">
      <vt:lpstr>CWS/10/16</vt:lpstr>
    </vt:vector>
  </TitlesOfParts>
  <Company>WIPO</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CWS/10/16</dc:title>
  <dc:subject>Report by the Part 7 Task Force</dc:subject>
  <dc:creator>WIPO</dc:creator>
  <cp:keywords>FOR OFFICIAL USE ONLY</cp:keywords>
  <cp:lastModifiedBy>CHAVAS Louison</cp:lastModifiedBy>
  <cp:revision>7</cp:revision>
  <cp:lastPrinted>2011-02-15T11:56:00Z</cp:lastPrinted>
  <dcterms:created xsi:type="dcterms:W3CDTF">2022-09-06T15:53:00Z</dcterms:created>
  <dcterms:modified xsi:type="dcterms:W3CDTF">2022-09-13T14:21:00Z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de5a6129-51c6-4ec0-a3ff-e193b00bc12b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