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3F6D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7AE22636" wp14:editId="50E0E41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043C" w14:textId="52C6E3DF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B2D3B">
        <w:rPr>
          <w:rFonts w:ascii="Arial Black" w:hAnsi="Arial Black"/>
          <w:caps/>
          <w:sz w:val="15"/>
          <w:szCs w:val="15"/>
        </w:rPr>
        <w:t>15</w:t>
      </w:r>
    </w:p>
    <w:p w14:paraId="56156CD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E585B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EFE54A5" w14:textId="490F5E3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4167C6" w:rsidRPr="00D955F4">
        <w:rPr>
          <w:rFonts w:ascii="Arial Black" w:hAnsi="Arial Black"/>
          <w:caps/>
          <w:sz w:val="15"/>
          <w:szCs w:val="15"/>
        </w:rPr>
        <w:t>september</w:t>
      </w:r>
      <w:r w:rsidR="00D53CBA" w:rsidRPr="00D955F4">
        <w:rPr>
          <w:rFonts w:ascii="Arial Black" w:hAnsi="Arial Black"/>
          <w:caps/>
          <w:sz w:val="15"/>
          <w:szCs w:val="15"/>
        </w:rPr>
        <w:t xml:space="preserve"> </w:t>
      </w:r>
      <w:r w:rsidR="00AB5848">
        <w:rPr>
          <w:rFonts w:ascii="Arial Black" w:hAnsi="Arial Black"/>
          <w:caps/>
          <w:sz w:val="15"/>
          <w:szCs w:val="15"/>
        </w:rPr>
        <w:t>19</w:t>
      </w:r>
      <w:r w:rsidR="00D05A1A">
        <w:rPr>
          <w:rFonts w:ascii="Arial Black" w:hAnsi="Arial Black"/>
          <w:caps/>
          <w:sz w:val="15"/>
          <w:szCs w:val="15"/>
        </w:rPr>
        <w:t>, 2022</w:t>
      </w:r>
    </w:p>
    <w:p w14:paraId="4E02092B" w14:textId="77777777" w:rsidR="008B2CC1" w:rsidRPr="002E585B" w:rsidRDefault="00E45755" w:rsidP="00720EFD">
      <w:pPr>
        <w:pStyle w:val="Heading1"/>
        <w:spacing w:before="0" w:after="480"/>
        <w:rPr>
          <w:sz w:val="36"/>
          <w:szCs w:val="28"/>
        </w:rPr>
      </w:pPr>
      <w:bookmarkStart w:id="3" w:name="_GoBack"/>
      <w:bookmarkEnd w:id="2"/>
      <w:bookmarkEnd w:id="3"/>
      <w:r w:rsidRPr="002E585B">
        <w:rPr>
          <w:caps w:val="0"/>
          <w:sz w:val="28"/>
        </w:rPr>
        <w:t xml:space="preserve">Committee on WIPO Standards </w:t>
      </w:r>
      <w:r w:rsidRPr="002E585B">
        <w:rPr>
          <w:sz w:val="28"/>
        </w:rPr>
        <w:t>(CWS)</w:t>
      </w:r>
    </w:p>
    <w:p w14:paraId="3F269E8C" w14:textId="22EFB05D" w:rsidR="00E45755" w:rsidRPr="00846CF6" w:rsidRDefault="00D05A1A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Te</w:t>
      </w:r>
      <w:r w:rsidR="00E45755" w:rsidRPr="00846CF6">
        <w:rPr>
          <w:b/>
          <w:sz w:val="24"/>
          <w:szCs w:val="24"/>
        </w:rPr>
        <w:t>nth Session</w:t>
      </w:r>
    </w:p>
    <w:p w14:paraId="479D383A" w14:textId="5E603ACA" w:rsidR="008B2CC1" w:rsidRPr="003845C1" w:rsidRDefault="00846CF6" w:rsidP="004D53E9">
      <w:pPr>
        <w:tabs>
          <w:tab w:val="left" w:pos="5203"/>
        </w:tabs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 xml:space="preserve">Geneva, November </w:t>
      </w:r>
      <w:r w:rsidR="00D05A1A">
        <w:rPr>
          <w:b/>
          <w:sz w:val="24"/>
          <w:szCs w:val="24"/>
        </w:rPr>
        <w:t>2</w:t>
      </w:r>
      <w:r w:rsidRPr="00846CF6">
        <w:rPr>
          <w:b/>
          <w:sz w:val="24"/>
          <w:szCs w:val="24"/>
        </w:rPr>
        <w:t xml:space="preserve">1 to </w:t>
      </w:r>
      <w:r w:rsidR="00D05A1A">
        <w:rPr>
          <w:b/>
          <w:sz w:val="24"/>
          <w:szCs w:val="24"/>
        </w:rPr>
        <w:t>25, 2022</w:t>
      </w:r>
      <w:r w:rsidR="004D53E9">
        <w:rPr>
          <w:b/>
          <w:sz w:val="24"/>
          <w:szCs w:val="24"/>
        </w:rPr>
        <w:tab/>
      </w:r>
    </w:p>
    <w:p w14:paraId="7582DAF7" w14:textId="62342318" w:rsidR="008B2CC1" w:rsidRPr="003845C1" w:rsidRDefault="0043784B" w:rsidP="00DD7B7F">
      <w:pPr>
        <w:spacing w:after="360"/>
        <w:outlineLvl w:val="0"/>
        <w:rPr>
          <w:caps/>
          <w:sz w:val="24"/>
        </w:rPr>
      </w:pPr>
      <w:bookmarkStart w:id="4" w:name="TitleOfDoc"/>
      <w:r w:rsidRPr="0043784B">
        <w:rPr>
          <w:caps/>
          <w:sz w:val="24"/>
        </w:rPr>
        <w:t>Analysis of</w:t>
      </w:r>
      <w:r w:rsidR="00D05A1A">
        <w:rPr>
          <w:caps/>
          <w:sz w:val="24"/>
        </w:rPr>
        <w:t xml:space="preserve"> survey results on </w:t>
      </w:r>
      <w:r w:rsidR="00242FC5">
        <w:rPr>
          <w:caps/>
          <w:sz w:val="24"/>
        </w:rPr>
        <w:t>OFFICE PRACTICEs for DIGITAL TRANSFORMATION</w:t>
      </w:r>
    </w:p>
    <w:p w14:paraId="38172407" w14:textId="29FCA974" w:rsidR="002928D3" w:rsidRPr="00F9165B" w:rsidRDefault="002E585B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Document prepared by the International Bureau</w:t>
      </w:r>
    </w:p>
    <w:p w14:paraId="6ACDE267" w14:textId="644401A5" w:rsidR="002E585B" w:rsidRDefault="002E585B" w:rsidP="002E585B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77737CA8" w14:textId="0388578D" w:rsidR="0054680A" w:rsidRPr="0054680A" w:rsidRDefault="002E585B" w:rsidP="003726AC">
      <w:pPr>
        <w:pStyle w:val="ONUMFS"/>
        <w:numPr>
          <w:ilvl w:val="0"/>
          <w:numId w:val="0"/>
        </w:numPr>
        <w:spacing w:line="240" w:lineRule="auto"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54680A" w:rsidRPr="0054680A">
        <w:t xml:space="preserve">At </w:t>
      </w:r>
      <w:r w:rsidR="0054680A">
        <w:t xml:space="preserve">its </w:t>
      </w:r>
      <w:r w:rsidR="006E60E1">
        <w:t xml:space="preserve">ninth </w:t>
      </w:r>
      <w:r w:rsidR="0054680A" w:rsidRPr="0054680A">
        <w:t xml:space="preserve">session </w:t>
      </w:r>
      <w:r w:rsidR="0054680A">
        <w:t>in 20</w:t>
      </w:r>
      <w:r w:rsidR="006E60E1">
        <w:t>2</w:t>
      </w:r>
      <w:r w:rsidR="0054680A">
        <w:t xml:space="preserve">1, </w:t>
      </w:r>
      <w:r w:rsidR="0054680A" w:rsidRPr="0054680A">
        <w:t xml:space="preserve">the Committee on WIPO Standards (CWS) </w:t>
      </w:r>
      <w:r w:rsidR="006E60E1">
        <w:t xml:space="preserve">noted the progress made by the Digital Transformation Task Force on Task No. 62.  The CWS approved a survey proposed by the Task Force to collect information from </w:t>
      </w:r>
      <w:r w:rsidR="0043784B">
        <w:t>Intellectual Property Offices (</w:t>
      </w:r>
      <w:r w:rsidR="006E60E1">
        <w:t>IPOs</w:t>
      </w:r>
      <w:r w:rsidR="0043784B">
        <w:t>)</w:t>
      </w:r>
      <w:r w:rsidR="006E60E1">
        <w:t xml:space="preserve"> on their digital intake, processing, and publication practices.  </w:t>
      </w:r>
      <w:r w:rsidR="0054680A" w:rsidRPr="0054680A">
        <w:t>(</w:t>
      </w:r>
      <w:r w:rsidR="006E60E1">
        <w:t>S</w:t>
      </w:r>
      <w:r w:rsidR="0054680A" w:rsidRPr="0054680A">
        <w:t>ee paragra</w:t>
      </w:r>
      <w:r w:rsidR="006E60E1">
        <w:t>phs 89 to 95 of document CWS/9</w:t>
      </w:r>
      <w:r w:rsidR="0054680A" w:rsidRPr="0054680A">
        <w:t>/2</w:t>
      </w:r>
      <w:r w:rsidR="006E60E1">
        <w:t>5</w:t>
      </w:r>
      <w:r w:rsidR="0054680A" w:rsidRPr="0054680A">
        <w:t>)</w:t>
      </w:r>
      <w:r w:rsidR="0060534E">
        <w:t>.</w:t>
      </w:r>
    </w:p>
    <w:p w14:paraId="248220F5" w14:textId="3F60C843" w:rsidR="0054680A" w:rsidRDefault="0054680A" w:rsidP="0054680A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 xml:space="preserve">SURVEY </w:t>
      </w:r>
      <w:r w:rsidR="006E60E1">
        <w:rPr>
          <w:rFonts w:eastAsia="Malgun Gothic"/>
          <w:caps w:val="0"/>
          <w:szCs w:val="22"/>
        </w:rPr>
        <w:t>RESULTS</w:t>
      </w:r>
    </w:p>
    <w:p w14:paraId="56F057F0" w14:textId="23AC06BB" w:rsidR="00161BC6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6E60E1">
        <w:rPr>
          <w:lang w:eastAsia="en-US"/>
        </w:rPr>
        <w:t xml:space="preserve">In March 2022, the Secretariat issued circular </w:t>
      </w:r>
      <w:r w:rsidR="0043784B">
        <w:rPr>
          <w:lang w:eastAsia="en-US"/>
        </w:rPr>
        <w:t xml:space="preserve">C.CWS </w:t>
      </w:r>
      <w:r w:rsidR="006E60E1">
        <w:rPr>
          <w:lang w:eastAsia="en-US"/>
        </w:rPr>
        <w:t xml:space="preserve">155 inviting IPOs to participate in the survey on digital transformation.  </w:t>
      </w:r>
      <w:r w:rsidR="00504D50">
        <w:rPr>
          <w:lang w:eastAsia="en-US"/>
        </w:rPr>
        <w:t>R</w:t>
      </w:r>
      <w:r w:rsidR="006E60E1">
        <w:rPr>
          <w:lang w:eastAsia="en-US"/>
        </w:rPr>
        <w:t xml:space="preserve">esponses were received from </w:t>
      </w:r>
      <w:r w:rsidR="00504D50">
        <w:rPr>
          <w:lang w:eastAsia="en-US"/>
        </w:rPr>
        <w:t xml:space="preserve">41 IPOs covering </w:t>
      </w:r>
      <w:r w:rsidR="006E60E1">
        <w:rPr>
          <w:lang w:eastAsia="en-US"/>
        </w:rPr>
        <w:t>40</w:t>
      </w:r>
      <w:r w:rsidR="00161BC6">
        <w:rPr>
          <w:lang w:eastAsia="en-US"/>
        </w:rPr>
        <w:t xml:space="preserve"> member states and </w:t>
      </w:r>
      <w:r w:rsidR="0043784B">
        <w:rPr>
          <w:lang w:eastAsia="en-US"/>
        </w:rPr>
        <w:t>region</w:t>
      </w:r>
      <w:r w:rsidR="008069A1">
        <w:rPr>
          <w:lang w:eastAsia="en-US"/>
        </w:rPr>
        <w:t>s</w:t>
      </w:r>
      <w:r w:rsidR="00504D50">
        <w:rPr>
          <w:lang w:eastAsia="en-US"/>
        </w:rPr>
        <w:t xml:space="preserve">.  The difference </w:t>
      </w:r>
      <w:r w:rsidR="008069A1">
        <w:rPr>
          <w:lang w:eastAsia="en-US"/>
        </w:rPr>
        <w:t xml:space="preserve">between the </w:t>
      </w:r>
      <w:r w:rsidR="00504D50">
        <w:rPr>
          <w:lang w:eastAsia="en-US"/>
        </w:rPr>
        <w:t xml:space="preserve">numbers is due to a new practice.  Starting with this survey, the Secretariat began recording </w:t>
      </w:r>
      <w:r w:rsidR="009F6441">
        <w:rPr>
          <w:lang w:eastAsia="en-US"/>
        </w:rPr>
        <w:t xml:space="preserve">and </w:t>
      </w:r>
      <w:r w:rsidR="008069A1">
        <w:rPr>
          <w:lang w:eastAsia="en-US"/>
        </w:rPr>
        <w:t>publishing</w:t>
      </w:r>
      <w:r w:rsidR="009F6441">
        <w:rPr>
          <w:lang w:eastAsia="en-US"/>
        </w:rPr>
        <w:t xml:space="preserve"> </w:t>
      </w:r>
      <w:r w:rsidR="00504D50">
        <w:rPr>
          <w:lang w:eastAsia="en-US"/>
        </w:rPr>
        <w:t xml:space="preserve">submissions </w:t>
      </w:r>
      <w:r w:rsidR="009F6441">
        <w:rPr>
          <w:lang w:eastAsia="en-US"/>
        </w:rPr>
        <w:t>by each IPO separately, instead of the old practice of combining submissions from multiple IPOs in one member state</w:t>
      </w:r>
      <w:r w:rsidR="00504D50">
        <w:rPr>
          <w:lang w:eastAsia="en-US"/>
        </w:rPr>
        <w:t xml:space="preserve">.  </w:t>
      </w:r>
      <w:r w:rsidR="00C90175">
        <w:rPr>
          <w:lang w:eastAsia="en-US"/>
        </w:rPr>
        <w:t>R</w:t>
      </w:r>
      <w:r w:rsidR="009F6441">
        <w:rPr>
          <w:lang w:eastAsia="en-US"/>
        </w:rPr>
        <w:t xml:space="preserve">esponses </w:t>
      </w:r>
      <w:r w:rsidR="00C90175">
        <w:rPr>
          <w:lang w:eastAsia="en-US"/>
        </w:rPr>
        <w:t xml:space="preserve">to this survey </w:t>
      </w:r>
      <w:r w:rsidR="009F6441">
        <w:rPr>
          <w:lang w:eastAsia="en-US"/>
        </w:rPr>
        <w:t xml:space="preserve">were received from two different </w:t>
      </w:r>
      <w:r w:rsidR="00016746">
        <w:rPr>
          <w:lang w:eastAsia="en-US"/>
        </w:rPr>
        <w:t>O</w:t>
      </w:r>
      <w:r w:rsidR="009F6441">
        <w:rPr>
          <w:lang w:eastAsia="en-US"/>
        </w:rPr>
        <w:t>ffices</w:t>
      </w:r>
      <w:r w:rsidR="00016746">
        <w:rPr>
          <w:rStyle w:val="FootnoteReference"/>
          <w:lang w:eastAsia="en-US"/>
        </w:rPr>
        <w:footnoteReference w:id="2"/>
      </w:r>
      <w:r w:rsidR="009F6441">
        <w:rPr>
          <w:lang w:eastAsia="en-US"/>
        </w:rPr>
        <w:t xml:space="preserve"> in Algeria, </w:t>
      </w:r>
      <w:r w:rsidR="00C90175">
        <w:rPr>
          <w:lang w:eastAsia="en-US"/>
        </w:rPr>
        <w:t xml:space="preserve">so </w:t>
      </w:r>
      <w:r w:rsidR="009F6441">
        <w:rPr>
          <w:lang w:eastAsia="en-US"/>
        </w:rPr>
        <w:t>the number of responding IPOs is higher than the number of member states plus regional IPOs.</w:t>
      </w:r>
      <w:r w:rsidR="00161BC6">
        <w:rPr>
          <w:lang w:eastAsia="en-US"/>
        </w:rPr>
        <w:t xml:space="preserve">  The survey results are scheduled for publication in Part 7 of t</w:t>
      </w:r>
      <w:r w:rsidR="00EB6285">
        <w:rPr>
          <w:lang w:eastAsia="en-US"/>
        </w:rPr>
        <w:t>he WIPO Handbook in fall 2022</w:t>
      </w:r>
      <w:r w:rsidR="00161BC6">
        <w:rPr>
          <w:lang w:eastAsia="en-US"/>
        </w:rPr>
        <w:t xml:space="preserve">, as soon as all responses </w:t>
      </w:r>
      <w:r w:rsidR="00EB240D">
        <w:rPr>
          <w:lang w:eastAsia="en-US"/>
        </w:rPr>
        <w:t>have been</w:t>
      </w:r>
      <w:r w:rsidR="00161BC6">
        <w:rPr>
          <w:lang w:eastAsia="en-US"/>
        </w:rPr>
        <w:t xml:space="preserve"> translated and formatted.</w:t>
      </w:r>
    </w:p>
    <w:p w14:paraId="338B4FEF" w14:textId="13BF788A" w:rsidR="00161BC6" w:rsidRDefault="00161BC6" w:rsidP="00161BC6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SURVEY ANALYSIS</w:t>
      </w:r>
    </w:p>
    <w:p w14:paraId="6E183D77" w14:textId="3A60ED21" w:rsidR="00855FAD" w:rsidRDefault="0054680A" w:rsidP="00AB5848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855FAD" w:rsidRPr="00855FAD">
        <w:rPr>
          <w:lang w:eastAsia="en-US"/>
        </w:rPr>
        <w:t xml:space="preserve">Responses were received from 40 members states and </w:t>
      </w:r>
      <w:r w:rsidR="0043784B">
        <w:rPr>
          <w:lang w:eastAsia="en-US"/>
        </w:rPr>
        <w:t xml:space="preserve">regional </w:t>
      </w:r>
      <w:r w:rsidR="00016746">
        <w:rPr>
          <w:lang w:eastAsia="en-US"/>
        </w:rPr>
        <w:t>IPOs</w:t>
      </w:r>
      <w:r w:rsidR="00855FAD" w:rsidRPr="00855FAD">
        <w:rPr>
          <w:lang w:eastAsia="en-US"/>
        </w:rPr>
        <w:t xml:space="preserve">: Afghanistan;  Australia;  Azerbaijan;  Bahrain;  Brazil;  Canada;  Chile;  China;  Denmark;  Algeria;  Estonia;  </w:t>
      </w:r>
      <w:r w:rsidR="00855FAD" w:rsidRPr="00855FAD">
        <w:rPr>
          <w:lang w:eastAsia="en-US"/>
        </w:rPr>
        <w:lastRenderedPageBreak/>
        <w:t>Spain;  Finland;  Hong Kong, China;  Croatia;  Hungary;  Ireland;  Israel;  Italy;  Jordan;  Japan;  Kenya;  Republic of Korea;  Lithuania;  Republic of Moldova;  Mexico;  New Zealand;  Philippines;  Russian Federation;  Saudi Arabia;  Sweden;  Slovakia;  San Marino;  Chad;  Ukraine;  United States of America;  Uruguay</w:t>
      </w:r>
      <w:r w:rsidR="00AB5848">
        <w:rPr>
          <w:lang w:eastAsia="en-US"/>
        </w:rPr>
        <w:t xml:space="preserve">;  </w:t>
      </w:r>
      <w:r w:rsidR="00AB5848" w:rsidRPr="00855FAD">
        <w:rPr>
          <w:lang w:eastAsia="en-US"/>
        </w:rPr>
        <w:t>Benelux Office for Intellectual Property (BOIP);  European Union Intellectual Property Office (</w:t>
      </w:r>
      <w:r w:rsidR="00AB5848" w:rsidRPr="00AB5848">
        <w:rPr>
          <w:lang w:eastAsia="en-US"/>
        </w:rPr>
        <w:t>EUIPO</w:t>
      </w:r>
      <w:r w:rsidR="00AB5848" w:rsidRPr="00855FAD">
        <w:rPr>
          <w:lang w:eastAsia="en-US"/>
        </w:rPr>
        <w:t xml:space="preserve">);  </w:t>
      </w:r>
      <w:r w:rsidR="00AB5848">
        <w:rPr>
          <w:lang w:eastAsia="en-US"/>
        </w:rPr>
        <w:t xml:space="preserve">and </w:t>
      </w:r>
      <w:r w:rsidR="00AB5848" w:rsidRPr="00855FAD">
        <w:rPr>
          <w:lang w:eastAsia="en-US"/>
        </w:rPr>
        <w:t>European Patent Office (</w:t>
      </w:r>
      <w:r w:rsidR="00AB5848" w:rsidRPr="00AB5848">
        <w:rPr>
          <w:lang w:eastAsia="en-US"/>
        </w:rPr>
        <w:t>EPO</w:t>
      </w:r>
      <w:r w:rsidR="00AB5848">
        <w:rPr>
          <w:lang w:eastAsia="en-US"/>
        </w:rPr>
        <w:t>)</w:t>
      </w:r>
      <w:r w:rsidR="00855FAD" w:rsidRPr="00855FAD">
        <w:rPr>
          <w:lang w:eastAsia="en-US"/>
        </w:rPr>
        <w:t>.</w:t>
      </w:r>
    </w:p>
    <w:p w14:paraId="0CE30760" w14:textId="6792108E" w:rsidR="0043784B" w:rsidRDefault="002F2E8D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  <w:t xml:space="preserve">The International Bureau provided the </w:t>
      </w:r>
      <w:r>
        <w:t>Digital Transformation Task Force with</w:t>
      </w:r>
      <w:r>
        <w:rPr>
          <w:lang w:eastAsia="en-US"/>
        </w:rPr>
        <w:t xml:space="preserve"> the IPOs’ responses and a draft analysis of survey results for </w:t>
      </w:r>
      <w:r w:rsidR="00E63509">
        <w:rPr>
          <w:lang w:eastAsia="en-US"/>
        </w:rPr>
        <w:t>review and</w:t>
      </w:r>
      <w:r>
        <w:rPr>
          <w:lang w:eastAsia="en-US"/>
        </w:rPr>
        <w:t xml:space="preserve"> comments.  In consultation with the Task Force</w:t>
      </w:r>
      <w:r w:rsidR="00E63509">
        <w:rPr>
          <w:lang w:eastAsia="en-US"/>
        </w:rPr>
        <w:t xml:space="preserve"> Leader</w:t>
      </w:r>
      <w:r>
        <w:rPr>
          <w:lang w:eastAsia="en-US"/>
        </w:rPr>
        <w:t>, the following analysis has been prepared.</w:t>
      </w:r>
    </w:p>
    <w:p w14:paraId="3B741FF3" w14:textId="6CC2EBF5" w:rsidR="000A24E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0A24E5">
        <w:rPr>
          <w:lang w:eastAsia="en-US"/>
        </w:rPr>
        <w:t xml:space="preserve">The following are some highlights of the results.  </w:t>
      </w:r>
      <w:r w:rsidR="000A24E5" w:rsidRPr="000A24E5">
        <w:rPr>
          <w:lang w:eastAsia="en-US"/>
        </w:rPr>
        <w:t>Most respondents (</w:t>
      </w:r>
      <w:r w:rsidR="001111CA">
        <w:rPr>
          <w:lang w:eastAsia="en-US"/>
        </w:rPr>
        <w:t>31</w:t>
      </w:r>
      <w:r w:rsidR="000A24E5" w:rsidRPr="000A24E5">
        <w:rPr>
          <w:lang w:eastAsia="en-US"/>
        </w:rPr>
        <w:t>) indicate that PDF is the most commonly used file format followed by paper</w:t>
      </w:r>
      <w:r w:rsidR="000A24E5">
        <w:rPr>
          <w:lang w:eastAsia="en-US"/>
        </w:rPr>
        <w:t xml:space="preserve"> </w:t>
      </w:r>
      <w:r w:rsidR="001111CA">
        <w:rPr>
          <w:lang w:eastAsia="en-US"/>
        </w:rPr>
        <w:t>(30</w:t>
      </w:r>
      <w:r w:rsidR="000A24E5" w:rsidRPr="000A24E5">
        <w:rPr>
          <w:lang w:eastAsia="en-US"/>
        </w:rPr>
        <w:t>) and the Microsoft Word DOCX in free-form (19)</w:t>
      </w:r>
      <w:r w:rsidR="000A24E5">
        <w:rPr>
          <w:lang w:eastAsia="en-US"/>
        </w:rPr>
        <w:t>.</w:t>
      </w:r>
      <w:r w:rsidR="000A24E5" w:rsidRPr="000A24E5">
        <w:rPr>
          <w:lang w:eastAsia="en-US"/>
        </w:rPr>
        <w:t xml:space="preserve"> </w:t>
      </w:r>
      <w:r w:rsidR="000A24E5">
        <w:rPr>
          <w:lang w:eastAsia="en-US"/>
        </w:rPr>
        <w:t xml:space="preserve"> </w:t>
      </w:r>
      <w:r w:rsidR="00712BBB">
        <w:rPr>
          <w:lang w:eastAsia="en-US"/>
        </w:rPr>
        <w:t>More than half of</w:t>
      </w:r>
      <w:r w:rsidR="001111CA">
        <w:rPr>
          <w:lang w:eastAsia="en-US"/>
        </w:rPr>
        <w:t xml:space="preserve"> respondents (24</w:t>
      </w:r>
      <w:r w:rsidR="000A24E5" w:rsidRPr="000A24E5">
        <w:rPr>
          <w:lang w:eastAsia="en-US"/>
        </w:rPr>
        <w:t xml:space="preserve">) indicate that they provide initial content-based validations to applicants prior to the submission to reduce the number of formality non-compliances.  </w:t>
      </w:r>
    </w:p>
    <w:p w14:paraId="33B5B235" w14:textId="6949A40B" w:rsidR="000A24E5" w:rsidRPr="000A24E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0A24E5" w:rsidRPr="000A24E5">
        <w:rPr>
          <w:lang w:eastAsia="en-US"/>
        </w:rPr>
        <w:t xml:space="preserve">In a related question, there was </w:t>
      </w:r>
      <w:r w:rsidR="001111CA">
        <w:rPr>
          <w:lang w:eastAsia="en-US"/>
        </w:rPr>
        <w:t>an overwhelming YES response (38</w:t>
      </w:r>
      <w:r w:rsidR="000A24E5" w:rsidRPr="000A24E5">
        <w:rPr>
          <w:lang w:eastAsia="en-US"/>
        </w:rPr>
        <w:t>) for Offices which provide a scrubbing tool to remove unwanted metadata from documents prior to submission. Additionally, a good number of Offices</w:t>
      </w:r>
      <w:r w:rsidR="000A24E5">
        <w:rPr>
          <w:lang w:eastAsia="en-US"/>
        </w:rPr>
        <w:t xml:space="preserve"> (29) </w:t>
      </w:r>
      <w:r w:rsidR="000A24E5" w:rsidRPr="000A24E5">
        <w:rPr>
          <w:lang w:eastAsia="en-US"/>
        </w:rPr>
        <w:t>provide feedback during the filing process detailing potential problems with the sub</w:t>
      </w:r>
      <w:r w:rsidR="000A24E5">
        <w:rPr>
          <w:lang w:eastAsia="en-US"/>
        </w:rPr>
        <w:t>mitted application</w:t>
      </w:r>
      <w:r w:rsidR="0060534E">
        <w:rPr>
          <w:lang w:eastAsia="en-US"/>
        </w:rPr>
        <w:t>,</w:t>
      </w:r>
      <w:r w:rsidR="000A24E5">
        <w:rPr>
          <w:lang w:eastAsia="en-US"/>
        </w:rPr>
        <w:t xml:space="preserve"> as a result of </w:t>
      </w:r>
      <w:r w:rsidR="000A24E5" w:rsidRPr="000A24E5">
        <w:rPr>
          <w:lang w:eastAsia="en-US"/>
        </w:rPr>
        <w:t>validations</w:t>
      </w:r>
      <w:r w:rsidR="000A24E5">
        <w:rPr>
          <w:lang w:eastAsia="en-US"/>
        </w:rPr>
        <w:t xml:space="preserve"> performed by the Office</w:t>
      </w:r>
      <w:r w:rsidR="000A24E5" w:rsidRPr="000A24E5">
        <w:rPr>
          <w:lang w:eastAsia="en-US"/>
        </w:rPr>
        <w:t xml:space="preserve">. </w:t>
      </w:r>
    </w:p>
    <w:p w14:paraId="5C826821" w14:textId="73A5D10B" w:rsidR="000A24E5" w:rsidRPr="000A24E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0A24E5" w:rsidRPr="000A24E5">
        <w:rPr>
          <w:lang w:eastAsia="en-US"/>
        </w:rPr>
        <w:t>Not surprisingly, an overwhelming number of Offices (</w:t>
      </w:r>
      <w:r w:rsidR="001111CA">
        <w:rPr>
          <w:lang w:eastAsia="en-US"/>
        </w:rPr>
        <w:t>31</w:t>
      </w:r>
      <w:r w:rsidR="000A24E5" w:rsidRPr="000A24E5">
        <w:rPr>
          <w:lang w:eastAsia="en-US"/>
        </w:rPr>
        <w:t xml:space="preserve">) stated </w:t>
      </w:r>
      <w:r w:rsidR="000A24E5">
        <w:rPr>
          <w:lang w:eastAsia="en-US"/>
        </w:rPr>
        <w:t xml:space="preserve">that </w:t>
      </w:r>
      <w:r w:rsidR="000A24E5" w:rsidRPr="000A24E5">
        <w:rPr>
          <w:lang w:eastAsia="en-US"/>
        </w:rPr>
        <w:t>the o</w:t>
      </w:r>
      <w:r w:rsidR="000A24E5">
        <w:rPr>
          <w:lang w:eastAsia="en-US"/>
        </w:rPr>
        <w:t>riginally</w:t>
      </w:r>
      <w:r w:rsidR="0060534E">
        <w:rPr>
          <w:lang w:eastAsia="en-US"/>
        </w:rPr>
        <w:t>-</w:t>
      </w:r>
      <w:r w:rsidR="000A24E5">
        <w:rPr>
          <w:lang w:eastAsia="en-US"/>
        </w:rPr>
        <w:t>submitted application</w:t>
      </w:r>
      <w:r w:rsidR="000A24E5" w:rsidRPr="000A24E5">
        <w:rPr>
          <w:lang w:eastAsia="en-US"/>
        </w:rPr>
        <w:t xml:space="preserve"> documents are considered the authoritative copy of the submission. </w:t>
      </w:r>
      <w:r>
        <w:rPr>
          <w:lang w:eastAsia="en-US"/>
        </w:rPr>
        <w:t xml:space="preserve"> </w:t>
      </w:r>
      <w:r w:rsidR="000A24E5" w:rsidRPr="000A24E5">
        <w:rPr>
          <w:lang w:eastAsia="en-US"/>
        </w:rPr>
        <w:t>The originally</w:t>
      </w:r>
      <w:r w:rsidR="0060534E">
        <w:rPr>
          <w:lang w:eastAsia="en-US"/>
        </w:rPr>
        <w:t>-</w:t>
      </w:r>
      <w:r w:rsidR="000A24E5" w:rsidRPr="000A24E5">
        <w:rPr>
          <w:lang w:eastAsia="en-US"/>
        </w:rPr>
        <w:t xml:space="preserve">submitted image format is </w:t>
      </w:r>
      <w:r w:rsidR="000A24E5">
        <w:rPr>
          <w:lang w:eastAsia="en-US"/>
        </w:rPr>
        <w:t xml:space="preserve">also </w:t>
      </w:r>
      <w:r w:rsidR="000A24E5" w:rsidRPr="000A24E5">
        <w:rPr>
          <w:lang w:eastAsia="en-US"/>
        </w:rPr>
        <w:t>preserved</w:t>
      </w:r>
      <w:r w:rsidR="000A24E5">
        <w:rPr>
          <w:lang w:eastAsia="en-US"/>
        </w:rPr>
        <w:t xml:space="preserve"> by some Offices </w:t>
      </w:r>
      <w:r w:rsidR="000A24E5" w:rsidRPr="000A24E5">
        <w:rPr>
          <w:lang w:eastAsia="en-US"/>
        </w:rPr>
        <w:t xml:space="preserve">(12). </w:t>
      </w:r>
      <w:r w:rsidR="000A24E5">
        <w:rPr>
          <w:lang w:eastAsia="en-US"/>
        </w:rPr>
        <w:t xml:space="preserve"> </w:t>
      </w:r>
      <w:r w:rsidR="000A24E5" w:rsidRPr="000A24E5">
        <w:rPr>
          <w:lang w:eastAsia="en-US"/>
        </w:rPr>
        <w:t>Additionally, most Offices indicated they would display the</w:t>
      </w:r>
      <w:r w:rsidR="001111CA">
        <w:rPr>
          <w:lang w:eastAsia="en-US"/>
        </w:rPr>
        <w:t xml:space="preserve"> originally</w:t>
      </w:r>
      <w:r w:rsidR="0060534E">
        <w:rPr>
          <w:lang w:eastAsia="en-US"/>
        </w:rPr>
        <w:t>-</w:t>
      </w:r>
      <w:r w:rsidR="001111CA">
        <w:rPr>
          <w:lang w:eastAsia="en-US"/>
        </w:rPr>
        <w:t>submitted format (27</w:t>
      </w:r>
      <w:r w:rsidR="000A24E5" w:rsidRPr="000A24E5">
        <w:rPr>
          <w:lang w:eastAsia="en-US"/>
        </w:rPr>
        <w:t xml:space="preserve">) for examination and administration of the application. </w:t>
      </w:r>
    </w:p>
    <w:p w14:paraId="1807A5A3" w14:textId="06ACB98B" w:rsidR="000A24E5" w:rsidRPr="000A24E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0A24E5">
        <w:rPr>
          <w:lang w:eastAsia="en-US"/>
        </w:rPr>
        <w:t>The Task Force Leader n</w:t>
      </w:r>
      <w:r w:rsidR="000A24E5" w:rsidRPr="000A24E5">
        <w:rPr>
          <w:lang w:eastAsia="en-US"/>
        </w:rPr>
        <w:t>ote</w:t>
      </w:r>
      <w:r w:rsidR="000A24E5">
        <w:rPr>
          <w:lang w:eastAsia="en-US"/>
        </w:rPr>
        <w:t>s</w:t>
      </w:r>
      <w:r w:rsidR="000A24E5" w:rsidRPr="000A24E5">
        <w:rPr>
          <w:lang w:eastAsia="en-US"/>
        </w:rPr>
        <w:t xml:space="preserve"> </w:t>
      </w:r>
      <w:r w:rsidR="000A24E5">
        <w:rPr>
          <w:lang w:eastAsia="en-US"/>
        </w:rPr>
        <w:t xml:space="preserve">that </w:t>
      </w:r>
      <w:r w:rsidR="000A24E5" w:rsidRPr="000A24E5">
        <w:rPr>
          <w:lang w:eastAsia="en-US"/>
        </w:rPr>
        <w:t xml:space="preserve">this </w:t>
      </w:r>
      <w:r w:rsidR="002232E2">
        <w:rPr>
          <w:lang w:eastAsia="en-US"/>
        </w:rPr>
        <w:t xml:space="preserve">information on submitted documents and images </w:t>
      </w:r>
      <w:r w:rsidR="000A24E5">
        <w:rPr>
          <w:lang w:eastAsia="en-US"/>
        </w:rPr>
        <w:t>is a key point to consider as the Task Force</w:t>
      </w:r>
      <w:r w:rsidR="000A24E5" w:rsidRPr="000A24E5">
        <w:rPr>
          <w:lang w:eastAsia="en-US"/>
        </w:rPr>
        <w:t xml:space="preserve"> plan</w:t>
      </w:r>
      <w:r w:rsidR="000A24E5">
        <w:rPr>
          <w:lang w:eastAsia="en-US"/>
        </w:rPr>
        <w:t>s</w:t>
      </w:r>
      <w:r w:rsidR="000A24E5" w:rsidRPr="000A24E5">
        <w:rPr>
          <w:lang w:eastAsia="en-US"/>
        </w:rPr>
        <w:t xml:space="preserve"> future work. </w:t>
      </w:r>
      <w:r w:rsidR="000A24E5">
        <w:rPr>
          <w:lang w:eastAsia="en-US"/>
        </w:rPr>
        <w:t xml:space="preserve"> </w:t>
      </w:r>
      <w:r w:rsidR="000A24E5" w:rsidRPr="000A24E5">
        <w:rPr>
          <w:lang w:eastAsia="en-US"/>
        </w:rPr>
        <w:t>Both Offices and applicants consider the original submission as the authoritative copy of the application, which means Offices will need to always maintain the original submission in its original form</w:t>
      </w:r>
      <w:r w:rsidR="000A24E5">
        <w:rPr>
          <w:lang w:eastAsia="en-US"/>
        </w:rPr>
        <w:t>,</w:t>
      </w:r>
      <w:r w:rsidR="000A24E5" w:rsidRPr="000A24E5">
        <w:rPr>
          <w:lang w:eastAsia="en-US"/>
        </w:rPr>
        <w:t xml:space="preserve"> along with any conversions needed to process the data for internal workflow.</w:t>
      </w:r>
    </w:p>
    <w:p w14:paraId="67CDE15D" w14:textId="11C301D4" w:rsidR="000A24E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0A24E5" w:rsidRPr="000A24E5">
        <w:rPr>
          <w:lang w:eastAsia="en-US"/>
        </w:rPr>
        <w:t>In reference to</w:t>
      </w:r>
      <w:r w:rsidR="001111CA">
        <w:rPr>
          <w:lang w:eastAsia="en-US"/>
        </w:rPr>
        <w:t xml:space="preserve"> publication, most</w:t>
      </w:r>
      <w:r w:rsidR="000A24E5">
        <w:rPr>
          <w:lang w:eastAsia="en-US"/>
        </w:rPr>
        <w:t xml:space="preserve"> </w:t>
      </w:r>
      <w:r w:rsidR="000A24E5" w:rsidRPr="000A24E5">
        <w:rPr>
          <w:lang w:eastAsia="en-US"/>
        </w:rPr>
        <w:t>respondents indicated they would use the originally</w:t>
      </w:r>
      <w:r w:rsidR="0060534E">
        <w:rPr>
          <w:lang w:eastAsia="en-US"/>
        </w:rPr>
        <w:t>-</w:t>
      </w:r>
      <w:r w:rsidR="000A24E5" w:rsidRPr="000A24E5">
        <w:rPr>
          <w:lang w:eastAsia="en-US"/>
        </w:rPr>
        <w:t>submitted document format (</w:t>
      </w:r>
      <w:r w:rsidR="001111CA">
        <w:rPr>
          <w:lang w:eastAsia="en-US"/>
        </w:rPr>
        <w:t>20</w:t>
      </w:r>
      <w:r w:rsidR="000A24E5" w:rsidRPr="000A24E5">
        <w:rPr>
          <w:lang w:eastAsia="en-US"/>
        </w:rPr>
        <w:t>) or a fo</w:t>
      </w:r>
      <w:r w:rsidR="001111CA">
        <w:rPr>
          <w:lang w:eastAsia="en-US"/>
        </w:rPr>
        <w:t xml:space="preserve">rmat converted by the Office (20).  Note </w:t>
      </w:r>
      <w:r w:rsidR="000A24E5" w:rsidRPr="000A24E5">
        <w:rPr>
          <w:lang w:eastAsia="en-US"/>
        </w:rPr>
        <w:t xml:space="preserve">this question </w:t>
      </w:r>
      <w:r w:rsidR="001111CA">
        <w:rPr>
          <w:lang w:eastAsia="en-US"/>
        </w:rPr>
        <w:t xml:space="preserve">allows multiple responses, so </w:t>
      </w:r>
      <w:r w:rsidR="000A24E5" w:rsidRPr="000A24E5">
        <w:rPr>
          <w:lang w:eastAsia="en-US"/>
        </w:rPr>
        <w:t xml:space="preserve">Offices </w:t>
      </w:r>
      <w:r w:rsidR="001111CA">
        <w:rPr>
          <w:lang w:eastAsia="en-US"/>
        </w:rPr>
        <w:t>may select</w:t>
      </w:r>
      <w:r w:rsidR="000A24E5" w:rsidRPr="000A24E5">
        <w:rPr>
          <w:lang w:eastAsia="en-US"/>
        </w:rPr>
        <w:t xml:space="preserve"> more than one</w:t>
      </w:r>
      <w:r w:rsidR="001111CA">
        <w:rPr>
          <w:lang w:eastAsia="en-US"/>
        </w:rPr>
        <w:t xml:space="preserve"> option</w:t>
      </w:r>
      <w:r w:rsidR="000A24E5" w:rsidRPr="000A24E5">
        <w:rPr>
          <w:lang w:eastAsia="en-US"/>
        </w:rPr>
        <w:t xml:space="preserve">. </w:t>
      </w:r>
      <w:r w:rsidR="004D53E9">
        <w:rPr>
          <w:lang w:eastAsia="en-US"/>
        </w:rPr>
        <w:t xml:space="preserve"> S</w:t>
      </w:r>
      <w:r w:rsidR="000A24E5">
        <w:rPr>
          <w:lang w:eastAsia="en-US"/>
        </w:rPr>
        <w:t>everal</w:t>
      </w:r>
      <w:r w:rsidR="000A24E5" w:rsidRPr="000A24E5">
        <w:rPr>
          <w:lang w:eastAsia="en-US"/>
        </w:rPr>
        <w:t xml:space="preserve"> Offices</w:t>
      </w:r>
      <w:r w:rsidR="007E1CFE">
        <w:rPr>
          <w:lang w:eastAsia="en-US"/>
        </w:rPr>
        <w:t xml:space="preserve"> (10</w:t>
      </w:r>
      <w:r w:rsidR="000A24E5" w:rsidRPr="000A24E5">
        <w:rPr>
          <w:lang w:eastAsia="en-US"/>
        </w:rPr>
        <w:t xml:space="preserve">) </w:t>
      </w:r>
      <w:r w:rsidR="004D53E9">
        <w:rPr>
          <w:lang w:eastAsia="en-US"/>
        </w:rPr>
        <w:t xml:space="preserve">indicated that they </w:t>
      </w:r>
      <w:r w:rsidR="000A24E5" w:rsidRPr="000A24E5">
        <w:rPr>
          <w:lang w:eastAsia="en-US"/>
        </w:rPr>
        <w:t xml:space="preserve">plan to discontinue physical publication in the next </w:t>
      </w:r>
      <w:r w:rsidR="0060534E">
        <w:rPr>
          <w:lang w:eastAsia="en-US"/>
        </w:rPr>
        <w:t>five</w:t>
      </w:r>
      <w:r w:rsidR="000A24E5" w:rsidRPr="000A24E5">
        <w:rPr>
          <w:lang w:eastAsia="en-US"/>
        </w:rPr>
        <w:t xml:space="preserve"> years.</w:t>
      </w:r>
    </w:p>
    <w:p w14:paraId="19F3F4E8" w14:textId="2D6C86FC" w:rsidR="007E1CFE" w:rsidRPr="007E1CFE" w:rsidRDefault="00161BC6" w:rsidP="007E1CFE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FURTHER ACTIONS</w:t>
      </w:r>
    </w:p>
    <w:p w14:paraId="6A59F0F8" w14:textId="007634AC" w:rsidR="004D53E9" w:rsidRDefault="007E1CFE" w:rsidP="00D955F4">
      <w:pPr>
        <w:pStyle w:val="ONUMFS"/>
        <w:numPr>
          <w:ilvl w:val="0"/>
          <w:numId w:val="0"/>
        </w:numPr>
        <w:spacing w:line="240" w:lineRule="auto"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Pr="007E1CFE">
        <w:t>After review of these survey r</w:t>
      </w:r>
      <w:r w:rsidR="00D955F4">
        <w:t>esults, the Task Force L</w:t>
      </w:r>
      <w:r w:rsidR="004D53E9">
        <w:t>eader recommends to develop a plan for the Task Force</w:t>
      </w:r>
      <w:r w:rsidRPr="007E1CFE">
        <w:t xml:space="preserve"> to work on bringing uniformity to two area</w:t>
      </w:r>
      <w:r w:rsidR="004D53E9">
        <w:t>s</w:t>
      </w:r>
      <w:r w:rsidRPr="007E1CFE">
        <w:t xml:space="preserve"> of</w:t>
      </w:r>
      <w:r w:rsidR="004D53E9">
        <w:t xml:space="preserve"> the patent application process: </w:t>
      </w:r>
      <w:r w:rsidRPr="007E1CFE">
        <w:t xml:space="preserve"> INTAKE and EXPORT. </w:t>
      </w:r>
      <w:r w:rsidR="004D53E9">
        <w:t xml:space="preserve"> </w:t>
      </w:r>
      <w:r w:rsidRPr="007E1CFE">
        <w:t xml:space="preserve">These two areas are the most likely to be workable in terms of commonality between Offices and will also help the </w:t>
      </w:r>
      <w:r w:rsidRPr="007E1CFE">
        <w:rPr>
          <w:lang w:eastAsia="en-US"/>
        </w:rPr>
        <w:t>applicant</w:t>
      </w:r>
      <w:r w:rsidRPr="007E1CFE">
        <w:t xml:space="preserve">. </w:t>
      </w:r>
      <w:r w:rsidR="004D53E9">
        <w:t xml:space="preserve"> </w:t>
      </w:r>
    </w:p>
    <w:p w14:paraId="79596E1F" w14:textId="4A45BCF4" w:rsidR="007E1CFE" w:rsidRPr="007E1CFE" w:rsidRDefault="004D53E9" w:rsidP="00D955F4">
      <w:pPr>
        <w:pStyle w:val="ONUMFS"/>
        <w:numPr>
          <w:ilvl w:val="0"/>
          <w:numId w:val="0"/>
        </w:numPr>
        <w:spacing w:line="240" w:lineRule="auto"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  <w:t xml:space="preserve">Intake - </w:t>
      </w:r>
      <w:r w:rsidR="007E1CFE" w:rsidRPr="007E1CFE">
        <w:t xml:space="preserve">Most Offices require similar information on Intake, with the basics such as bib data, claims, spec abstract and drawings. </w:t>
      </w:r>
      <w:r w:rsidR="00D955F4">
        <w:t xml:space="preserve"> </w:t>
      </w:r>
      <w:r w:rsidR="007E1CFE" w:rsidRPr="007E1CFE">
        <w:t xml:space="preserve">The </w:t>
      </w:r>
      <w:r>
        <w:t xml:space="preserve">Task Force </w:t>
      </w:r>
      <w:r w:rsidR="007E1CFE" w:rsidRPr="007E1CFE">
        <w:t xml:space="preserve">should explore DocX to XML conversion as an </w:t>
      </w:r>
      <w:r w:rsidR="007E1CFE" w:rsidRPr="007E1CFE">
        <w:rPr>
          <w:lang w:eastAsia="en-US"/>
        </w:rPr>
        <w:t>option</w:t>
      </w:r>
      <w:r w:rsidR="007E1CFE" w:rsidRPr="007E1CFE">
        <w:t xml:space="preserve"> for Offices.</w:t>
      </w:r>
    </w:p>
    <w:p w14:paraId="1CFB21AC" w14:textId="1BC6C4E9" w:rsidR="007E1CFE" w:rsidRPr="007E1CFE" w:rsidRDefault="004D53E9" w:rsidP="00D955F4">
      <w:pPr>
        <w:pStyle w:val="ONUMFS"/>
        <w:numPr>
          <w:ilvl w:val="0"/>
          <w:numId w:val="0"/>
        </w:numPr>
        <w:spacing w:line="240" w:lineRule="auto"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  <w:t xml:space="preserve">Export - </w:t>
      </w:r>
      <w:r w:rsidR="007E1CFE" w:rsidRPr="007E1CFE">
        <w:t>Most Offices</w:t>
      </w:r>
      <w:r>
        <w:t xml:space="preserve"> offer</w:t>
      </w:r>
      <w:r w:rsidR="007E1CFE" w:rsidRPr="007E1CFE">
        <w:t xml:space="preserve"> publications (Export) in one or more formats. </w:t>
      </w:r>
      <w:r w:rsidR="00D955F4">
        <w:t xml:space="preserve"> </w:t>
      </w:r>
      <w:r w:rsidR="002232E2">
        <w:t>The Task Force</w:t>
      </w:r>
      <w:r w:rsidR="002232E2" w:rsidRPr="007E1CFE">
        <w:t xml:space="preserve"> </w:t>
      </w:r>
      <w:r w:rsidR="007E1CFE" w:rsidRPr="007E1CFE">
        <w:t xml:space="preserve">can work towards </w:t>
      </w:r>
      <w:r w:rsidR="002232E2">
        <w:t xml:space="preserve">encouraging </w:t>
      </w:r>
      <w:r w:rsidR="007E1CFE" w:rsidRPr="007E1CFE">
        <w:t xml:space="preserve">all Offices </w:t>
      </w:r>
      <w:r w:rsidR="0060534E">
        <w:t xml:space="preserve">to </w:t>
      </w:r>
      <w:r w:rsidR="007E1CFE" w:rsidRPr="007E1CFE">
        <w:t>provid</w:t>
      </w:r>
      <w:r w:rsidR="0060534E">
        <w:t>e</w:t>
      </w:r>
      <w:r w:rsidR="007E1CFE" w:rsidRPr="007E1CFE">
        <w:t xml:space="preserve"> their publications in a common ST.96 format along with other existing formats. </w:t>
      </w:r>
      <w:r w:rsidR="00D955F4">
        <w:t xml:space="preserve"> </w:t>
      </w:r>
      <w:r w:rsidR="007E1CFE" w:rsidRPr="007E1CFE">
        <w:t xml:space="preserve">This will help users of patent information to have at least one common format they can rely on for their use of </w:t>
      </w:r>
      <w:r w:rsidR="007E1CFE" w:rsidRPr="007E1CFE">
        <w:rPr>
          <w:lang w:eastAsia="en-US"/>
        </w:rPr>
        <w:t>the</w:t>
      </w:r>
      <w:r w:rsidR="007E1CFE" w:rsidRPr="007E1CFE">
        <w:t xml:space="preserve"> data. </w:t>
      </w:r>
    </w:p>
    <w:p w14:paraId="72C7C9FE" w14:textId="2ABDCD89" w:rsidR="004167C6" w:rsidRDefault="00161BC6" w:rsidP="00AB5848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  <w:t>If the CWS approves the content of the survey analysis above, it will be published with the survey results in Part 7 of the WIPO Handbook.</w:t>
      </w:r>
    </w:p>
    <w:p w14:paraId="07A0D9DD" w14:textId="77777777" w:rsidR="002E585B" w:rsidRPr="003A5F87" w:rsidRDefault="002E585B" w:rsidP="003726AC">
      <w:pPr>
        <w:pStyle w:val="ONUMFS"/>
        <w:numPr>
          <w:ilvl w:val="0"/>
          <w:numId w:val="0"/>
        </w:numPr>
        <w:spacing w:after="120" w:line="240" w:lineRule="auto"/>
        <w:ind w:left="5530"/>
        <w:rPr>
          <w:i/>
        </w:rPr>
      </w:pPr>
      <w:r>
        <w:rPr>
          <w:i/>
          <w:szCs w:val="22"/>
        </w:rPr>
        <w:lastRenderedPageBreak/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Pr="003A5F87">
        <w:rPr>
          <w:i/>
          <w:szCs w:val="22"/>
        </w:rPr>
        <w:t>Th</w:t>
      </w:r>
      <w:r w:rsidRPr="003A5F87">
        <w:rPr>
          <w:i/>
        </w:rPr>
        <w:t xml:space="preserve">e CWS is invited to: </w:t>
      </w:r>
    </w:p>
    <w:p w14:paraId="40D2989A" w14:textId="79083396" w:rsidR="002E585B" w:rsidRDefault="00EB6285" w:rsidP="00EB6285">
      <w:pPr>
        <w:pStyle w:val="BodyText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>n</w:t>
      </w:r>
      <w:r w:rsidR="002E585B" w:rsidRPr="006A730D">
        <w:rPr>
          <w:i/>
        </w:rPr>
        <w:t xml:space="preserve">ote the content of </w:t>
      </w:r>
      <w:r w:rsidR="002E585B">
        <w:rPr>
          <w:i/>
        </w:rPr>
        <w:t xml:space="preserve">this </w:t>
      </w:r>
      <w:r w:rsidR="002E585B" w:rsidRPr="006A730D">
        <w:rPr>
          <w:i/>
        </w:rPr>
        <w:t>document;</w:t>
      </w:r>
      <w:r w:rsidR="00161BC6">
        <w:rPr>
          <w:i/>
        </w:rPr>
        <w:t xml:space="preserve"> </w:t>
      </w:r>
    </w:p>
    <w:p w14:paraId="10D845A6" w14:textId="15E2F0E3" w:rsidR="002E585B" w:rsidRDefault="004D53E9" w:rsidP="00EB6285">
      <w:pPr>
        <w:pStyle w:val="BodyText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 xml:space="preserve">consider and </w:t>
      </w:r>
      <w:r w:rsidR="00161BC6">
        <w:rPr>
          <w:i/>
        </w:rPr>
        <w:t xml:space="preserve">approve the contents of the survey analysis in paragraphs 3 to </w:t>
      </w:r>
      <w:r w:rsidR="001E36EB">
        <w:rPr>
          <w:i/>
        </w:rPr>
        <w:t>9</w:t>
      </w:r>
      <w:r w:rsidR="00161BC6">
        <w:rPr>
          <w:i/>
        </w:rPr>
        <w:t xml:space="preserve"> above for publication with the surv</w:t>
      </w:r>
      <w:r>
        <w:rPr>
          <w:i/>
        </w:rPr>
        <w:t>ey results in the WIPO Handbook; and</w:t>
      </w:r>
    </w:p>
    <w:p w14:paraId="0599E3E5" w14:textId="33A233CD" w:rsidR="00AE7643" w:rsidRPr="00EB6285" w:rsidRDefault="004D53E9" w:rsidP="00EB6285">
      <w:pPr>
        <w:pStyle w:val="BodyText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 xml:space="preserve">consider and approve the work items for the Task Force described in paragraphs </w:t>
      </w:r>
      <w:r w:rsidR="001E36EB">
        <w:rPr>
          <w:i/>
        </w:rPr>
        <w:t>10</w:t>
      </w:r>
      <w:r w:rsidR="001E36EB" w:rsidRPr="00EB6285">
        <w:rPr>
          <w:i/>
        </w:rPr>
        <w:t xml:space="preserve"> </w:t>
      </w:r>
      <w:r w:rsidR="00EB6285" w:rsidRPr="00EB6285">
        <w:rPr>
          <w:i/>
        </w:rPr>
        <w:t>to 12</w:t>
      </w:r>
      <w:r>
        <w:rPr>
          <w:i/>
        </w:rPr>
        <w:t xml:space="preserve"> above.</w:t>
      </w:r>
    </w:p>
    <w:p w14:paraId="6E361CF8" w14:textId="77777777" w:rsidR="00161BC6" w:rsidRDefault="00161BC6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3572BC74" w14:textId="77777777" w:rsidR="00161BC6" w:rsidRDefault="00161BC6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6A87E828" w14:textId="337A28FA" w:rsidR="002326AB" w:rsidRPr="00161BC6" w:rsidRDefault="00161BC6" w:rsidP="00161BC6">
      <w:pPr>
        <w:pStyle w:val="Endofdocument"/>
        <w:ind w:left="5530"/>
        <w:rPr>
          <w:sz w:val="22"/>
          <w:szCs w:val="22"/>
        </w:rPr>
      </w:pPr>
      <w:r w:rsidRPr="005210F5">
        <w:rPr>
          <w:rFonts w:cs="Arial"/>
          <w:sz w:val="22"/>
          <w:szCs w:val="22"/>
        </w:rPr>
        <w:t>[End of document]</w:t>
      </w:r>
    </w:p>
    <w:p w14:paraId="3C678614" w14:textId="6C79BA61" w:rsidR="007B3CC2" w:rsidRDefault="007B3CC2" w:rsidP="00137848"/>
    <w:sectPr w:rsidR="007B3CC2" w:rsidSect="002E5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7AA1" w14:textId="77777777" w:rsidR="001C3C5D" w:rsidRDefault="001C3C5D">
      <w:r>
        <w:separator/>
      </w:r>
    </w:p>
  </w:endnote>
  <w:endnote w:type="continuationSeparator" w:id="0">
    <w:p w14:paraId="496583DC" w14:textId="77777777" w:rsidR="001C3C5D" w:rsidRDefault="001C3C5D" w:rsidP="003B38C1">
      <w:r>
        <w:separator/>
      </w:r>
    </w:p>
    <w:p w14:paraId="56805C52" w14:textId="77777777" w:rsidR="001C3C5D" w:rsidRPr="003B38C1" w:rsidRDefault="001C3C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D31B22" w14:textId="77777777" w:rsidR="001C3C5D" w:rsidRPr="003B38C1" w:rsidRDefault="001C3C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52CF" w14:textId="77777777" w:rsidR="000B2D3B" w:rsidRDefault="000B2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17AC" w14:textId="77777777" w:rsidR="000B2D3B" w:rsidRDefault="000B2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5D66" w14:textId="77777777" w:rsidR="000B2D3B" w:rsidRDefault="000B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9ABFE" w14:textId="77777777" w:rsidR="001C3C5D" w:rsidRDefault="001C3C5D">
      <w:r>
        <w:separator/>
      </w:r>
    </w:p>
  </w:footnote>
  <w:footnote w:type="continuationSeparator" w:id="0">
    <w:p w14:paraId="372E9AD5" w14:textId="77777777" w:rsidR="001C3C5D" w:rsidRDefault="001C3C5D" w:rsidP="008B60B2">
      <w:r>
        <w:separator/>
      </w:r>
    </w:p>
    <w:p w14:paraId="11F6A35D" w14:textId="77777777" w:rsidR="001C3C5D" w:rsidRPr="00ED77FB" w:rsidRDefault="001C3C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B322D1" w14:textId="77777777" w:rsidR="001C3C5D" w:rsidRPr="00ED77FB" w:rsidRDefault="001C3C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FB69972" w14:textId="310E59CB" w:rsidR="00016746" w:rsidRDefault="00016746" w:rsidP="00016746">
      <w:pPr>
        <w:pStyle w:val="FootnoteText"/>
      </w:pPr>
      <w:r>
        <w:rPr>
          <w:rStyle w:val="FootnoteReference"/>
        </w:rPr>
        <w:footnoteRef/>
      </w:r>
      <w:r>
        <w:t xml:space="preserve"> The submitt</w:t>
      </w:r>
      <w:r w:rsidR="00CC21AF">
        <w:t>ing</w:t>
      </w:r>
      <w:r>
        <w:t xml:space="preserve"> IPOs are ‘Algerian National Institute of Industrial Property’ and ‘Algeria National Office for Copyright and Neighboring Rights’.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69EE" w14:textId="77777777" w:rsidR="000B2D3B" w:rsidRDefault="000B2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4B5F1B35" w:rsidR="00D07C78" w:rsidRPr="002326AB" w:rsidRDefault="002E585B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D53CBA">
      <w:rPr>
        <w:caps/>
      </w:rPr>
      <w:t>WS/</w:t>
    </w:r>
    <w:r w:rsidR="000B2D3B">
      <w:rPr>
        <w:caps/>
      </w:rPr>
      <w:t>10/15</w:t>
    </w:r>
  </w:p>
  <w:p w14:paraId="52B3C166" w14:textId="4B564169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103FB">
      <w:rPr>
        <w:noProof/>
      </w:rPr>
      <w:t>3</w:t>
    </w:r>
    <w:r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847C" w14:textId="77777777" w:rsidR="000B2D3B" w:rsidRDefault="000B2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0878B3"/>
    <w:multiLevelType w:val="hybridMultilevel"/>
    <w:tmpl w:val="58308FDC"/>
    <w:lvl w:ilvl="0" w:tplc="36BAC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16746"/>
    <w:rsid w:val="00043CAA"/>
    <w:rsid w:val="00056816"/>
    <w:rsid w:val="00075432"/>
    <w:rsid w:val="000968ED"/>
    <w:rsid w:val="000A24E5"/>
    <w:rsid w:val="000A3D97"/>
    <w:rsid w:val="000B2D3B"/>
    <w:rsid w:val="000D0970"/>
    <w:rsid w:val="000F5E56"/>
    <w:rsid w:val="000F678C"/>
    <w:rsid w:val="001111CA"/>
    <w:rsid w:val="001362EE"/>
    <w:rsid w:val="00137848"/>
    <w:rsid w:val="00160104"/>
    <w:rsid w:val="00161BC6"/>
    <w:rsid w:val="001647D5"/>
    <w:rsid w:val="001832A6"/>
    <w:rsid w:val="001B141A"/>
    <w:rsid w:val="001C2D44"/>
    <w:rsid w:val="001C3C5D"/>
    <w:rsid w:val="001D4107"/>
    <w:rsid w:val="001E36EB"/>
    <w:rsid w:val="001F0D24"/>
    <w:rsid w:val="00203D24"/>
    <w:rsid w:val="002103FB"/>
    <w:rsid w:val="0021217E"/>
    <w:rsid w:val="0022149A"/>
    <w:rsid w:val="00222C84"/>
    <w:rsid w:val="002232E2"/>
    <w:rsid w:val="002326AB"/>
    <w:rsid w:val="00242FC5"/>
    <w:rsid w:val="00243430"/>
    <w:rsid w:val="002634C4"/>
    <w:rsid w:val="00266747"/>
    <w:rsid w:val="00276878"/>
    <w:rsid w:val="00280C7A"/>
    <w:rsid w:val="00286925"/>
    <w:rsid w:val="002928D3"/>
    <w:rsid w:val="002C3C55"/>
    <w:rsid w:val="002D61B0"/>
    <w:rsid w:val="002E585B"/>
    <w:rsid w:val="002E78B7"/>
    <w:rsid w:val="002F1FE6"/>
    <w:rsid w:val="002F2E8D"/>
    <w:rsid w:val="002F4E68"/>
    <w:rsid w:val="00312F7F"/>
    <w:rsid w:val="00337D78"/>
    <w:rsid w:val="00354376"/>
    <w:rsid w:val="00356D35"/>
    <w:rsid w:val="00361450"/>
    <w:rsid w:val="003673CF"/>
    <w:rsid w:val="003726AC"/>
    <w:rsid w:val="003845C1"/>
    <w:rsid w:val="003A6F89"/>
    <w:rsid w:val="003B248A"/>
    <w:rsid w:val="003B339D"/>
    <w:rsid w:val="003B38C1"/>
    <w:rsid w:val="003C34E9"/>
    <w:rsid w:val="003D5977"/>
    <w:rsid w:val="004167C6"/>
    <w:rsid w:val="0041768C"/>
    <w:rsid w:val="00423E3E"/>
    <w:rsid w:val="00427AF4"/>
    <w:rsid w:val="00434EDA"/>
    <w:rsid w:val="0043784B"/>
    <w:rsid w:val="0044175F"/>
    <w:rsid w:val="004647DA"/>
    <w:rsid w:val="00474062"/>
    <w:rsid w:val="00477D6B"/>
    <w:rsid w:val="00491DA7"/>
    <w:rsid w:val="004A79D9"/>
    <w:rsid w:val="004A7C6E"/>
    <w:rsid w:val="004D53E9"/>
    <w:rsid w:val="005019FF"/>
    <w:rsid w:val="00504D50"/>
    <w:rsid w:val="00511202"/>
    <w:rsid w:val="0053057A"/>
    <w:rsid w:val="0054680A"/>
    <w:rsid w:val="00556076"/>
    <w:rsid w:val="00560A29"/>
    <w:rsid w:val="005C6649"/>
    <w:rsid w:val="005D752F"/>
    <w:rsid w:val="005E6C0F"/>
    <w:rsid w:val="0060534E"/>
    <w:rsid w:val="00605827"/>
    <w:rsid w:val="006063B6"/>
    <w:rsid w:val="00646050"/>
    <w:rsid w:val="006713CA"/>
    <w:rsid w:val="00676C5C"/>
    <w:rsid w:val="006C6644"/>
    <w:rsid w:val="006D1491"/>
    <w:rsid w:val="006E60E1"/>
    <w:rsid w:val="00712BBB"/>
    <w:rsid w:val="00720EFD"/>
    <w:rsid w:val="0076525D"/>
    <w:rsid w:val="007757DE"/>
    <w:rsid w:val="007854AF"/>
    <w:rsid w:val="00787A1A"/>
    <w:rsid w:val="00793A7C"/>
    <w:rsid w:val="007A398A"/>
    <w:rsid w:val="007B3CC2"/>
    <w:rsid w:val="007B5A88"/>
    <w:rsid w:val="007D06C2"/>
    <w:rsid w:val="007D1613"/>
    <w:rsid w:val="007E1CFE"/>
    <w:rsid w:val="007E4C0E"/>
    <w:rsid w:val="008069A1"/>
    <w:rsid w:val="008356C0"/>
    <w:rsid w:val="00842F67"/>
    <w:rsid w:val="00846CF6"/>
    <w:rsid w:val="00855FAD"/>
    <w:rsid w:val="008610AC"/>
    <w:rsid w:val="008A134B"/>
    <w:rsid w:val="008B2CC1"/>
    <w:rsid w:val="008B60B2"/>
    <w:rsid w:val="008B7607"/>
    <w:rsid w:val="0090731E"/>
    <w:rsid w:val="00916EE2"/>
    <w:rsid w:val="00945995"/>
    <w:rsid w:val="00966A22"/>
    <w:rsid w:val="0096722F"/>
    <w:rsid w:val="00980843"/>
    <w:rsid w:val="009C18A5"/>
    <w:rsid w:val="009D286E"/>
    <w:rsid w:val="009E2791"/>
    <w:rsid w:val="009E3F6F"/>
    <w:rsid w:val="009F499F"/>
    <w:rsid w:val="009F6441"/>
    <w:rsid w:val="00A37342"/>
    <w:rsid w:val="00A42DAF"/>
    <w:rsid w:val="00A45BD8"/>
    <w:rsid w:val="00A54493"/>
    <w:rsid w:val="00A718CE"/>
    <w:rsid w:val="00A869B7"/>
    <w:rsid w:val="00A90F0A"/>
    <w:rsid w:val="00AA4C79"/>
    <w:rsid w:val="00AA6F7F"/>
    <w:rsid w:val="00AB2D29"/>
    <w:rsid w:val="00AB5848"/>
    <w:rsid w:val="00AC205C"/>
    <w:rsid w:val="00AC4CEC"/>
    <w:rsid w:val="00AE7643"/>
    <w:rsid w:val="00AF0A6B"/>
    <w:rsid w:val="00AF178B"/>
    <w:rsid w:val="00B05A69"/>
    <w:rsid w:val="00B20F0F"/>
    <w:rsid w:val="00B355B6"/>
    <w:rsid w:val="00B415AD"/>
    <w:rsid w:val="00B75281"/>
    <w:rsid w:val="00B80108"/>
    <w:rsid w:val="00B92F1F"/>
    <w:rsid w:val="00B941D5"/>
    <w:rsid w:val="00B9734B"/>
    <w:rsid w:val="00BA30E2"/>
    <w:rsid w:val="00C11BFE"/>
    <w:rsid w:val="00C5068F"/>
    <w:rsid w:val="00C57F29"/>
    <w:rsid w:val="00C86D74"/>
    <w:rsid w:val="00C90175"/>
    <w:rsid w:val="00CA4DA2"/>
    <w:rsid w:val="00CB6496"/>
    <w:rsid w:val="00CC21AF"/>
    <w:rsid w:val="00CD04F1"/>
    <w:rsid w:val="00CF6577"/>
    <w:rsid w:val="00CF681A"/>
    <w:rsid w:val="00D05A1A"/>
    <w:rsid w:val="00D07C78"/>
    <w:rsid w:val="00D45252"/>
    <w:rsid w:val="00D53CBA"/>
    <w:rsid w:val="00D61BB3"/>
    <w:rsid w:val="00D71B4D"/>
    <w:rsid w:val="00D93D55"/>
    <w:rsid w:val="00D955F4"/>
    <w:rsid w:val="00DB0594"/>
    <w:rsid w:val="00DD7B7F"/>
    <w:rsid w:val="00E148DB"/>
    <w:rsid w:val="00E15015"/>
    <w:rsid w:val="00E335FE"/>
    <w:rsid w:val="00E45755"/>
    <w:rsid w:val="00E55A68"/>
    <w:rsid w:val="00E63509"/>
    <w:rsid w:val="00EA6E55"/>
    <w:rsid w:val="00EA7D6E"/>
    <w:rsid w:val="00EB0274"/>
    <w:rsid w:val="00EB240D"/>
    <w:rsid w:val="00EB2F76"/>
    <w:rsid w:val="00EB6285"/>
    <w:rsid w:val="00EC4E49"/>
    <w:rsid w:val="00ED77FB"/>
    <w:rsid w:val="00EE45FA"/>
    <w:rsid w:val="00F043DE"/>
    <w:rsid w:val="00F23593"/>
    <w:rsid w:val="00F66152"/>
    <w:rsid w:val="00F9165B"/>
    <w:rsid w:val="00FC482F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FC50B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016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0EF7-0F84-45C4-95C7-B338DBF7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917</Words>
  <Characters>4955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CWS/10/15</vt:lpstr>
    </vt:vector>
  </TitlesOfParts>
  <Company>WIPO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CWS/10/15</dc:title>
  <dc:subject>Publication of the survey results on Office practices for Digital Transformation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2022-09-19T09:01:00Z</dcterms:created>
  <dcterms:modified xsi:type="dcterms:W3CDTF">2022-09-19T09:01:00Z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e5e0ec9f-abdb-4293-9e98-9300d4a6903b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