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202AFB0" w14:textId="77777777" w:rsidTr="00361450">
        <w:tc>
          <w:tcPr>
            <w:tcW w:w="4513" w:type="dxa"/>
            <w:tcBorders>
              <w:bottom w:val="single" w:sz="4" w:space="0" w:color="auto"/>
            </w:tcBorders>
            <w:tcMar>
              <w:bottom w:w="170" w:type="dxa"/>
            </w:tcMar>
          </w:tcPr>
          <w:p w14:paraId="2C3D3F9D" w14:textId="77777777" w:rsidR="00EC4E49" w:rsidRPr="008B2CC1" w:rsidRDefault="00EC4E49" w:rsidP="00916EE2"/>
        </w:tc>
        <w:tc>
          <w:tcPr>
            <w:tcW w:w="4337" w:type="dxa"/>
            <w:tcBorders>
              <w:bottom w:val="single" w:sz="4" w:space="0" w:color="auto"/>
            </w:tcBorders>
            <w:tcMar>
              <w:left w:w="0" w:type="dxa"/>
              <w:right w:w="0" w:type="dxa"/>
            </w:tcMar>
          </w:tcPr>
          <w:p w14:paraId="44BE29E0" w14:textId="77777777" w:rsidR="00EC4E49" w:rsidRPr="008B2CC1" w:rsidRDefault="004708CD" w:rsidP="00916EE2">
            <w:r>
              <w:rPr>
                <w:noProof/>
              </w:rPr>
              <w:drawing>
                <wp:inline distT="0" distB="0" distL="0" distR="0" wp14:anchorId="6C1C2E57" wp14:editId="102AB6BF">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5946EC" w14:textId="77777777" w:rsidR="00EC4E49" w:rsidRPr="008B2CC1" w:rsidRDefault="00EC4E49" w:rsidP="00916EE2">
            <w:pPr>
              <w:jc w:val="right"/>
            </w:pPr>
            <w:r w:rsidRPr="00605827">
              <w:rPr>
                <w:b/>
                <w:sz w:val="40"/>
                <w:szCs w:val="40"/>
              </w:rPr>
              <w:t>E</w:t>
            </w:r>
          </w:p>
        </w:tc>
      </w:tr>
      <w:tr w:rsidR="008B2CC1" w:rsidRPr="001832A6" w14:paraId="3CF4EB8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C1AD89D" w14:textId="64DDD2D6" w:rsidR="008B2CC1" w:rsidRPr="0090731E" w:rsidRDefault="00DF366F" w:rsidP="00725DDE">
            <w:pPr>
              <w:jc w:val="right"/>
              <w:rPr>
                <w:rFonts w:ascii="Arial Black" w:hAnsi="Arial Black"/>
                <w:caps/>
                <w:sz w:val="15"/>
              </w:rPr>
            </w:pPr>
            <w:r>
              <w:rPr>
                <w:rFonts w:ascii="Arial Black" w:hAnsi="Arial Black"/>
                <w:caps/>
                <w:sz w:val="15"/>
              </w:rPr>
              <w:t>CWS/</w:t>
            </w:r>
            <w:r w:rsidR="000761DE">
              <w:rPr>
                <w:rFonts w:ascii="Arial Black" w:hAnsi="Arial Black"/>
                <w:caps/>
                <w:sz w:val="15"/>
              </w:rPr>
              <w:t>10</w:t>
            </w:r>
            <w:r w:rsidR="00CD59F2">
              <w:rPr>
                <w:rFonts w:ascii="Arial Black" w:hAnsi="Arial Black"/>
                <w:caps/>
                <w:sz w:val="15"/>
              </w:rPr>
              <w:t>/</w:t>
            </w:r>
            <w:bookmarkStart w:id="0" w:name="Code"/>
            <w:bookmarkEnd w:id="0"/>
            <w:r w:rsidR="000761DE">
              <w:rPr>
                <w:rFonts w:ascii="Arial Black" w:hAnsi="Arial Black"/>
                <w:caps/>
                <w:sz w:val="15"/>
              </w:rPr>
              <w:t>1</w:t>
            </w:r>
            <w:r w:rsidR="00725DDE">
              <w:rPr>
                <w:rFonts w:ascii="Arial Black" w:hAnsi="Arial Black"/>
                <w:caps/>
                <w:sz w:val="15"/>
              </w:rPr>
              <w:t>3</w:t>
            </w:r>
            <w:r w:rsidR="00840A2A">
              <w:rPr>
                <w:rFonts w:ascii="Arial Black" w:hAnsi="Arial Black"/>
                <w:caps/>
                <w:sz w:val="15"/>
              </w:rPr>
              <w:t xml:space="preserve"> REV.</w:t>
            </w:r>
            <w:r w:rsidR="002742D4">
              <w:rPr>
                <w:rFonts w:ascii="Arial Black" w:hAnsi="Arial Black"/>
                <w:caps/>
                <w:sz w:val="15"/>
              </w:rPr>
              <w:t>2</w:t>
            </w:r>
          </w:p>
        </w:tc>
      </w:tr>
      <w:tr w:rsidR="008B2CC1" w:rsidRPr="001832A6" w14:paraId="67CD3386" w14:textId="77777777" w:rsidTr="00916EE2">
        <w:trPr>
          <w:trHeight w:hRule="exact" w:val="170"/>
        </w:trPr>
        <w:tc>
          <w:tcPr>
            <w:tcW w:w="9356" w:type="dxa"/>
            <w:gridSpan w:val="3"/>
            <w:noWrap/>
            <w:tcMar>
              <w:left w:w="0" w:type="dxa"/>
              <w:right w:w="0" w:type="dxa"/>
            </w:tcMar>
            <w:vAlign w:val="bottom"/>
          </w:tcPr>
          <w:p w14:paraId="1AFC9AD9" w14:textId="600ED0AC" w:rsidR="008B2CC1" w:rsidRPr="0090731E" w:rsidRDefault="008B2CC1" w:rsidP="00325114">
            <w:pPr>
              <w:jc w:val="right"/>
              <w:rPr>
                <w:rFonts w:ascii="Arial Black" w:hAnsi="Arial Black"/>
                <w:caps/>
                <w:sz w:val="15"/>
              </w:rPr>
            </w:pPr>
            <w:r w:rsidRPr="0090731E">
              <w:rPr>
                <w:rFonts w:ascii="Arial Black" w:hAnsi="Arial Black"/>
                <w:caps/>
                <w:sz w:val="15"/>
              </w:rPr>
              <w:t>ORIGINAL</w:t>
            </w:r>
            <w:r w:rsidR="00325114">
              <w:rPr>
                <w:rFonts w:ascii="Arial Black" w:hAnsi="Arial Black"/>
                <w:caps/>
                <w:sz w:val="15"/>
              </w:rPr>
              <w:t>: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14:paraId="65ECF873" w14:textId="77777777" w:rsidTr="00325114">
        <w:trPr>
          <w:trHeight w:hRule="exact" w:val="185"/>
        </w:trPr>
        <w:tc>
          <w:tcPr>
            <w:tcW w:w="9356" w:type="dxa"/>
            <w:gridSpan w:val="3"/>
            <w:tcMar>
              <w:left w:w="0" w:type="dxa"/>
              <w:right w:w="0" w:type="dxa"/>
            </w:tcMar>
            <w:vAlign w:val="bottom"/>
          </w:tcPr>
          <w:p w14:paraId="463E7A77" w14:textId="05BD287D" w:rsidR="008B2CC1" w:rsidRPr="0090731E" w:rsidRDefault="00325114" w:rsidP="00840A2A">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B7DCF">
              <w:rPr>
                <w:rFonts w:ascii="Arial Black" w:hAnsi="Arial Black"/>
                <w:caps/>
                <w:sz w:val="15"/>
              </w:rPr>
              <w:t xml:space="preserve"> </w:t>
            </w:r>
            <w:r w:rsidR="00840A2A">
              <w:rPr>
                <w:rFonts w:ascii="Arial Black" w:hAnsi="Arial Black"/>
                <w:caps/>
                <w:sz w:val="15"/>
              </w:rPr>
              <w:t>NOVEMBER</w:t>
            </w:r>
            <w:r w:rsidR="00840A2A" w:rsidRPr="00244E30">
              <w:rPr>
                <w:rFonts w:ascii="Arial Black" w:hAnsi="Arial Black"/>
                <w:caps/>
                <w:sz w:val="15"/>
              </w:rPr>
              <w:t xml:space="preserve"> </w:t>
            </w:r>
            <w:r w:rsidR="00244E30" w:rsidRPr="00244E30">
              <w:rPr>
                <w:rFonts w:ascii="Arial Black" w:hAnsi="Arial Black"/>
                <w:caps/>
                <w:sz w:val="15"/>
              </w:rPr>
              <w:t>2</w:t>
            </w:r>
            <w:r w:rsidR="002742D4">
              <w:rPr>
                <w:rFonts w:ascii="Arial Black" w:hAnsi="Arial Black"/>
                <w:caps/>
                <w:sz w:val="15"/>
              </w:rPr>
              <w:t>5</w:t>
            </w:r>
            <w:r w:rsidR="00AB7DCF" w:rsidRPr="00244E30">
              <w:rPr>
                <w:rFonts w:ascii="Arial Black" w:hAnsi="Arial Black"/>
                <w:caps/>
                <w:sz w:val="15"/>
              </w:rPr>
              <w:t>,</w:t>
            </w:r>
            <w:r w:rsidR="00AB7DCF">
              <w:rPr>
                <w:rFonts w:ascii="Arial Black" w:hAnsi="Arial Black"/>
                <w:caps/>
                <w:sz w:val="15"/>
              </w:rPr>
              <w:t xml:space="preserve"> 202</w:t>
            </w:r>
            <w:r w:rsidR="000761DE">
              <w:rPr>
                <w:rFonts w:ascii="Arial Black" w:hAnsi="Arial Black"/>
                <w:caps/>
                <w:sz w:val="15"/>
              </w:rPr>
              <w:t>2</w:t>
            </w:r>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14:paraId="4F045015" w14:textId="77777777" w:rsidR="008B2CC1" w:rsidRPr="008B2CC1" w:rsidRDefault="008B2CC1" w:rsidP="008B2CC1"/>
    <w:p w14:paraId="73811C94" w14:textId="77777777" w:rsidR="008B2CC1" w:rsidRPr="008B2CC1" w:rsidRDefault="008B2CC1" w:rsidP="008B2CC1"/>
    <w:p w14:paraId="3B3249A2" w14:textId="77777777" w:rsidR="008B2CC1" w:rsidRPr="008B2CC1" w:rsidRDefault="008B2CC1" w:rsidP="008B2CC1"/>
    <w:p w14:paraId="133FAD09" w14:textId="77777777" w:rsidR="008B2CC1" w:rsidRPr="008B2CC1" w:rsidRDefault="008B2CC1" w:rsidP="008B2CC1"/>
    <w:p w14:paraId="6D9CD0E6" w14:textId="77777777" w:rsidR="00325114" w:rsidRPr="00325114" w:rsidRDefault="00325114" w:rsidP="00325114">
      <w:pPr>
        <w:pStyle w:val="Heading1"/>
        <w:spacing w:before="0" w:after="480"/>
        <w:rPr>
          <w:sz w:val="36"/>
          <w:szCs w:val="28"/>
        </w:rPr>
      </w:pPr>
      <w:bookmarkStart w:id="3" w:name="TitleOfDoc"/>
      <w:bookmarkStart w:id="4" w:name="_GoBack"/>
      <w:bookmarkEnd w:id="3"/>
      <w:bookmarkEnd w:id="4"/>
      <w:r w:rsidRPr="00325114">
        <w:rPr>
          <w:caps w:val="0"/>
          <w:sz w:val="28"/>
        </w:rPr>
        <w:t xml:space="preserve">Committee on WIPO Standards </w:t>
      </w:r>
      <w:r w:rsidRPr="00325114">
        <w:rPr>
          <w:sz w:val="28"/>
        </w:rPr>
        <w:t>(CWS)</w:t>
      </w:r>
    </w:p>
    <w:p w14:paraId="3406FF97" w14:textId="0B3B72DB" w:rsidR="00325114" w:rsidRPr="00846CF6" w:rsidRDefault="000761DE" w:rsidP="00325114">
      <w:pPr>
        <w:outlineLvl w:val="1"/>
        <w:rPr>
          <w:b/>
          <w:sz w:val="24"/>
          <w:szCs w:val="24"/>
        </w:rPr>
      </w:pPr>
      <w:r>
        <w:rPr>
          <w:b/>
          <w:sz w:val="24"/>
          <w:szCs w:val="24"/>
        </w:rPr>
        <w:t>Te</w:t>
      </w:r>
      <w:r w:rsidR="00325114" w:rsidRPr="00846CF6">
        <w:rPr>
          <w:b/>
          <w:sz w:val="24"/>
          <w:szCs w:val="24"/>
        </w:rPr>
        <w:t>nth Session</w:t>
      </w:r>
    </w:p>
    <w:p w14:paraId="0FF773EE" w14:textId="2ADC0899" w:rsidR="003E09B0" w:rsidRPr="00325114" w:rsidRDefault="00325114" w:rsidP="00325114">
      <w:pPr>
        <w:spacing w:after="720"/>
        <w:outlineLvl w:val="1"/>
        <w:rPr>
          <w:b/>
          <w:sz w:val="24"/>
          <w:szCs w:val="24"/>
        </w:rPr>
      </w:pPr>
      <w:r w:rsidRPr="00846CF6">
        <w:rPr>
          <w:b/>
          <w:sz w:val="24"/>
          <w:szCs w:val="24"/>
        </w:rPr>
        <w:t xml:space="preserve">Geneva, November </w:t>
      </w:r>
      <w:r w:rsidR="000761DE">
        <w:rPr>
          <w:b/>
          <w:sz w:val="24"/>
          <w:szCs w:val="24"/>
        </w:rPr>
        <w:t>2</w:t>
      </w:r>
      <w:r w:rsidRPr="00846CF6">
        <w:rPr>
          <w:b/>
          <w:sz w:val="24"/>
          <w:szCs w:val="24"/>
        </w:rPr>
        <w:t xml:space="preserve">1 to </w:t>
      </w:r>
      <w:r w:rsidR="000761DE">
        <w:rPr>
          <w:b/>
          <w:sz w:val="24"/>
          <w:szCs w:val="24"/>
        </w:rPr>
        <w:t>25, 2022</w:t>
      </w:r>
    </w:p>
    <w:p w14:paraId="3369F2B3" w14:textId="1E734419" w:rsidR="003E09B0" w:rsidRPr="003B2619" w:rsidRDefault="003E09B0" w:rsidP="003B2619">
      <w:pPr>
        <w:pStyle w:val="Heading2"/>
        <w:spacing w:after="360"/>
        <w:rPr>
          <w:sz w:val="24"/>
        </w:rPr>
      </w:pPr>
      <w:r w:rsidRPr="00325114">
        <w:rPr>
          <w:sz w:val="24"/>
        </w:rPr>
        <w:t>Proposal for the revision of WIPO Standard ST.26</w:t>
      </w:r>
    </w:p>
    <w:p w14:paraId="7FCA9663" w14:textId="782DB598" w:rsidR="00157468" w:rsidRPr="001D598D" w:rsidRDefault="003E09B0" w:rsidP="001D598D">
      <w:pPr>
        <w:spacing w:after="1040"/>
        <w:rPr>
          <w:i/>
        </w:rPr>
      </w:pPr>
      <w:r w:rsidRPr="003E09B0">
        <w:rPr>
          <w:i/>
        </w:rPr>
        <w:t>Document prepared by the International Bureau</w:t>
      </w:r>
    </w:p>
    <w:p w14:paraId="4BB56155" w14:textId="4884A9B8" w:rsidR="001A09F4" w:rsidRDefault="001A09F4" w:rsidP="00157468">
      <w:pPr>
        <w:pStyle w:val="Heading2"/>
      </w:pPr>
      <w:bookmarkStart w:id="5" w:name="Prepared"/>
      <w:bookmarkEnd w:id="5"/>
      <w:r>
        <w:t>Summary</w:t>
      </w:r>
    </w:p>
    <w:p w14:paraId="63AC8D7B" w14:textId="17362BA4" w:rsidR="006F0A27" w:rsidRPr="001A09F4" w:rsidRDefault="001A09F4" w:rsidP="001A09F4">
      <w:r>
        <w:fldChar w:fldCharType="begin"/>
      </w:r>
      <w:r>
        <w:instrText xml:space="preserve"> AUTONUM  </w:instrText>
      </w:r>
      <w:r>
        <w:fldChar w:fldCharType="end"/>
      </w:r>
      <w:r>
        <w:tab/>
      </w:r>
      <w:r w:rsidR="00864FF7">
        <w:t>The Sequence Li</w:t>
      </w:r>
      <w:r w:rsidR="006F0A27">
        <w:t>sting</w:t>
      </w:r>
      <w:r w:rsidR="00261DC6">
        <w:t>s</w:t>
      </w:r>
      <w:r w:rsidR="006F0A27">
        <w:t xml:space="preserve"> Task Force</w:t>
      </w:r>
      <w:r w:rsidR="00F0740C">
        <w:t xml:space="preserve"> (SEQL Task Force)</w:t>
      </w:r>
      <w:r w:rsidR="006F0A27">
        <w:t xml:space="preserve"> is proposing </w:t>
      </w:r>
      <w:r w:rsidR="00864FF7">
        <w:t xml:space="preserve">revisions to </w:t>
      </w:r>
      <w:r w:rsidR="005D01A2">
        <w:t xml:space="preserve">the current </w:t>
      </w:r>
      <w:r w:rsidR="00E83519">
        <w:t xml:space="preserve">version of </w:t>
      </w:r>
      <w:r w:rsidR="00864FF7">
        <w:t>WIPO Standard ST.26</w:t>
      </w:r>
      <w:r w:rsidR="00F0740C">
        <w:t xml:space="preserve"> to correct editorial mistakes noted </w:t>
      </w:r>
      <w:proofErr w:type="gramStart"/>
      <w:r w:rsidR="00F0740C">
        <w:t>by the Task Force and to include three new examples in Annex VI</w:t>
      </w:r>
      <w:proofErr w:type="gramEnd"/>
      <w:r w:rsidR="00864FF7">
        <w:t xml:space="preserve">.  </w:t>
      </w:r>
      <w:proofErr w:type="gramStart"/>
      <w:r w:rsidR="00A43A9C">
        <w:t>At the ninth session of the Committee on WIPO Standards (CWS), t</w:t>
      </w:r>
      <w:r w:rsidR="00864FF7">
        <w:t xml:space="preserve">he International Bureau noted the concerns of Offices regarding further revisions to WIPO ST.26 and </w:t>
      </w:r>
      <w:r w:rsidR="006F0A27">
        <w:t>has provided guidance on how to manage these changes.</w:t>
      </w:r>
      <w:proofErr w:type="gramEnd"/>
      <w:r w:rsidR="006F0A27">
        <w:t xml:space="preserve"> </w:t>
      </w:r>
    </w:p>
    <w:p w14:paraId="6512B1B1" w14:textId="3C307890" w:rsidR="00157468" w:rsidRDefault="00111241" w:rsidP="00157468">
      <w:pPr>
        <w:pStyle w:val="Heading2"/>
      </w:pPr>
      <w:r>
        <w:t>Background</w:t>
      </w:r>
    </w:p>
    <w:p w14:paraId="6A8216F8" w14:textId="76AED29F" w:rsidR="00111241" w:rsidRDefault="00157468" w:rsidP="00111241">
      <w:pPr>
        <w:spacing w:after="220"/>
      </w:pPr>
      <w:r>
        <w:fldChar w:fldCharType="begin"/>
      </w:r>
      <w:r>
        <w:instrText xml:space="preserve"> AUTONUM  </w:instrText>
      </w:r>
      <w:r>
        <w:fldChar w:fldCharType="end"/>
      </w:r>
      <w:r>
        <w:tab/>
        <w:t xml:space="preserve">At its reconvened </w:t>
      </w:r>
      <w:r w:rsidR="00663D77">
        <w:t>fourth</w:t>
      </w:r>
      <w:r>
        <w:t xml:space="preserve"> session, held in </w:t>
      </w:r>
      <w:r w:rsidR="00663D77">
        <w:t xml:space="preserve">March </w:t>
      </w:r>
      <w:r>
        <w:t xml:space="preserve">2016, the </w:t>
      </w:r>
      <w:r w:rsidR="005D01A2">
        <w:t>CWS</w:t>
      </w:r>
      <w:r w:rsidR="00A43A9C">
        <w:t xml:space="preserve"> </w:t>
      </w:r>
      <w:r>
        <w:t>adopted WIPO Standard ST.26</w:t>
      </w:r>
      <w:r w:rsidR="00663D77">
        <w:t xml:space="preserve"> (see paragraph 52 of document CWS/4BIS/16), entitled “Recommended standard for the presentation of nucleotide and amino acid sequence listings using XML (</w:t>
      </w:r>
      <w:proofErr w:type="spellStart"/>
      <w:r w:rsidR="00663D77">
        <w:t>eXtensible</w:t>
      </w:r>
      <w:proofErr w:type="spellEnd"/>
      <w:r w:rsidR="00663D77">
        <w:t xml:space="preserve"> Markup Language)”</w:t>
      </w:r>
      <w:r>
        <w:t xml:space="preserve">. </w:t>
      </w:r>
      <w:r w:rsidR="00663D77">
        <w:t xml:space="preserve"> </w:t>
      </w:r>
      <w:r w:rsidR="00111241">
        <w:t xml:space="preserve">The </w:t>
      </w:r>
      <w:r w:rsidR="00F0740C">
        <w:t>SEQL</w:t>
      </w:r>
      <w:r w:rsidR="00111241">
        <w:t xml:space="preserve"> Task Force is responsible for amendments to WIPO ST.26, under the framework of Task No.44 whose description reads:</w:t>
      </w:r>
    </w:p>
    <w:p w14:paraId="1625CD0F" w14:textId="6046129B" w:rsidR="00111241" w:rsidRPr="00111241" w:rsidRDefault="00111241" w:rsidP="003B2619">
      <w:pPr>
        <w:spacing w:after="220"/>
        <w:rPr>
          <w:i/>
        </w:rPr>
      </w:pPr>
      <w:r>
        <w:tab/>
      </w:r>
      <w:r w:rsidRPr="00157468">
        <w:rPr>
          <w:i/>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6D428720" w14:textId="0F853612" w:rsidR="00157468" w:rsidRDefault="00663D77" w:rsidP="00325114">
      <w:pPr>
        <w:spacing w:after="220"/>
      </w:pPr>
      <w:r>
        <w:fldChar w:fldCharType="begin"/>
      </w:r>
      <w:r>
        <w:instrText xml:space="preserve"> AUTONUM  </w:instrText>
      </w:r>
      <w:r>
        <w:fldChar w:fldCharType="end"/>
      </w:r>
      <w:r>
        <w:tab/>
      </w:r>
      <w:r w:rsidR="00111241">
        <w:t>Revisions</w:t>
      </w:r>
      <w:r w:rsidR="00157468">
        <w:t xml:space="preserve"> to WIP</w:t>
      </w:r>
      <w:r w:rsidR="001A09F4">
        <w:t xml:space="preserve">O </w:t>
      </w:r>
      <w:r w:rsidR="00025F44">
        <w:t>ST.26</w:t>
      </w:r>
      <w:r w:rsidR="001A09F4">
        <w:t xml:space="preserve"> </w:t>
      </w:r>
      <w:r w:rsidR="00157468">
        <w:t xml:space="preserve">were approved by the CWS at </w:t>
      </w:r>
      <w:r w:rsidR="00160A5B">
        <w:t>its</w:t>
      </w:r>
      <w:r w:rsidR="001A09F4">
        <w:t xml:space="preserve"> fifth,</w:t>
      </w:r>
      <w:r w:rsidR="00157468">
        <w:t xml:space="preserve"> sixth</w:t>
      </w:r>
      <w:r w:rsidR="001A09F4">
        <w:t>, seventh and eighth</w:t>
      </w:r>
      <w:r w:rsidR="00157468">
        <w:t xml:space="preserve"> sessions, </w:t>
      </w:r>
      <w:r w:rsidR="007E353F">
        <w:t>resulting in</w:t>
      </w:r>
      <w:r w:rsidR="00025F44">
        <w:t xml:space="preserve"> versions 1.1, 1.2, 1.3 and 1.4 </w:t>
      </w:r>
      <w:r w:rsidR="00157468">
        <w:t>respectively (see paragr</w:t>
      </w:r>
      <w:r w:rsidR="00025F44">
        <w:t>aph 41 of document CWS/5/22,</w:t>
      </w:r>
      <w:r w:rsidR="00157468">
        <w:t xml:space="preserve"> paragraph 112 of document CWS/6/34</w:t>
      </w:r>
      <w:r w:rsidR="00111241">
        <w:t>, paragraph 133 of document CWS/7/29 and paragraph 49 of document CWS/8/24</w:t>
      </w:r>
      <w:r w:rsidR="00157468">
        <w:t xml:space="preserve">).  Most recently at its </w:t>
      </w:r>
      <w:r w:rsidR="001A09F4">
        <w:t>ninth</w:t>
      </w:r>
      <w:r w:rsidR="00157468">
        <w:t xml:space="preserve"> session, held in </w:t>
      </w:r>
      <w:r w:rsidR="001A09F4">
        <w:t>November 2021</w:t>
      </w:r>
      <w:r w:rsidR="00157468">
        <w:t xml:space="preserve">, </w:t>
      </w:r>
      <w:r>
        <w:t>several editorial and substantial revisions were approved by the CWS and published as the most recent ve</w:t>
      </w:r>
      <w:r w:rsidR="001A09F4">
        <w:t>rsion of WIPO ST.26, version 1.5</w:t>
      </w:r>
      <w:r>
        <w:t xml:space="preserve"> (</w:t>
      </w:r>
      <w:r w:rsidR="007E353F">
        <w:t>see paragraph 63 of document CWS/9/25</w:t>
      </w:r>
      <w:r>
        <w:t xml:space="preserve">). </w:t>
      </w:r>
      <w:r w:rsidR="00C12296">
        <w:t xml:space="preserve"> This included changes to maintain alliance with the</w:t>
      </w:r>
      <w:r w:rsidR="00013666">
        <w:t xml:space="preserve"> International Nucleotide Sequence Database Collection</w:t>
      </w:r>
      <w:r w:rsidR="00C12296">
        <w:t xml:space="preserve"> </w:t>
      </w:r>
      <w:r w:rsidR="00013666">
        <w:t>(</w:t>
      </w:r>
      <w:r w:rsidR="00C12296">
        <w:t>INSDC</w:t>
      </w:r>
      <w:r w:rsidR="00013666">
        <w:t>)</w:t>
      </w:r>
      <w:r w:rsidR="00C12296">
        <w:t xml:space="preserve"> requirements. </w:t>
      </w:r>
    </w:p>
    <w:p w14:paraId="592C18CB" w14:textId="3F3D885B" w:rsidR="001D598D" w:rsidRDefault="00025F44" w:rsidP="003B2619">
      <w:pPr>
        <w:spacing w:after="220"/>
      </w:pPr>
      <w:r>
        <w:lastRenderedPageBreak/>
        <w:fldChar w:fldCharType="begin"/>
      </w:r>
      <w:r>
        <w:instrText xml:space="preserve"> AUTONUM  </w:instrText>
      </w:r>
      <w:r>
        <w:fldChar w:fldCharType="end"/>
      </w:r>
      <w:r>
        <w:tab/>
        <w:t xml:space="preserve">During the ninth session, concerns were expressed by delegations regarding the potential impacts of revisions to WIPO ST.26 after all Member States had </w:t>
      </w:r>
      <w:r w:rsidR="00200D79">
        <w:t>implemented WIPO ST.26</w:t>
      </w:r>
      <w:r w:rsidR="00DD0F16">
        <w:t>,</w:t>
      </w:r>
      <w:r w:rsidR="00200D79">
        <w:t xml:space="preserve"> in case </w:t>
      </w:r>
      <w:r w:rsidR="00DD0F16">
        <w:t xml:space="preserve">their </w:t>
      </w:r>
      <w:r w:rsidR="00200D79">
        <w:t>I</w:t>
      </w:r>
      <w:r w:rsidR="00DD0F16">
        <w:t>T systems required retooling for instance</w:t>
      </w:r>
      <w:r w:rsidR="00EE1006">
        <w:t xml:space="preserve"> (see paragraph 62 of document CWS/9/25)</w:t>
      </w:r>
      <w:r w:rsidR="00200D79">
        <w:t xml:space="preserve">.  The International Bureau indicated that they would provide guidance on this in the tenth session. </w:t>
      </w:r>
    </w:p>
    <w:p w14:paraId="44E88A6D" w14:textId="676AD94C" w:rsidR="00BF7409" w:rsidRPr="00864FF7" w:rsidRDefault="00BF33EB" w:rsidP="003B2619">
      <w:r>
        <w:fldChar w:fldCharType="begin"/>
      </w:r>
      <w:r>
        <w:instrText xml:space="preserve"> AUTONUM  </w:instrText>
      </w:r>
      <w:r>
        <w:fldChar w:fldCharType="end"/>
      </w:r>
      <w:r>
        <w:tab/>
        <w:t xml:space="preserve">Several editorial changes were made to Annex VI and the Appendix to Annex VII after it was noted that there were several referencing errors for the SEQ IDs and incorrect feature locations provided after the revision made at the ninth session.  These amendments were made and published in May 2022. </w:t>
      </w:r>
    </w:p>
    <w:p w14:paraId="0457D827" w14:textId="77777777" w:rsidR="00AB7DCF" w:rsidRPr="00622D39" w:rsidRDefault="00F3242B" w:rsidP="00157468">
      <w:pPr>
        <w:pStyle w:val="Heading2"/>
      </w:pPr>
      <w:r>
        <w:t>Proposed Revision of</w:t>
      </w:r>
      <w:r w:rsidR="00AB7DCF" w:rsidRPr="00E5628C">
        <w:t xml:space="preserve"> WIPO </w:t>
      </w:r>
      <w:r w:rsidR="00AB7DCF">
        <w:t xml:space="preserve">Standard </w:t>
      </w:r>
      <w:r w:rsidR="00AB7DCF" w:rsidRPr="00E5628C">
        <w:t>ST.26</w:t>
      </w:r>
    </w:p>
    <w:p w14:paraId="1ECEED47" w14:textId="4698A1A5" w:rsidR="00791E50" w:rsidRDefault="00AB7DCF" w:rsidP="00325114">
      <w:pPr>
        <w:spacing w:after="220"/>
      </w:pPr>
      <w:r>
        <w:fldChar w:fldCharType="begin"/>
      </w:r>
      <w:r>
        <w:instrText xml:space="preserve"> AUTONUM  </w:instrText>
      </w:r>
      <w:r>
        <w:fldChar w:fldCharType="end"/>
      </w:r>
      <w:r>
        <w:tab/>
      </w:r>
      <w:r w:rsidR="00160A5B">
        <w:t>T</w:t>
      </w:r>
      <w:r>
        <w:t xml:space="preserve">he </w:t>
      </w:r>
      <w:r w:rsidR="00F0740C">
        <w:t>SEQL</w:t>
      </w:r>
      <w:r>
        <w:t xml:space="preserve"> Task Force has prepared a proposal for revision to WIPO ST.26</w:t>
      </w:r>
      <w:r w:rsidR="00F3242B">
        <w:t xml:space="preserve"> for consideration and where appropriate approval by the CWS</w:t>
      </w:r>
      <w:r>
        <w:t xml:space="preserve">.  </w:t>
      </w:r>
      <w:r w:rsidR="00976443">
        <w:t xml:space="preserve">Where indicated strikethrough text indicates a change and bold text indicates an addition.  </w:t>
      </w:r>
    </w:p>
    <w:p w14:paraId="03717A63" w14:textId="438604EE" w:rsidR="003425DF" w:rsidRDefault="00F3242B" w:rsidP="00565172">
      <w:pPr>
        <w:spacing w:after="220"/>
      </w:pPr>
      <w:r>
        <w:fldChar w:fldCharType="begin"/>
      </w:r>
      <w:r>
        <w:instrText xml:space="preserve"> AUTONUM  </w:instrText>
      </w:r>
      <w:r>
        <w:fldChar w:fldCharType="end"/>
      </w:r>
      <w:r>
        <w:tab/>
      </w:r>
      <w:r w:rsidR="00AB7DCF">
        <w:t xml:space="preserve">The </w:t>
      </w:r>
      <w:r>
        <w:t>proposed change</w:t>
      </w:r>
      <w:r w:rsidR="00663C3E">
        <w:t>s</w:t>
      </w:r>
      <w:r>
        <w:t xml:space="preserve"> to the Main Body of WIPO Standard ST.26 can be summarized as follows:</w:t>
      </w:r>
    </w:p>
    <w:p w14:paraId="5A7C1078" w14:textId="01796891" w:rsidR="009F64EA" w:rsidRDefault="0030500E" w:rsidP="005F7121">
      <w:pPr>
        <w:pStyle w:val="ONUME"/>
        <w:keepNext/>
        <w:numPr>
          <w:ilvl w:val="0"/>
          <w:numId w:val="7"/>
        </w:numPr>
        <w:tabs>
          <w:tab w:val="left" w:pos="1170"/>
        </w:tabs>
        <w:spacing w:after="120"/>
      </w:pPr>
      <w:r>
        <w:t>Replace the first sentence of the</w:t>
      </w:r>
      <w:r w:rsidR="009F64EA">
        <w:t xml:space="preserve"> editorial note</w:t>
      </w:r>
      <w:r>
        <w:t xml:space="preserve"> to the following</w:t>
      </w:r>
      <w:r w:rsidR="009F64EA">
        <w:t xml:space="preserve"> regarding the entry into force</w:t>
      </w:r>
      <w:r>
        <w:t xml:space="preserve"> for the new version of the Standard, version 1.6</w:t>
      </w:r>
      <w:r w:rsidR="009F64EA">
        <w:t>:</w:t>
      </w:r>
    </w:p>
    <w:p w14:paraId="22B0B12C" w14:textId="1DF761A0" w:rsidR="009F64EA" w:rsidRPr="00D52A13" w:rsidRDefault="009F64EA" w:rsidP="00D52A13">
      <w:pPr>
        <w:pStyle w:val="ONUME"/>
        <w:keepNext/>
        <w:tabs>
          <w:tab w:val="left" w:pos="1170"/>
        </w:tabs>
        <w:spacing w:after="120"/>
        <w:ind w:left="360"/>
        <w:rPr>
          <w:i/>
        </w:rPr>
      </w:pPr>
      <w:r w:rsidRPr="00D52A13">
        <w:rPr>
          <w:i/>
        </w:rPr>
        <w:t xml:space="preserve">The Tenth Session of the Committee on WIPO Standards decided that version 1.6 of WIPO Standard ST.26 </w:t>
      </w:r>
      <w:proofErr w:type="gramStart"/>
      <w:r w:rsidRPr="00D52A13">
        <w:rPr>
          <w:i/>
        </w:rPr>
        <w:t>will</w:t>
      </w:r>
      <w:proofErr w:type="gramEnd"/>
      <w:r w:rsidRPr="00D52A13">
        <w:rPr>
          <w:i/>
        </w:rPr>
        <w:t xml:space="preserve"> enter into force on July 1, 2023. Meanwhile, version 1.5 of Standard ST</w:t>
      </w:r>
      <w:r w:rsidRPr="009F64EA">
        <w:rPr>
          <w:i/>
        </w:rPr>
        <w:t>.26 should continue to be used</w:t>
      </w:r>
      <w:proofErr w:type="gramStart"/>
      <w:r w:rsidRPr="009F64EA">
        <w:rPr>
          <w:i/>
        </w:rPr>
        <w:t>.;</w:t>
      </w:r>
      <w:proofErr w:type="gramEnd"/>
    </w:p>
    <w:p w14:paraId="6AC977CF" w14:textId="06A8F077" w:rsidR="005F7121" w:rsidRDefault="005F7121" w:rsidP="005F7121">
      <w:pPr>
        <w:pStyle w:val="ONUME"/>
        <w:keepNext/>
        <w:numPr>
          <w:ilvl w:val="0"/>
          <w:numId w:val="7"/>
        </w:numPr>
        <w:tabs>
          <w:tab w:val="left" w:pos="1170"/>
        </w:tabs>
        <w:spacing w:after="120"/>
      </w:pPr>
      <w:r>
        <w:t xml:space="preserve">Update paragraph 44 to improve the filename value provided such that it includes '-' in place of '_': </w:t>
      </w:r>
      <w:r w:rsidRPr="005F7121">
        <w:rPr>
          <w:i/>
        </w:rPr>
        <w:t>filename="US11-405455-SEQL.xml"</w:t>
      </w:r>
      <w:r w:rsidR="00431C25">
        <w:rPr>
          <w:i/>
        </w:rPr>
        <w:t xml:space="preserve"> considering</w:t>
      </w:r>
      <w:r w:rsidR="00F0740C">
        <w:rPr>
          <w:i/>
        </w:rPr>
        <w:t xml:space="preserve"> that</w:t>
      </w:r>
      <w:r w:rsidR="00431C25">
        <w:rPr>
          <w:i/>
        </w:rPr>
        <w:t xml:space="preserve"> some IPOs do not allow the underscore </w:t>
      </w:r>
      <w:r w:rsidR="00431C25">
        <w:t xml:space="preserve"> '_'</w:t>
      </w:r>
      <w:r w:rsidR="00431C25">
        <w:rPr>
          <w:i/>
        </w:rPr>
        <w:t xml:space="preserve"> </w:t>
      </w:r>
      <w:r w:rsidR="00F0740C">
        <w:rPr>
          <w:i/>
        </w:rPr>
        <w:t>within</w:t>
      </w:r>
      <w:r w:rsidR="007D45BD">
        <w:rPr>
          <w:i/>
        </w:rPr>
        <w:t xml:space="preserve"> </w:t>
      </w:r>
      <w:r w:rsidR="00F0740C">
        <w:rPr>
          <w:i/>
        </w:rPr>
        <w:t>the</w:t>
      </w:r>
      <w:r w:rsidR="007D45BD">
        <w:rPr>
          <w:i/>
        </w:rPr>
        <w:t xml:space="preserve"> filename</w:t>
      </w:r>
      <w:r w:rsidR="00F0740C">
        <w:rPr>
          <w:i/>
        </w:rPr>
        <w:t xml:space="preserve"> of submitted electronic files</w:t>
      </w:r>
      <w:r>
        <w:t>;</w:t>
      </w:r>
    </w:p>
    <w:p w14:paraId="3551BB04" w14:textId="06EA6FA3" w:rsidR="00CE6C7C" w:rsidRDefault="00A67A7A" w:rsidP="00024553">
      <w:pPr>
        <w:pStyle w:val="ONUME"/>
        <w:keepNext/>
        <w:numPr>
          <w:ilvl w:val="0"/>
          <w:numId w:val="7"/>
        </w:numPr>
        <w:tabs>
          <w:tab w:val="left" w:pos="1170"/>
        </w:tabs>
        <w:spacing w:after="120"/>
      </w:pPr>
      <w:r>
        <w:t xml:space="preserve">Update paragraph 45 to improve the definition of </w:t>
      </w:r>
      <w:proofErr w:type="spellStart"/>
      <w:r w:rsidR="00797A6A">
        <w:t>ApplicationNumberText</w:t>
      </w:r>
      <w:proofErr w:type="spellEnd"/>
      <w:r w:rsidR="00797A6A">
        <w:t xml:space="preserve"> to read: '</w:t>
      </w:r>
      <w:r w:rsidR="00024553" w:rsidRPr="00024553">
        <w:rPr>
          <w:i/>
        </w:rPr>
        <w:t>The application number as p</w:t>
      </w:r>
      <w:r w:rsidR="00CE6C7C">
        <w:rPr>
          <w:i/>
        </w:rPr>
        <w:t xml:space="preserve">rovided by the office of filing </w:t>
      </w:r>
      <w:r w:rsidR="00CE6C7C" w:rsidRPr="00CE6C7C">
        <w:rPr>
          <w:i/>
        </w:rPr>
        <w:t>(e.g., PCT/IB2013/099999).</w:t>
      </w:r>
      <w:proofErr w:type="gramStart"/>
      <w:r w:rsidR="00797A6A">
        <w:t>'</w:t>
      </w:r>
      <w:r>
        <w:t>;</w:t>
      </w:r>
      <w:proofErr w:type="gramEnd"/>
    </w:p>
    <w:p w14:paraId="18956E33" w14:textId="121F023B" w:rsidR="00C35A7F" w:rsidRPr="00D52A13" w:rsidRDefault="00CE6C7C" w:rsidP="00024553">
      <w:pPr>
        <w:pStyle w:val="ONUME"/>
        <w:keepNext/>
        <w:numPr>
          <w:ilvl w:val="0"/>
          <w:numId w:val="7"/>
        </w:numPr>
        <w:tabs>
          <w:tab w:val="left" w:pos="1170"/>
        </w:tabs>
        <w:spacing w:after="120"/>
      </w:pPr>
      <w:r>
        <w:t>Update paragraph 73 to ensure consistency with the description of Section 6 by including the following phrase in the second half of the first sentence</w:t>
      </w:r>
      <w:r w:rsidR="00797A6A">
        <w:rPr>
          <w:szCs w:val="22"/>
        </w:rPr>
        <w:t>: '</w:t>
      </w:r>
      <w:r w:rsidRPr="00C35A7F">
        <w:rPr>
          <w:i/>
          <w:szCs w:val="22"/>
        </w:rPr>
        <w:t>S</w:t>
      </w:r>
      <w:r w:rsidRPr="00C35A7F">
        <w:rPr>
          <w:i/>
          <w:szCs w:val="22"/>
          <w:shd w:val="clear" w:color="auto" w:fill="FFFFFF"/>
        </w:rPr>
        <w:t>ection 8 provides the exclusive listing of qualifiers, </w:t>
      </w:r>
      <w:r w:rsidRPr="00C35A7F">
        <w:rPr>
          <w:b/>
          <w:i/>
          <w:szCs w:val="22"/>
          <w:shd w:val="clear" w:color="auto" w:fill="FFFFFF"/>
        </w:rPr>
        <w:t>and their specified value formats, if any,</w:t>
      </w:r>
      <w:r w:rsidRPr="00C35A7F">
        <w:rPr>
          <w:i/>
          <w:szCs w:val="22"/>
          <w:shd w:val="clear" w:color="auto" w:fill="FFFFFF"/>
        </w:rPr>
        <w:t> for each amino acid sequence feature key.</w:t>
      </w:r>
      <w:r w:rsidR="00797A6A">
        <w:rPr>
          <w:szCs w:val="22"/>
          <w:shd w:val="clear" w:color="auto" w:fill="FFFFFF"/>
        </w:rPr>
        <w:t>'</w:t>
      </w:r>
      <w:r w:rsidR="00C35A7F">
        <w:rPr>
          <w:szCs w:val="22"/>
          <w:shd w:val="clear" w:color="auto" w:fill="FFFFFF"/>
        </w:rPr>
        <w:t>;</w:t>
      </w:r>
    </w:p>
    <w:p w14:paraId="4AA553D2" w14:textId="7CBF688E" w:rsidR="009F64EA" w:rsidRPr="00742BEA" w:rsidRDefault="009F64EA" w:rsidP="00024553">
      <w:pPr>
        <w:pStyle w:val="ONUME"/>
        <w:keepNext/>
        <w:numPr>
          <w:ilvl w:val="0"/>
          <w:numId w:val="7"/>
        </w:numPr>
        <w:tabs>
          <w:tab w:val="left" w:pos="1170"/>
        </w:tabs>
        <w:spacing w:after="120"/>
      </w:pPr>
      <w:r>
        <w:rPr>
          <w:szCs w:val="22"/>
          <w:shd w:val="clear" w:color="auto" w:fill="FFFFFF"/>
        </w:rPr>
        <w:t xml:space="preserve">Update paragraph 76, to indicate that there is a definition provided for 'and one </w:t>
      </w:r>
      <w:r w:rsidR="002742D4">
        <w:rPr>
          <w:szCs w:val="22"/>
          <w:shd w:val="clear" w:color="auto" w:fill="FFFFFF"/>
        </w:rPr>
        <w:t xml:space="preserve">optional </w:t>
      </w:r>
      <w:r>
        <w:rPr>
          <w:szCs w:val="22"/>
          <w:shd w:val="clear" w:color="auto" w:fill="FFFFFF"/>
        </w:rPr>
        <w:t xml:space="preserve">attribute'; </w:t>
      </w:r>
    </w:p>
    <w:p w14:paraId="40E108D3" w14:textId="257D0CAA" w:rsidR="003B2619" w:rsidRPr="000064DB" w:rsidRDefault="00A67A7A" w:rsidP="009F64EA">
      <w:pPr>
        <w:pStyle w:val="ONUME"/>
        <w:keepNext/>
        <w:numPr>
          <w:ilvl w:val="0"/>
          <w:numId w:val="7"/>
        </w:numPr>
        <w:tabs>
          <w:tab w:val="left" w:pos="1170"/>
        </w:tabs>
        <w:spacing w:after="120"/>
        <w:rPr>
          <w:szCs w:val="22"/>
        </w:rPr>
      </w:pPr>
      <w:r>
        <w:t xml:space="preserve">Update paragraph 76 to provide a new definition of the 'id' attribute that is provided for language dependent free text qualifiers </w:t>
      </w:r>
      <w:r w:rsidR="00192799">
        <w:t>as part of new fo</w:t>
      </w:r>
      <w:r w:rsidR="009A7661">
        <w:t>u</w:t>
      </w:r>
      <w:r w:rsidR="00192799">
        <w:t>rth row of the included table.</w:t>
      </w:r>
      <w:r>
        <w:t xml:space="preserve">  The description reads as </w:t>
      </w:r>
      <w:proofErr w:type="gramStart"/>
      <w:r>
        <w:t>follows:</w:t>
      </w:r>
      <w:proofErr w:type="gramEnd"/>
      <w:r>
        <w:t xml:space="preserve"> </w:t>
      </w:r>
      <w:r w:rsidR="009F64EA" w:rsidRPr="009F64EA">
        <w:rPr>
          <w:i/>
          <w:szCs w:val="22"/>
        </w:rPr>
        <w:t xml:space="preserve">A qualifier with language-dependent free text value may be uniquely identified by using the optional XML attribute 'id' in the element </w:t>
      </w:r>
      <w:proofErr w:type="spellStart"/>
      <w:r w:rsidR="009F64EA" w:rsidRPr="009F64EA">
        <w:rPr>
          <w:i/>
          <w:szCs w:val="22"/>
        </w:rPr>
        <w:t>INSDQualifier</w:t>
      </w:r>
      <w:proofErr w:type="spellEnd"/>
      <w:r w:rsidR="009F64EA" w:rsidRPr="009F64EA">
        <w:rPr>
          <w:i/>
          <w:szCs w:val="22"/>
        </w:rPr>
        <w:t xml:space="preserve"> (see paragraph 87(d)). The value of the 'id' attribute must start with the letter 'q' and continue with any positive integer. The value of an 'id' attribute must be unique to one </w:t>
      </w:r>
      <w:proofErr w:type="spellStart"/>
      <w:r w:rsidR="009F64EA" w:rsidRPr="009F64EA">
        <w:rPr>
          <w:i/>
          <w:szCs w:val="22"/>
        </w:rPr>
        <w:t>INSDQualifier</w:t>
      </w:r>
      <w:proofErr w:type="spellEnd"/>
      <w:r w:rsidR="009F64EA" w:rsidRPr="009F64EA">
        <w:rPr>
          <w:i/>
          <w:szCs w:val="22"/>
        </w:rPr>
        <w:t xml:space="preserve"> element, i.e. the attribute value must only be used once in a sequence listing file</w:t>
      </w:r>
      <w:r w:rsidRPr="00A67A7A">
        <w:rPr>
          <w:szCs w:val="22"/>
          <w:shd w:val="clear" w:color="auto" w:fill="FFFFFF"/>
        </w:rPr>
        <w:t>'</w:t>
      </w:r>
      <w:r w:rsidR="000064DB">
        <w:rPr>
          <w:szCs w:val="22"/>
          <w:shd w:val="clear" w:color="auto" w:fill="FFFFFF"/>
        </w:rPr>
        <w:t xml:space="preserve">; </w:t>
      </w:r>
    </w:p>
    <w:p w14:paraId="3317928B" w14:textId="2FDCA6EB" w:rsidR="000064DB" w:rsidRDefault="000064DB" w:rsidP="000064DB">
      <w:pPr>
        <w:pStyle w:val="ONUME"/>
        <w:keepNext/>
        <w:numPr>
          <w:ilvl w:val="0"/>
          <w:numId w:val="7"/>
        </w:numPr>
        <w:tabs>
          <w:tab w:val="left" w:pos="1170"/>
        </w:tabs>
        <w:spacing w:after="120"/>
      </w:pPr>
      <w:r>
        <w:t xml:space="preserve">Update paragraph 77 to </w:t>
      </w:r>
      <w:r w:rsidRPr="00976443">
        <w:t xml:space="preserve">include a space </w:t>
      </w:r>
      <w:r>
        <w:t xml:space="preserve">and a " </w:t>
      </w:r>
      <w:r w:rsidRPr="00976443">
        <w:t>between 'organism</w:t>
      </w:r>
      <w:r w:rsidR="00797A6A">
        <w:t>' and 'for' in the first line: '</w:t>
      </w:r>
      <w:r w:rsidRPr="00976443">
        <w:t>...</w:t>
      </w:r>
      <w:r w:rsidRPr="00976443">
        <w:rPr>
          <w:i/>
        </w:rPr>
        <w:t>and “organism</w:t>
      </w:r>
      <w:r w:rsidR="00797A6A" w:rsidRPr="00797A6A">
        <w:rPr>
          <w:b/>
          <w:i/>
        </w:rPr>
        <w:t xml:space="preserve">" </w:t>
      </w:r>
      <w:r w:rsidRPr="00976443">
        <w:rPr>
          <w:i/>
        </w:rPr>
        <w:t>for amino acid sequences</w:t>
      </w:r>
      <w:r w:rsidR="00797A6A">
        <w:t>...</w:t>
      </w:r>
      <w:proofErr w:type="gramStart"/>
      <w:r w:rsidR="00797A6A">
        <w:t>'</w:t>
      </w:r>
      <w:r>
        <w:t>;</w:t>
      </w:r>
      <w:proofErr w:type="gramEnd"/>
      <w:r>
        <w:t xml:space="preserve"> </w:t>
      </w:r>
    </w:p>
    <w:p w14:paraId="3EFC5386" w14:textId="36B81E7E" w:rsidR="005F7121" w:rsidRPr="00D52A13" w:rsidRDefault="005F7121" w:rsidP="005F7121">
      <w:pPr>
        <w:pStyle w:val="ONUME"/>
        <w:keepNext/>
        <w:numPr>
          <w:ilvl w:val="0"/>
          <w:numId w:val="7"/>
        </w:numPr>
        <w:tabs>
          <w:tab w:val="left" w:pos="1170"/>
        </w:tabs>
        <w:spacing w:after="120"/>
      </w:pPr>
      <w:r>
        <w:rPr>
          <w:szCs w:val="22"/>
          <w:shd w:val="clear" w:color="auto" w:fill="FFFFFF"/>
        </w:rPr>
        <w:t>Update paragraph 79, example 2: remove the space before '</w:t>
      </w:r>
      <w:proofErr w:type="spellStart"/>
      <w:r>
        <w:rPr>
          <w:szCs w:val="22"/>
          <w:shd w:val="clear" w:color="auto" w:fill="FFFFFF"/>
        </w:rPr>
        <w:t>mol_type</w:t>
      </w:r>
      <w:proofErr w:type="spellEnd"/>
      <w:r>
        <w:rPr>
          <w:szCs w:val="22"/>
          <w:shd w:val="clear" w:color="auto" w:fill="FFFFFF"/>
        </w:rPr>
        <w:t>';</w:t>
      </w:r>
    </w:p>
    <w:p w14:paraId="50769DF1" w14:textId="5C692BA0" w:rsidR="009F64EA" w:rsidRPr="000064DB" w:rsidRDefault="009F64EA" w:rsidP="005F7121">
      <w:pPr>
        <w:pStyle w:val="ONUME"/>
        <w:keepNext/>
        <w:numPr>
          <w:ilvl w:val="0"/>
          <w:numId w:val="7"/>
        </w:numPr>
        <w:tabs>
          <w:tab w:val="left" w:pos="1170"/>
        </w:tabs>
        <w:spacing w:after="120"/>
      </w:pPr>
      <w:r>
        <w:rPr>
          <w:szCs w:val="22"/>
          <w:shd w:val="clear" w:color="auto" w:fill="FFFFFF"/>
        </w:rPr>
        <w:t>Update paragraph 83, in the example, to remove the space before '</w:t>
      </w:r>
      <w:proofErr w:type="spellStart"/>
      <w:r>
        <w:rPr>
          <w:szCs w:val="22"/>
          <w:shd w:val="clear" w:color="auto" w:fill="FFFFFF"/>
        </w:rPr>
        <w:t>mol_type</w:t>
      </w:r>
      <w:proofErr w:type="spellEnd"/>
      <w:r>
        <w:rPr>
          <w:szCs w:val="22"/>
          <w:shd w:val="clear" w:color="auto" w:fill="FFFFFF"/>
        </w:rPr>
        <w:t>';</w:t>
      </w:r>
    </w:p>
    <w:p w14:paraId="016E823A" w14:textId="4CF715C9" w:rsidR="000064DB" w:rsidRDefault="000064DB" w:rsidP="000064DB">
      <w:pPr>
        <w:pStyle w:val="ONUME"/>
        <w:keepNext/>
        <w:numPr>
          <w:ilvl w:val="0"/>
          <w:numId w:val="7"/>
        </w:numPr>
        <w:tabs>
          <w:tab w:val="left" w:pos="1170"/>
        </w:tabs>
        <w:spacing w:after="120"/>
      </w:pPr>
      <w:r>
        <w:t xml:space="preserve">Update paragraph 86 to </w:t>
      </w:r>
      <w:proofErr w:type="gramStart"/>
      <w:r>
        <w:t>read:</w:t>
      </w:r>
      <w:proofErr w:type="gramEnd"/>
      <w:r>
        <w:t xml:space="preserve"> </w:t>
      </w:r>
      <w:r w:rsidRPr="00192799">
        <w:rPr>
          <w:i/>
        </w:rPr>
        <w:t xml:space="preserve">'The use of free text must be limited to a few short terms indispensable for the understanding of a characteristic of the sequence.  For each qualifier </w:t>
      </w:r>
      <w:r w:rsidRPr="00192799">
        <w:rPr>
          <w:b/>
          <w:i/>
        </w:rPr>
        <w:t>other than the "translation" qualifier</w:t>
      </w:r>
      <w:r w:rsidRPr="00192799">
        <w:rPr>
          <w:i/>
        </w:rPr>
        <w:t xml:space="preserve">, the free text must not exceed 1000 </w:t>
      </w:r>
      <w:proofErr w:type="gramStart"/>
      <w:r w:rsidRPr="00192799">
        <w:rPr>
          <w:i/>
        </w:rPr>
        <w:t>characters</w:t>
      </w:r>
      <w:r w:rsidRPr="00976443">
        <w:t>.'</w:t>
      </w:r>
      <w:r>
        <w:t>;</w:t>
      </w:r>
      <w:proofErr w:type="gramEnd"/>
      <w:r>
        <w:t xml:space="preserve"> </w:t>
      </w:r>
    </w:p>
    <w:p w14:paraId="40E15D0B" w14:textId="495BA329" w:rsidR="00192799" w:rsidRPr="00192799" w:rsidRDefault="000064DB" w:rsidP="000064DB">
      <w:pPr>
        <w:pStyle w:val="ONUME"/>
        <w:keepNext/>
        <w:numPr>
          <w:ilvl w:val="0"/>
          <w:numId w:val="7"/>
        </w:numPr>
        <w:tabs>
          <w:tab w:val="left" w:pos="1170"/>
        </w:tabs>
        <w:spacing w:after="120"/>
      </w:pPr>
      <w:r>
        <w:rPr>
          <w:szCs w:val="22"/>
          <w:shd w:val="clear" w:color="auto" w:fill="FFFFFF"/>
        </w:rPr>
        <w:t>Update t</w:t>
      </w:r>
      <w:r w:rsidR="00797A6A">
        <w:rPr>
          <w:szCs w:val="22"/>
          <w:shd w:val="clear" w:color="auto" w:fill="FFFFFF"/>
        </w:rPr>
        <w:t>he start of paragraph 87(d) to '</w:t>
      </w:r>
      <w:r w:rsidRPr="00C35A7F">
        <w:rPr>
          <w:i/>
          <w:szCs w:val="22"/>
          <w:shd w:val="clear" w:color="auto" w:fill="FFFFFF"/>
        </w:rPr>
        <w:t>For qualifiers with a language-dependent free text value, ...</w:t>
      </w:r>
      <w:r w:rsidR="00797A6A">
        <w:rPr>
          <w:szCs w:val="22"/>
          <w:shd w:val="clear" w:color="auto" w:fill="FFFFFF"/>
        </w:rPr>
        <w:t>'</w:t>
      </w:r>
      <w:r w:rsidR="00950FCE">
        <w:rPr>
          <w:szCs w:val="22"/>
          <w:shd w:val="clear" w:color="auto" w:fill="FFFFFF"/>
        </w:rPr>
        <w:t>;</w:t>
      </w:r>
      <w:r w:rsidR="00192799">
        <w:rPr>
          <w:szCs w:val="22"/>
          <w:shd w:val="clear" w:color="auto" w:fill="FFFFFF"/>
        </w:rPr>
        <w:t xml:space="preserve"> </w:t>
      </w:r>
    </w:p>
    <w:p w14:paraId="55A2D6F9" w14:textId="6DD5E336" w:rsidR="009F64EA" w:rsidRDefault="00192799" w:rsidP="00950FCE">
      <w:pPr>
        <w:pStyle w:val="ONUME"/>
        <w:keepNext/>
        <w:numPr>
          <w:ilvl w:val="0"/>
          <w:numId w:val="7"/>
        </w:numPr>
        <w:tabs>
          <w:tab w:val="left" w:pos="1170"/>
        </w:tabs>
        <w:spacing w:after="120"/>
        <w:rPr>
          <w:szCs w:val="22"/>
          <w:shd w:val="clear" w:color="auto" w:fill="FFFFFF"/>
        </w:rPr>
      </w:pPr>
      <w:r w:rsidRPr="00950FCE">
        <w:rPr>
          <w:szCs w:val="22"/>
          <w:shd w:val="clear" w:color="auto" w:fill="FFFFFF"/>
        </w:rPr>
        <w:t>Update all instance</w:t>
      </w:r>
      <w:r w:rsidR="005F7121" w:rsidRPr="00950FCE">
        <w:rPr>
          <w:szCs w:val="22"/>
          <w:shd w:val="clear" w:color="auto" w:fill="FFFFFF"/>
        </w:rPr>
        <w:t>s</w:t>
      </w:r>
      <w:r w:rsidRPr="00950FCE">
        <w:rPr>
          <w:szCs w:val="22"/>
          <w:shd w:val="clear" w:color="auto" w:fill="FFFFFF"/>
        </w:rPr>
        <w:t xml:space="preserve"> of </w:t>
      </w:r>
      <w:r w:rsidR="005F7121" w:rsidRPr="00950FCE">
        <w:rPr>
          <w:i/>
          <w:szCs w:val="22"/>
          <w:shd w:val="clear" w:color="auto" w:fill="FFFFFF"/>
        </w:rPr>
        <w:t>'industrial property</w:t>
      </w:r>
      <w:r w:rsidRPr="00950FCE">
        <w:rPr>
          <w:szCs w:val="22"/>
          <w:shd w:val="clear" w:color="auto" w:fill="FFFFFF"/>
        </w:rPr>
        <w:t>' to '</w:t>
      </w:r>
      <w:r w:rsidR="005F7121" w:rsidRPr="00950FCE">
        <w:rPr>
          <w:i/>
          <w:szCs w:val="22"/>
          <w:shd w:val="clear" w:color="auto" w:fill="FFFFFF"/>
        </w:rPr>
        <w:t>intellectual property</w:t>
      </w:r>
      <w:r w:rsidRPr="00950FCE">
        <w:rPr>
          <w:szCs w:val="22"/>
          <w:shd w:val="clear" w:color="auto" w:fill="FFFFFF"/>
        </w:rPr>
        <w:t xml:space="preserve">', after the update </w:t>
      </w:r>
      <w:r w:rsidR="00BF7409" w:rsidRPr="00950FCE">
        <w:rPr>
          <w:szCs w:val="22"/>
          <w:shd w:val="clear" w:color="auto" w:fill="FFFFFF"/>
        </w:rPr>
        <w:t xml:space="preserve">at the ninth session of the CWS </w:t>
      </w:r>
      <w:r w:rsidRPr="00950FCE">
        <w:rPr>
          <w:szCs w:val="22"/>
          <w:shd w:val="clear" w:color="auto" w:fill="FFFFFF"/>
        </w:rPr>
        <w:t xml:space="preserve">to increase the scope of the WIPO Handbook </w:t>
      </w:r>
      <w:r w:rsidR="00BF7409" w:rsidRPr="00950FCE">
        <w:rPr>
          <w:szCs w:val="22"/>
          <w:shd w:val="clear" w:color="auto" w:fill="FFFFFF"/>
        </w:rPr>
        <w:t xml:space="preserve">was </w:t>
      </w:r>
      <w:r w:rsidRPr="00950FCE">
        <w:rPr>
          <w:szCs w:val="22"/>
          <w:shd w:val="clear" w:color="auto" w:fill="FFFFFF"/>
        </w:rPr>
        <w:t>approved</w:t>
      </w:r>
      <w:r w:rsidR="009F64EA">
        <w:rPr>
          <w:szCs w:val="22"/>
          <w:shd w:val="clear" w:color="auto" w:fill="FFFFFF"/>
        </w:rPr>
        <w:t>; and</w:t>
      </w:r>
    </w:p>
    <w:p w14:paraId="52BF5BCD" w14:textId="5B8F27B8" w:rsidR="008265DC" w:rsidRPr="00950FCE" w:rsidRDefault="009F64EA" w:rsidP="00D57486">
      <w:pPr>
        <w:pStyle w:val="ONUME"/>
        <w:keepNext/>
        <w:numPr>
          <w:ilvl w:val="0"/>
          <w:numId w:val="7"/>
        </w:numPr>
        <w:tabs>
          <w:tab w:val="left" w:pos="1170"/>
        </w:tabs>
        <w:rPr>
          <w:szCs w:val="22"/>
          <w:shd w:val="clear" w:color="auto" w:fill="FFFFFF"/>
        </w:rPr>
      </w:pPr>
      <w:r>
        <w:rPr>
          <w:szCs w:val="22"/>
          <w:shd w:val="clear" w:color="auto" w:fill="FFFFFF"/>
        </w:rPr>
        <w:t>Update all references to the 'international, national or regional procedures' such that it appears in this particular order throughout the Main Body.</w:t>
      </w:r>
      <w:r w:rsidR="000064DB" w:rsidRPr="00950FCE">
        <w:rPr>
          <w:szCs w:val="22"/>
          <w:shd w:val="clear" w:color="auto" w:fill="FFFFFF"/>
        </w:rPr>
        <w:t xml:space="preserve"> </w:t>
      </w:r>
    </w:p>
    <w:p w14:paraId="5DB87D11" w14:textId="4238EA33" w:rsidR="003B2619" w:rsidRDefault="00157468" w:rsidP="002558D5">
      <w:pPr>
        <w:spacing w:after="220"/>
      </w:pPr>
      <w:r>
        <w:fldChar w:fldCharType="begin"/>
      </w:r>
      <w:r>
        <w:instrText xml:space="preserve"> AUTONUM  </w:instrText>
      </w:r>
      <w:r>
        <w:fldChar w:fldCharType="end"/>
      </w:r>
      <w:r>
        <w:tab/>
      </w:r>
      <w:r w:rsidR="00F3242B">
        <w:t xml:space="preserve">The proposed changes to the Annexes of WIPO Standard ST.26 </w:t>
      </w:r>
      <w:r w:rsidR="008578D4">
        <w:t>can be summarized as follows:</w:t>
      </w:r>
      <w:r w:rsidR="00FD2D13">
        <w:t xml:space="preserve"> </w:t>
      </w:r>
    </w:p>
    <w:p w14:paraId="24DF4BEE" w14:textId="117055B1" w:rsidR="002558D5" w:rsidRDefault="007A799B" w:rsidP="00261DC6">
      <w:pPr>
        <w:pStyle w:val="ListParagraph"/>
        <w:numPr>
          <w:ilvl w:val="0"/>
          <w:numId w:val="17"/>
        </w:numPr>
        <w:spacing w:after="120"/>
        <w:contextualSpacing w:val="0"/>
      </w:pPr>
      <w:r w:rsidRPr="007A799B">
        <w:t xml:space="preserve">Annex I, Section 6: </w:t>
      </w:r>
      <w:r w:rsidR="006046F0">
        <w:t xml:space="preserve">update </w:t>
      </w:r>
      <w:r w:rsidRPr="007A799B">
        <w:t>Table 5 to include frequen</w:t>
      </w:r>
      <w:r w:rsidR="003E5DE5">
        <w:t xml:space="preserve">cy as a qualifier with language dependent free </w:t>
      </w:r>
      <w:r w:rsidRPr="007A799B">
        <w:t>text value;</w:t>
      </w:r>
      <w:r w:rsidR="002558D5">
        <w:t xml:space="preserve"> </w:t>
      </w:r>
    </w:p>
    <w:p w14:paraId="09C5F7F3" w14:textId="4C267B96" w:rsidR="007A799B" w:rsidRPr="007A799B" w:rsidRDefault="007A799B" w:rsidP="009A429E">
      <w:pPr>
        <w:pStyle w:val="ListParagraph"/>
        <w:numPr>
          <w:ilvl w:val="0"/>
          <w:numId w:val="17"/>
        </w:numPr>
        <w:spacing w:after="120"/>
        <w:contextualSpacing w:val="0"/>
      </w:pPr>
      <w:r w:rsidRPr="007A799B">
        <w:t xml:space="preserve">Annex I, Section 6.21: </w:t>
      </w:r>
      <w:r w:rsidR="006046F0">
        <w:t xml:space="preserve">update </w:t>
      </w:r>
      <w:r w:rsidR="009A429E">
        <w:t>the m</w:t>
      </w:r>
      <w:r w:rsidRPr="007A799B">
        <w:t>andatory value format to indicate that the frequency qualifier is language dependent;</w:t>
      </w:r>
    </w:p>
    <w:p w14:paraId="0AC5CFFD" w14:textId="1DF3B728" w:rsidR="007A799B" w:rsidRDefault="007A799B" w:rsidP="00261DC6">
      <w:pPr>
        <w:pStyle w:val="ListParagraph"/>
        <w:numPr>
          <w:ilvl w:val="0"/>
          <w:numId w:val="17"/>
        </w:numPr>
        <w:spacing w:after="120"/>
        <w:contextualSpacing w:val="0"/>
      </w:pPr>
      <w:r w:rsidRPr="007A799B">
        <w:t xml:space="preserve">Annex I, Section 6: </w:t>
      </w:r>
      <w:r w:rsidR="006046F0">
        <w:t xml:space="preserve">update </w:t>
      </w:r>
      <w:r w:rsidR="00797A6A">
        <w:t>the title of Table 5 to '</w:t>
      </w:r>
      <w:r w:rsidRPr="006046F0">
        <w:rPr>
          <w:i/>
        </w:rPr>
        <w:t>List of qualifiers for nuc</w:t>
      </w:r>
      <w:r w:rsidR="003E5DE5">
        <w:rPr>
          <w:i/>
        </w:rPr>
        <w:t xml:space="preserve">leotide sequences with language </w:t>
      </w:r>
      <w:r w:rsidRPr="006046F0">
        <w:rPr>
          <w:i/>
        </w:rPr>
        <w:t>dependent f</w:t>
      </w:r>
      <w:r w:rsidR="003E5DE5">
        <w:rPr>
          <w:i/>
        </w:rPr>
        <w:t xml:space="preserve">ree </w:t>
      </w:r>
      <w:r w:rsidRPr="006046F0">
        <w:rPr>
          <w:i/>
        </w:rPr>
        <w:t>text values</w:t>
      </w:r>
      <w:r w:rsidR="00797A6A">
        <w:t>'</w:t>
      </w:r>
      <w:r w:rsidRPr="007A799B">
        <w:t>;</w:t>
      </w:r>
    </w:p>
    <w:p w14:paraId="51191987" w14:textId="5B9E4C49" w:rsidR="00742BEA" w:rsidRPr="007A799B" w:rsidRDefault="00742BEA" w:rsidP="00261DC6">
      <w:pPr>
        <w:pStyle w:val="ListParagraph"/>
        <w:numPr>
          <w:ilvl w:val="0"/>
          <w:numId w:val="17"/>
        </w:numPr>
        <w:spacing w:after="120"/>
        <w:contextualSpacing w:val="0"/>
      </w:pPr>
      <w:r>
        <w:t>Annex I, Sections 6 and 8: update the note to include '</w:t>
      </w:r>
      <w:r w:rsidRPr="00742BEA">
        <w:rPr>
          <w:i/>
        </w:rPr>
        <w:t>international</w:t>
      </w:r>
      <w:r>
        <w:t>', which currently only refers to '</w:t>
      </w:r>
      <w:r>
        <w:rPr>
          <w:i/>
        </w:rPr>
        <w:t>national or regional procedures';</w:t>
      </w:r>
    </w:p>
    <w:p w14:paraId="3C6A7147" w14:textId="68E05896" w:rsidR="007A799B" w:rsidRDefault="007A799B" w:rsidP="00261DC6">
      <w:pPr>
        <w:pStyle w:val="ListParagraph"/>
        <w:numPr>
          <w:ilvl w:val="0"/>
          <w:numId w:val="17"/>
        </w:numPr>
        <w:spacing w:after="120"/>
        <w:contextualSpacing w:val="0"/>
      </w:pPr>
      <w:r w:rsidRPr="007A799B">
        <w:t xml:space="preserve">Annex I, Section 6.77: </w:t>
      </w:r>
      <w:r w:rsidR="006046F0">
        <w:t xml:space="preserve">strip </w:t>
      </w:r>
      <w:r w:rsidRPr="007A799B">
        <w:t>the spaces in the example after the anticodon value but before the less-than symbol;</w:t>
      </w:r>
    </w:p>
    <w:p w14:paraId="1803AA14" w14:textId="47EA311D" w:rsidR="000064DB" w:rsidRDefault="000064DB" w:rsidP="000064DB">
      <w:pPr>
        <w:pStyle w:val="ListParagraph"/>
        <w:numPr>
          <w:ilvl w:val="0"/>
          <w:numId w:val="17"/>
        </w:numPr>
        <w:spacing w:after="120"/>
        <w:contextualSpacing w:val="0"/>
      </w:pPr>
      <w:r>
        <w:t xml:space="preserve">Annex I, Section 8: update the note to be </w:t>
      </w:r>
      <w:r w:rsidR="00797A6A">
        <w:t>in line</w:t>
      </w:r>
      <w:r>
        <w:t xml:space="preserve"> with the note provided in Section 6.  The updat</w:t>
      </w:r>
      <w:r w:rsidR="003E5DE5">
        <w:t xml:space="preserve">ed note will commence with: </w:t>
      </w:r>
      <w:r w:rsidR="00797A6A">
        <w:t>'</w:t>
      </w:r>
      <w:r w:rsidRPr="000064DB">
        <w:rPr>
          <w:i/>
        </w:rPr>
        <w:t>Any qualifier value provided for a qualifier with a language dependent “free text” value format may require translation...</w:t>
      </w:r>
      <w:proofErr w:type="gramStart"/>
      <w:r w:rsidR="00797A6A">
        <w:t>'</w:t>
      </w:r>
      <w:r>
        <w:t>;</w:t>
      </w:r>
      <w:proofErr w:type="gramEnd"/>
    </w:p>
    <w:p w14:paraId="4F1A27C0" w14:textId="045D99DC" w:rsidR="009F64EA" w:rsidRDefault="009F64EA" w:rsidP="009F64EA">
      <w:pPr>
        <w:pStyle w:val="ListParagraph"/>
        <w:numPr>
          <w:ilvl w:val="0"/>
          <w:numId w:val="17"/>
        </w:numPr>
        <w:spacing w:after="120"/>
        <w:contextualSpacing w:val="0"/>
      </w:pPr>
      <w:r>
        <w:t>Annex I, Section 6 and 8: all qualifiers with a mandatory value format which indicates they are language dependent now indicates that translation should be for: '</w:t>
      </w:r>
      <w:r w:rsidRPr="00D52A13">
        <w:rPr>
          <w:i/>
        </w:rPr>
        <w:t>International/National/Regional procedures</w:t>
      </w:r>
      <w:r>
        <w:t>'</w:t>
      </w:r>
      <w:r w:rsidR="00637252">
        <w:t xml:space="preserve"> by adding '</w:t>
      </w:r>
      <w:r w:rsidR="00637252" w:rsidRPr="00D52A13">
        <w:rPr>
          <w:i/>
        </w:rPr>
        <w:t>International</w:t>
      </w:r>
      <w:r w:rsidR="00637252">
        <w:t>'</w:t>
      </w:r>
      <w:r>
        <w:t>;</w:t>
      </w:r>
    </w:p>
    <w:p w14:paraId="15392917" w14:textId="77777777" w:rsidR="0030500E" w:rsidRDefault="009F64EA" w:rsidP="009F64EA">
      <w:pPr>
        <w:pStyle w:val="ListParagraph"/>
        <w:numPr>
          <w:ilvl w:val="0"/>
          <w:numId w:val="17"/>
        </w:numPr>
        <w:spacing w:after="120"/>
        <w:contextualSpacing w:val="0"/>
      </w:pPr>
      <w:r>
        <w:t>Annex I, Section 6 and 8: note at the top of each section edited so that '</w:t>
      </w:r>
      <w:r w:rsidRPr="00D52A13">
        <w:rPr>
          <w:i/>
        </w:rPr>
        <w:t>language dependent "free text"</w:t>
      </w:r>
      <w:r>
        <w:t>' is corrected to '</w:t>
      </w:r>
      <w:r w:rsidRPr="00D52A13">
        <w:rPr>
          <w:i/>
        </w:rPr>
        <w:t>language-dependent free text</w:t>
      </w:r>
      <w:r>
        <w:t>' for consistency with the rest of the Standard;</w:t>
      </w:r>
    </w:p>
    <w:p w14:paraId="7E6B0C69" w14:textId="51073DD8" w:rsidR="009F64EA" w:rsidRDefault="0030500E" w:rsidP="0030500E">
      <w:pPr>
        <w:pStyle w:val="ListParagraph"/>
        <w:numPr>
          <w:ilvl w:val="0"/>
          <w:numId w:val="17"/>
        </w:numPr>
        <w:spacing w:after="120"/>
        <w:contextualSpacing w:val="0"/>
      </w:pPr>
      <w:r>
        <w:t>Annex I, Section 6 and 8: correct the title of the second column replacing 'value' with '</w:t>
      </w:r>
      <w:proofErr w:type="spellStart"/>
      <w:r>
        <w:t>qualifer</w:t>
      </w:r>
      <w:proofErr w:type="spellEnd"/>
      <w:r>
        <w:t>' to read '</w:t>
      </w:r>
      <w:r w:rsidRPr="00D52A13">
        <w:rPr>
          <w:i/>
        </w:rPr>
        <w:t>Language-Dependent Free Text Qualifier</w:t>
      </w:r>
      <w:r>
        <w:t>'</w:t>
      </w:r>
      <w:r w:rsidR="009F64EA">
        <w:t xml:space="preserve"> </w:t>
      </w:r>
    </w:p>
    <w:p w14:paraId="567B435E" w14:textId="2C5B0DAA" w:rsidR="005F7121" w:rsidRPr="007A799B" w:rsidRDefault="005F7121" w:rsidP="005F7121">
      <w:pPr>
        <w:pStyle w:val="ListParagraph"/>
        <w:numPr>
          <w:ilvl w:val="0"/>
          <w:numId w:val="17"/>
        </w:numPr>
        <w:spacing w:after="120"/>
        <w:contextualSpacing w:val="0"/>
      </w:pPr>
      <w:r>
        <w:t xml:space="preserve">Annex II: include the following comment within the DTD to provide clarification on the </w:t>
      </w:r>
      <w:proofErr w:type="gramStart"/>
      <w:r>
        <w:t>value which</w:t>
      </w:r>
      <w:proofErr w:type="gramEnd"/>
      <w:r>
        <w:t xml:space="preserve"> should be provided within the </w:t>
      </w:r>
      <w:proofErr w:type="spellStart"/>
      <w:r w:rsidRPr="00244E30">
        <w:rPr>
          <w:rFonts w:ascii="Courier New" w:hAnsi="Courier New" w:cs="Courier New"/>
        </w:rPr>
        <w:t>file</w:t>
      </w:r>
      <w:r w:rsidR="007D45BD" w:rsidRPr="00244E30">
        <w:rPr>
          <w:rFonts w:ascii="Courier New" w:hAnsi="Courier New" w:cs="Courier New"/>
        </w:rPr>
        <w:t>N</w:t>
      </w:r>
      <w:r w:rsidRPr="00244E30">
        <w:rPr>
          <w:rFonts w:ascii="Courier New" w:hAnsi="Courier New" w:cs="Courier New"/>
        </w:rPr>
        <w:t>ame</w:t>
      </w:r>
      <w:proofErr w:type="spellEnd"/>
      <w:r>
        <w:t xml:space="preserve"> attribute: </w:t>
      </w:r>
      <w:r w:rsidRPr="005F7121">
        <w:rPr>
          <w:i/>
        </w:rPr>
        <w:t xml:space="preserve">'By default this will be set to the value provided for the project name in WIPO Sequence. </w:t>
      </w:r>
      <w:r w:rsidR="000B6790">
        <w:rPr>
          <w:i/>
        </w:rPr>
        <w:t xml:space="preserve">If the value </w:t>
      </w:r>
      <w:proofErr w:type="gramStart"/>
      <w:r w:rsidR="00F0740C">
        <w:rPr>
          <w:i/>
        </w:rPr>
        <w:t>is</w:t>
      </w:r>
      <w:r w:rsidR="000B6790">
        <w:rPr>
          <w:i/>
        </w:rPr>
        <w:t xml:space="preserve">  identical</w:t>
      </w:r>
      <w:proofErr w:type="gramEnd"/>
      <w:r w:rsidR="000B6790">
        <w:rPr>
          <w:i/>
        </w:rPr>
        <w:t xml:space="preserve"> </w:t>
      </w:r>
      <w:r w:rsidR="00F0740C">
        <w:rPr>
          <w:i/>
        </w:rPr>
        <w:t>to</w:t>
      </w:r>
      <w:r w:rsidR="000B6790">
        <w:rPr>
          <w:i/>
        </w:rPr>
        <w:t xml:space="preserve"> the actual ST.26 XML filename, it should be noted that </w:t>
      </w:r>
      <w:r w:rsidRPr="005F7121">
        <w:rPr>
          <w:i/>
        </w:rPr>
        <w:t xml:space="preserve">Offices may enforce </w:t>
      </w:r>
      <w:r w:rsidR="007D45BD">
        <w:rPr>
          <w:i/>
        </w:rPr>
        <w:t>their</w:t>
      </w:r>
      <w:r w:rsidR="007D45BD" w:rsidRPr="005F7121">
        <w:rPr>
          <w:i/>
        </w:rPr>
        <w:t xml:space="preserve"> </w:t>
      </w:r>
      <w:r w:rsidRPr="005F7121">
        <w:rPr>
          <w:i/>
        </w:rPr>
        <w:t xml:space="preserve">requirements for the filename used which </w:t>
      </w:r>
      <w:r w:rsidR="007D45BD">
        <w:rPr>
          <w:i/>
        </w:rPr>
        <w:t xml:space="preserve">may </w:t>
      </w:r>
      <w:r w:rsidRPr="005F7121">
        <w:rPr>
          <w:i/>
        </w:rPr>
        <w:t>restrict which characters are allowable</w:t>
      </w:r>
      <w:r w:rsidR="000B6790">
        <w:rPr>
          <w:i/>
        </w:rPr>
        <w:t xml:space="preserve"> for submitted electronic files</w:t>
      </w:r>
      <w:r w:rsidRPr="00637252">
        <w:rPr>
          <w:i/>
        </w:rPr>
        <w:t xml:space="preserve">. </w:t>
      </w:r>
      <w:r w:rsidR="00637252" w:rsidRPr="00D52A13">
        <w:rPr>
          <w:i/>
          <w:szCs w:val="22"/>
        </w:rPr>
        <w:t>It is also acceptable for the value of the filename attribute and the actual file name to be different.</w:t>
      </w:r>
      <w:r w:rsidR="00637252" w:rsidRPr="00D52A13">
        <w:rPr>
          <w:szCs w:val="22"/>
        </w:rPr>
        <w:t xml:space="preserve"> </w:t>
      </w:r>
      <w:r w:rsidRPr="00637252">
        <w:rPr>
          <w:i/>
          <w:szCs w:val="22"/>
        </w:rPr>
        <w:t>Please</w:t>
      </w:r>
      <w:r w:rsidRPr="005F7121">
        <w:rPr>
          <w:i/>
        </w:rPr>
        <w:t xml:space="preserve"> refer to the WIPO Sequence and ST.26 </w:t>
      </w:r>
      <w:r w:rsidR="007D45BD">
        <w:rPr>
          <w:i/>
        </w:rPr>
        <w:t>K</w:t>
      </w:r>
      <w:r w:rsidRPr="005F7121">
        <w:rPr>
          <w:i/>
        </w:rPr>
        <w:t xml:space="preserve">nowledge </w:t>
      </w:r>
      <w:r w:rsidR="007D45BD">
        <w:rPr>
          <w:i/>
        </w:rPr>
        <w:t>B</w:t>
      </w:r>
      <w:r w:rsidRPr="005F7121">
        <w:rPr>
          <w:i/>
        </w:rPr>
        <w:t>ase for further details</w:t>
      </w:r>
      <w:r w:rsidR="007D45BD">
        <w:rPr>
          <w:i/>
        </w:rPr>
        <w:t xml:space="preserve"> on Offices’ naming conve</w:t>
      </w:r>
      <w:r w:rsidR="00F0740C">
        <w:rPr>
          <w:i/>
        </w:rPr>
        <w:t>ntions</w:t>
      </w:r>
      <w:r w:rsidR="007D45BD">
        <w:rPr>
          <w:i/>
        </w:rPr>
        <w:t xml:space="preserve"> </w:t>
      </w:r>
      <w:r w:rsidR="00F0740C">
        <w:rPr>
          <w:i/>
        </w:rPr>
        <w:t>for</w:t>
      </w:r>
      <w:r w:rsidR="007D45BD">
        <w:rPr>
          <w:i/>
        </w:rPr>
        <w:t xml:space="preserve"> electronic file</w:t>
      </w:r>
      <w:r w:rsidR="00F0740C">
        <w:rPr>
          <w:i/>
        </w:rPr>
        <w:t>s</w:t>
      </w:r>
      <w:r w:rsidR="007D45BD">
        <w:rPr>
          <w:i/>
        </w:rPr>
        <w:t xml:space="preserve"> </w:t>
      </w:r>
      <w:r>
        <w:t>';</w:t>
      </w:r>
    </w:p>
    <w:p w14:paraId="57AA3AFD" w14:textId="06FA8796" w:rsidR="000064DB" w:rsidRDefault="003B2619" w:rsidP="00A20A70">
      <w:pPr>
        <w:pStyle w:val="ListParagraph"/>
        <w:numPr>
          <w:ilvl w:val="0"/>
          <w:numId w:val="17"/>
        </w:numPr>
        <w:spacing w:after="220"/>
        <w:contextualSpacing w:val="0"/>
      </w:pPr>
      <w:r w:rsidRPr="007A799B">
        <w:t xml:space="preserve">Annex VI, Example 3(c)-1, Question 3: </w:t>
      </w:r>
      <w:r w:rsidR="006046F0">
        <w:t xml:space="preserve">correct </w:t>
      </w:r>
      <w:r w:rsidRPr="007A799B">
        <w:t xml:space="preserve">the term 'acylation' </w:t>
      </w:r>
      <w:r w:rsidR="006046F0">
        <w:t>to be</w:t>
      </w:r>
      <w:r w:rsidRPr="007A799B">
        <w:t xml:space="preserve"> 'acetylation'; </w:t>
      </w:r>
    </w:p>
    <w:p w14:paraId="1F74B469" w14:textId="77777777" w:rsidR="00A20A70" w:rsidRPr="00D52A13" w:rsidRDefault="00C4053E" w:rsidP="003E5DE5">
      <w:pPr>
        <w:pStyle w:val="ListParagraph"/>
        <w:numPr>
          <w:ilvl w:val="0"/>
          <w:numId w:val="17"/>
        </w:numPr>
        <w:spacing w:after="220"/>
        <w:contextualSpacing w:val="0"/>
      </w:pPr>
      <w:r>
        <w:t>Annex VI, Example 3(k)-2, Question 3: correct the reference to SEQ ID NO</w:t>
      </w:r>
      <w:r w:rsidR="00797A6A">
        <w:t>. 12 in the third p</w:t>
      </w:r>
      <w:r w:rsidR="003E5DE5">
        <w:t xml:space="preserve">aragraph to: </w:t>
      </w:r>
      <w:r w:rsidR="00797A6A">
        <w:t>'</w:t>
      </w:r>
      <w:r w:rsidRPr="00C4053E">
        <w:t xml:space="preserve"> </w:t>
      </w:r>
      <w:r w:rsidRPr="00C4053E">
        <w:rPr>
          <w:i/>
        </w:rPr>
        <w:t>the feature key “</w:t>
      </w:r>
      <w:proofErr w:type="spellStart"/>
      <w:r w:rsidRPr="00C4053E">
        <w:rPr>
          <w:i/>
        </w:rPr>
        <w:t>misc_difference</w:t>
      </w:r>
      <w:proofErr w:type="spellEnd"/>
      <w:r w:rsidRPr="00C4053E">
        <w:rPr>
          <w:i/>
        </w:rPr>
        <w:t>” with feature location “10” should be used together with two “replace” qualifiers where the value for one would be "</w:t>
      </w:r>
      <w:proofErr w:type="spellStart"/>
      <w:r w:rsidRPr="00C4053E">
        <w:rPr>
          <w:i/>
          <w:strike/>
        </w:rPr>
        <w:t>g</w:t>
      </w:r>
      <w:r w:rsidRPr="00C4053E">
        <w:rPr>
          <w:i/>
        </w:rPr>
        <w:t>k</w:t>
      </w:r>
      <w:proofErr w:type="spellEnd"/>
      <w:r w:rsidRPr="00C4053E">
        <w:rPr>
          <w:i/>
        </w:rPr>
        <w:t xml:space="preserve">" and the </w:t>
      </w:r>
      <w:r w:rsidR="00797A6A">
        <w:rPr>
          <w:i/>
        </w:rPr>
        <w:t>second would be "c" '</w:t>
      </w:r>
      <w:r w:rsidRPr="00C4053E">
        <w:rPr>
          <w:i/>
        </w:rPr>
        <w:t>;</w:t>
      </w:r>
    </w:p>
    <w:p w14:paraId="2F4E43DC" w14:textId="77777777" w:rsidR="00A20A70" w:rsidRDefault="00A20A70" w:rsidP="003E5DE5">
      <w:pPr>
        <w:pStyle w:val="ListParagraph"/>
        <w:numPr>
          <w:ilvl w:val="0"/>
          <w:numId w:val="17"/>
        </w:numPr>
        <w:spacing w:after="220"/>
        <w:contextualSpacing w:val="0"/>
      </w:pPr>
      <w:r>
        <w:t>Annex VI, Example 7(b)-2: remove the first of the two figures;</w:t>
      </w:r>
    </w:p>
    <w:p w14:paraId="54303525" w14:textId="2DB03833" w:rsidR="00C4053E" w:rsidRPr="00203D73" w:rsidRDefault="002A2D7E" w:rsidP="00D57486">
      <w:pPr>
        <w:pStyle w:val="ListParagraph"/>
        <w:numPr>
          <w:ilvl w:val="0"/>
          <w:numId w:val="17"/>
        </w:numPr>
        <w:spacing w:after="220"/>
        <w:contextualSpacing w:val="0"/>
      </w:pPr>
      <w:r w:rsidRPr="00203D73">
        <w:t>Annex VI, Example 7(b)-2, Question 3: replace the word ‘cross linkage’ with ‘branched structure’;</w:t>
      </w:r>
    </w:p>
    <w:p w14:paraId="3EBD114B" w14:textId="1A86BD23" w:rsidR="009427D7" w:rsidRDefault="009427D7" w:rsidP="003E5DE5">
      <w:pPr>
        <w:pStyle w:val="ListParagraph"/>
        <w:numPr>
          <w:ilvl w:val="0"/>
          <w:numId w:val="17"/>
        </w:numPr>
        <w:spacing w:after="220"/>
        <w:contextualSpacing w:val="0"/>
      </w:pPr>
      <w:r>
        <w:t>Annex VI, Example 28: correct SEQ ID 46 to correspond to the residues provided in the corresponding sequence in the Appendix to Annex VI;</w:t>
      </w:r>
    </w:p>
    <w:p w14:paraId="68F0B847" w14:textId="6BDE4F23" w:rsidR="000064DB" w:rsidRDefault="000064DB" w:rsidP="00C4053E">
      <w:pPr>
        <w:pStyle w:val="ListParagraph"/>
        <w:numPr>
          <w:ilvl w:val="0"/>
          <w:numId w:val="17"/>
        </w:numPr>
        <w:spacing w:before="240" w:after="220"/>
        <w:contextualSpacing w:val="0"/>
      </w:pPr>
      <w:r>
        <w:t xml:space="preserve">Annex VI, Example 7(b)-4 and 7(b)-5: correct SEQ ID </w:t>
      </w:r>
      <w:r w:rsidR="00C4053E">
        <w:t xml:space="preserve">NO. </w:t>
      </w:r>
      <w:proofErr w:type="gramStart"/>
      <w:r w:rsidR="00C4053E">
        <w:t>89</w:t>
      </w:r>
      <w:proofErr w:type="gramEnd"/>
      <w:r w:rsidR="00C4053E">
        <w:t xml:space="preserve">, SEQ ID NO.90 and NO. </w:t>
      </w:r>
      <w:proofErr w:type="gramStart"/>
      <w:r>
        <w:t>91</w:t>
      </w:r>
      <w:proofErr w:type="gramEnd"/>
      <w:r>
        <w:t xml:space="preserve"> to SEQ ID </w:t>
      </w:r>
      <w:r w:rsidR="00C4053E">
        <w:t xml:space="preserve">NO. </w:t>
      </w:r>
      <w:proofErr w:type="gramStart"/>
      <w:r>
        <w:t>90</w:t>
      </w:r>
      <w:proofErr w:type="gramEnd"/>
      <w:r w:rsidR="00C4053E">
        <w:t xml:space="preserve">, SEQ ID NO. </w:t>
      </w:r>
      <w:proofErr w:type="gramStart"/>
      <w:r w:rsidR="00C4053E">
        <w:t>91</w:t>
      </w:r>
      <w:proofErr w:type="gramEnd"/>
      <w:r w:rsidR="00C4053E">
        <w:t xml:space="preserve"> and SEQ ID NO. 92</w:t>
      </w:r>
      <w:r>
        <w:t>;</w:t>
      </w:r>
    </w:p>
    <w:p w14:paraId="212E1E2D" w14:textId="38813E40" w:rsidR="0046158C" w:rsidRDefault="003B2619" w:rsidP="00A20A70">
      <w:pPr>
        <w:pStyle w:val="ListParagraph"/>
        <w:numPr>
          <w:ilvl w:val="0"/>
          <w:numId w:val="17"/>
        </w:numPr>
        <w:spacing w:after="220"/>
        <w:contextualSpacing w:val="0"/>
      </w:pPr>
      <w:r w:rsidRPr="007A799B">
        <w:t>Annex VI and Appendix to</w:t>
      </w:r>
      <w:r w:rsidR="000064DB">
        <w:t xml:space="preserve"> Annex VI: include a series of three</w:t>
      </w:r>
      <w:r w:rsidRPr="007A799B">
        <w:t xml:space="preserve"> new examples, Example 94-2, Example 30-2 and </w:t>
      </w:r>
      <w:r w:rsidRPr="00976443">
        <w:t xml:space="preserve">Example 12-1.  </w:t>
      </w:r>
      <w:r>
        <w:t>The new Exa</w:t>
      </w:r>
      <w:r w:rsidR="00C4053E">
        <w:t>mples are provided in full as</w:t>
      </w:r>
      <w:r w:rsidR="000064DB">
        <w:t xml:space="preserve"> Annex </w:t>
      </w:r>
      <w:r w:rsidR="00C4053E">
        <w:t xml:space="preserve">I </w:t>
      </w:r>
      <w:r w:rsidR="000064DB">
        <w:t xml:space="preserve">to the present document; </w:t>
      </w:r>
    </w:p>
    <w:p w14:paraId="5B610BD0" w14:textId="5C93FBC5" w:rsidR="000064DB" w:rsidRPr="007A799B" w:rsidRDefault="000064DB" w:rsidP="000064DB">
      <w:pPr>
        <w:pStyle w:val="ListParagraph"/>
        <w:numPr>
          <w:ilvl w:val="0"/>
          <w:numId w:val="17"/>
        </w:numPr>
        <w:spacing w:after="120"/>
        <w:contextualSpacing w:val="0"/>
      </w:pPr>
      <w:r w:rsidRPr="007A799B">
        <w:t xml:space="preserve">Annex VII, Scenario 4: </w:t>
      </w:r>
      <w:r w:rsidR="006046F0">
        <w:t>r</w:t>
      </w:r>
      <w:r>
        <w:t>eplace the first sentence</w:t>
      </w:r>
      <w:r w:rsidR="00797A6A">
        <w:t xml:space="preserve"> with the following text, '</w:t>
      </w:r>
      <w:r w:rsidRPr="006046F0">
        <w:rPr>
          <w:i/>
        </w:rPr>
        <w:t>For both nucleotide sequences and amino acid sequences, ST.26 has the mandatory feature key "source</w:t>
      </w:r>
      <w:r w:rsidR="00637252">
        <w:rPr>
          <w:i/>
        </w:rPr>
        <w:t>"</w:t>
      </w:r>
      <w:r w:rsidRPr="006046F0">
        <w:rPr>
          <w:i/>
        </w:rPr>
        <w:t xml:space="preserve"> with two mandatory </w:t>
      </w:r>
      <w:proofErr w:type="gramStart"/>
      <w:r w:rsidRPr="006046F0">
        <w:rPr>
          <w:i/>
        </w:rPr>
        <w:t>qualifier</w:t>
      </w:r>
      <w:r w:rsidR="00637252">
        <w:rPr>
          <w:i/>
        </w:rPr>
        <w:t>s</w:t>
      </w:r>
      <w:r w:rsidRPr="006046F0">
        <w:rPr>
          <w:i/>
        </w:rPr>
        <w:t>.</w:t>
      </w:r>
      <w:r w:rsidR="00797A6A">
        <w:t>'</w:t>
      </w:r>
      <w:r w:rsidR="00742BEA">
        <w:t>;</w:t>
      </w:r>
      <w:proofErr w:type="gramEnd"/>
    </w:p>
    <w:p w14:paraId="350F2333" w14:textId="1FE4A84F" w:rsidR="000064DB" w:rsidRPr="007A799B" w:rsidRDefault="000064DB" w:rsidP="003E5DE5">
      <w:pPr>
        <w:pStyle w:val="ListParagraph"/>
        <w:numPr>
          <w:ilvl w:val="0"/>
          <w:numId w:val="17"/>
        </w:numPr>
        <w:spacing w:after="120"/>
        <w:contextualSpacing w:val="0"/>
      </w:pPr>
      <w:r w:rsidRPr="007A799B">
        <w:t xml:space="preserve">Annex VII, Scenario 4: </w:t>
      </w:r>
      <w:r w:rsidR="006046F0">
        <w:t xml:space="preserve">replace </w:t>
      </w:r>
      <w:r w:rsidRPr="007A799B">
        <w:t xml:space="preserve">the table caption for the Nucleotide sequences </w:t>
      </w:r>
      <w:r w:rsidR="00797A6A">
        <w:t>table with: '</w:t>
      </w:r>
      <w:r w:rsidRPr="006046F0">
        <w:rPr>
          <w:i/>
        </w:rPr>
        <w:t xml:space="preserve">ST.26 - feature key 5.37 source; mandatory qualifier 6.39 </w:t>
      </w:r>
      <w:proofErr w:type="spellStart"/>
      <w:r w:rsidRPr="006046F0">
        <w:rPr>
          <w:i/>
        </w:rPr>
        <w:t>mol_type</w:t>
      </w:r>
      <w:proofErr w:type="spellEnd"/>
      <w:r w:rsidRPr="006046F0">
        <w:rPr>
          <w:i/>
        </w:rPr>
        <w:t xml:space="preserve"> (see ST.26 paragraph 75)</w:t>
      </w:r>
      <w:r w:rsidR="00797A6A">
        <w:t>'</w:t>
      </w:r>
      <w:r w:rsidRPr="007A799B">
        <w:t>;</w:t>
      </w:r>
    </w:p>
    <w:p w14:paraId="610B15C4" w14:textId="725A95A3" w:rsidR="00C4053E" w:rsidRDefault="000064DB" w:rsidP="003E5DE5">
      <w:pPr>
        <w:pStyle w:val="ListParagraph"/>
        <w:numPr>
          <w:ilvl w:val="0"/>
          <w:numId w:val="17"/>
        </w:numPr>
        <w:spacing w:after="120"/>
        <w:contextualSpacing w:val="0"/>
      </w:pPr>
      <w:r w:rsidRPr="007A799B">
        <w:t xml:space="preserve">Annex VII, Scenario 4: </w:t>
      </w:r>
      <w:r w:rsidR="003E5DE5">
        <w:t xml:space="preserve">replace </w:t>
      </w:r>
      <w:r w:rsidRPr="007A799B">
        <w:t>the table caption for the Amino acid sequences</w:t>
      </w:r>
      <w:r w:rsidR="00797A6A">
        <w:t xml:space="preserve"> table with '</w:t>
      </w:r>
      <w:r w:rsidRPr="006046F0">
        <w:rPr>
          <w:i/>
        </w:rPr>
        <w:t xml:space="preserve">ST.26 - feature key 7.30 source; mandatory qualifier 8.1 </w:t>
      </w:r>
      <w:proofErr w:type="spellStart"/>
      <w:r w:rsidRPr="006046F0">
        <w:rPr>
          <w:i/>
        </w:rPr>
        <w:t>mol_type</w:t>
      </w:r>
      <w:proofErr w:type="spellEnd"/>
      <w:r w:rsidRPr="006046F0">
        <w:rPr>
          <w:i/>
        </w:rPr>
        <w:t xml:space="preserve"> (see ST.26 paragraph 75) </w:t>
      </w:r>
      <w:r w:rsidR="00797A6A">
        <w:t>'</w:t>
      </w:r>
      <w:r w:rsidR="00192799">
        <w:t>;</w:t>
      </w:r>
    </w:p>
    <w:p w14:paraId="5E8025BA" w14:textId="7BF69703" w:rsidR="00637252" w:rsidRDefault="00192799" w:rsidP="00637252">
      <w:pPr>
        <w:pStyle w:val="ListParagraph"/>
        <w:numPr>
          <w:ilvl w:val="0"/>
          <w:numId w:val="17"/>
        </w:numPr>
        <w:spacing w:after="120"/>
        <w:contextualSpacing w:val="0"/>
      </w:pPr>
      <w:r>
        <w:t xml:space="preserve">Annex VII, Scenario 8: update row 18 of the included table </w:t>
      </w:r>
      <w:r w:rsidR="007A593F">
        <w:t xml:space="preserve">to add in the fourth column the following text: </w:t>
      </w:r>
      <w:r w:rsidR="007A593F" w:rsidRPr="007A593F">
        <w:rPr>
          <w:b/>
        </w:rPr>
        <w:t>'</w:t>
      </w:r>
      <w:proofErr w:type="spellStart"/>
      <w:r w:rsidR="007A593F" w:rsidRPr="007A593F">
        <w:rPr>
          <w:b/>
          <w:i/>
        </w:rPr>
        <w:t>TATA_signal</w:t>
      </w:r>
      <w:proofErr w:type="spellEnd"/>
      <w:r w:rsidR="007A593F" w:rsidRPr="007A593F">
        <w:rPr>
          <w:b/>
          <w:i/>
        </w:rPr>
        <w:t xml:space="preserve"> and (if &lt;223&gt; present):</w:t>
      </w:r>
      <w:r w:rsidR="007A593F">
        <w:t>', and also remove from the note the following text: '</w:t>
      </w:r>
      <w:r w:rsidR="007A593F" w:rsidRPr="007A593F">
        <w:rPr>
          <w:strike/>
        </w:rPr>
        <w:t>(if &lt;223&gt; present)</w:t>
      </w:r>
      <w:r w:rsidR="007A593F">
        <w:t>';</w:t>
      </w:r>
    </w:p>
    <w:p w14:paraId="5A7ACADE" w14:textId="3C2133E3" w:rsidR="00192799" w:rsidRDefault="00637252" w:rsidP="00203D73">
      <w:pPr>
        <w:pStyle w:val="ListParagraph"/>
        <w:numPr>
          <w:ilvl w:val="0"/>
          <w:numId w:val="17"/>
        </w:numPr>
        <w:spacing w:after="120"/>
        <w:contextualSpacing w:val="0"/>
      </w:pPr>
      <w:r>
        <w:t xml:space="preserve">Annex VII, Scenario 8: replace the second sentence of the footnote to read: </w:t>
      </w:r>
      <w:r w:rsidRPr="00D52A13">
        <w:rPr>
          <w:i/>
        </w:rPr>
        <w:t>In such a case, in order to avoid addition of subject-matter that may lead to partial loss of priority, it is recommended to include the more limited term "</w:t>
      </w:r>
      <w:proofErr w:type="spellStart"/>
      <w:r w:rsidRPr="00D52A13">
        <w:rPr>
          <w:i/>
        </w:rPr>
        <w:t>TATA_signal</w:t>
      </w:r>
      <w:proofErr w:type="spellEnd"/>
      <w:r w:rsidRPr="00D52A13">
        <w:rPr>
          <w:i/>
        </w:rPr>
        <w:t xml:space="preserve">" in a "note" qualifier as shown in the above table (item N° 18). If in rare cases the Applicant considers </w:t>
      </w:r>
      <w:proofErr w:type="gramStart"/>
      <w:r w:rsidRPr="00D52A13">
        <w:rPr>
          <w:i/>
        </w:rPr>
        <w:t>that</w:t>
      </w:r>
      <w:proofErr w:type="gramEnd"/>
      <w:r w:rsidRPr="00D52A13">
        <w:rPr>
          <w:i/>
        </w:rPr>
        <w:t xml:space="preserve"> the use of the "</w:t>
      </w:r>
      <w:proofErr w:type="spellStart"/>
      <w:r w:rsidRPr="00D52A13">
        <w:rPr>
          <w:i/>
        </w:rPr>
        <w:t>TATA_box</w:t>
      </w:r>
      <w:proofErr w:type="spellEnd"/>
      <w:r w:rsidRPr="00D52A13">
        <w:rPr>
          <w:i/>
        </w:rPr>
        <w:t>" value for the "</w:t>
      </w:r>
      <w:proofErr w:type="spellStart"/>
      <w:r w:rsidRPr="00D52A13">
        <w:rPr>
          <w:i/>
        </w:rPr>
        <w:t>regulatory_class</w:t>
      </w:r>
      <w:proofErr w:type="spellEnd"/>
      <w:r w:rsidRPr="00D52A13">
        <w:rPr>
          <w:i/>
        </w:rPr>
        <w:t xml:space="preserve">" qualifier is not appropriate, the </w:t>
      </w:r>
      <w:proofErr w:type="spellStart"/>
      <w:r w:rsidRPr="00D52A13">
        <w:rPr>
          <w:i/>
        </w:rPr>
        <w:t>value:"other</w:t>
      </w:r>
      <w:proofErr w:type="spellEnd"/>
      <w:r w:rsidRPr="00D52A13">
        <w:rPr>
          <w:i/>
        </w:rPr>
        <w:t>" may be used instead of "</w:t>
      </w:r>
      <w:proofErr w:type="spellStart"/>
      <w:r w:rsidRPr="00D52A13">
        <w:rPr>
          <w:i/>
        </w:rPr>
        <w:t>TATA_box</w:t>
      </w:r>
      <w:proofErr w:type="spellEnd"/>
      <w:r w:rsidRPr="00D52A13">
        <w:rPr>
          <w:i/>
        </w:rPr>
        <w:t>". In this case, the term "</w:t>
      </w:r>
      <w:proofErr w:type="spellStart"/>
      <w:r w:rsidRPr="00D52A13">
        <w:rPr>
          <w:i/>
        </w:rPr>
        <w:t>TATA_signal</w:t>
      </w:r>
      <w:proofErr w:type="spellEnd"/>
      <w:r w:rsidRPr="00D52A13">
        <w:rPr>
          <w:i/>
        </w:rPr>
        <w:t>" must be included in a "note" qualifier associated to the “regulatory" feature key'</w:t>
      </w:r>
      <w:r>
        <w:t>;</w:t>
      </w:r>
    </w:p>
    <w:p w14:paraId="7387E160" w14:textId="259115D0" w:rsidR="000064DB" w:rsidRDefault="00C4053E" w:rsidP="000064DB">
      <w:pPr>
        <w:pStyle w:val="ListParagraph"/>
        <w:numPr>
          <w:ilvl w:val="0"/>
          <w:numId w:val="17"/>
        </w:numPr>
        <w:spacing w:after="120"/>
        <w:contextualSpacing w:val="0"/>
      </w:pPr>
      <w:r>
        <w:t>Appendix to Annex VI: any corresponding changes require</w:t>
      </w:r>
      <w:r w:rsidR="009F2A15">
        <w:t>d</w:t>
      </w:r>
      <w:r>
        <w:t xml:space="preserve"> due to updates to Annex VI.  The Appendix to Annex VI is provided as Annex II to the present document.</w:t>
      </w:r>
      <w:r w:rsidR="000064DB">
        <w:t xml:space="preserve"> </w:t>
      </w:r>
    </w:p>
    <w:p w14:paraId="6828D8CB" w14:textId="11FB5D4F" w:rsidR="00565172" w:rsidRDefault="00A43A9C" w:rsidP="0018338A">
      <w:pPr>
        <w:pStyle w:val="Heading2"/>
      </w:pPr>
      <w:r>
        <w:t>Guidelines on updating ST.26 version</w:t>
      </w:r>
    </w:p>
    <w:p w14:paraId="73376993" w14:textId="6F337B33" w:rsidR="00A43A9C" w:rsidRDefault="00A43A9C" w:rsidP="00261DC6">
      <w:pPr>
        <w:spacing w:after="220"/>
      </w:pPr>
      <w:r>
        <w:fldChar w:fldCharType="begin"/>
      </w:r>
      <w:r>
        <w:instrText xml:space="preserve"> AUTONUM  </w:instrText>
      </w:r>
      <w:r>
        <w:fldChar w:fldCharType="end"/>
      </w:r>
      <w:r>
        <w:tab/>
        <w:t>As indicated above, the International Bureau noted</w:t>
      </w:r>
      <w:r w:rsidR="0000006A">
        <w:t>,</w:t>
      </w:r>
      <w:r>
        <w:t xml:space="preserve"> at the ninth session</w:t>
      </w:r>
      <w:r w:rsidR="0000006A">
        <w:t xml:space="preserve"> of the CWS,</w:t>
      </w:r>
      <w:r>
        <w:t xml:space="preserve"> the concerns regarding regular updates to WIPO ST.26 and the impact </w:t>
      </w:r>
      <w:r w:rsidR="00C338C3">
        <w:t xml:space="preserve">that </w:t>
      </w:r>
      <w:r>
        <w:t xml:space="preserve">this may </w:t>
      </w:r>
      <w:r w:rsidR="00C338C3">
        <w:t>cause</w:t>
      </w:r>
      <w:r w:rsidR="000F6D4C">
        <w:t xml:space="preserve"> (see paragraph 4</w:t>
      </w:r>
      <w:r w:rsidR="00EE1006">
        <w:t xml:space="preserve"> of </w:t>
      </w:r>
      <w:r w:rsidR="000F6D4C">
        <w:t>the present document</w:t>
      </w:r>
      <w:r w:rsidR="00EE1006">
        <w:t>)</w:t>
      </w:r>
      <w:r>
        <w:t xml:space="preserve">. </w:t>
      </w:r>
      <w:r w:rsidR="000F6D4C">
        <w:t xml:space="preserve"> </w:t>
      </w:r>
    </w:p>
    <w:p w14:paraId="5F67E861" w14:textId="30DD279B" w:rsidR="00A43A9C" w:rsidRDefault="000F6D4C" w:rsidP="00261DC6">
      <w:pPr>
        <w:spacing w:after="220"/>
      </w:pPr>
      <w:r>
        <w:fldChar w:fldCharType="begin"/>
      </w:r>
      <w:r>
        <w:instrText xml:space="preserve"> AUTONUM  </w:instrText>
      </w:r>
      <w:r>
        <w:fldChar w:fldCharType="end"/>
      </w:r>
      <w:r>
        <w:tab/>
      </w:r>
      <w:r w:rsidR="00C338C3">
        <w:t xml:space="preserve">It </w:t>
      </w:r>
      <w:r>
        <w:t xml:space="preserve">should </w:t>
      </w:r>
      <w:r w:rsidR="00C338C3">
        <w:t xml:space="preserve">be </w:t>
      </w:r>
      <w:r>
        <w:t>note</w:t>
      </w:r>
      <w:r w:rsidR="00C338C3">
        <w:t>d</w:t>
      </w:r>
      <w:r>
        <w:t xml:space="preserve"> that </w:t>
      </w:r>
      <w:r w:rsidR="00A43A9C">
        <w:t xml:space="preserve">WIPO ST.26 </w:t>
      </w:r>
      <w:proofErr w:type="gramStart"/>
      <w:r w:rsidR="00A43A9C">
        <w:t>will</w:t>
      </w:r>
      <w:proofErr w:type="gramEnd"/>
      <w:r w:rsidR="00A43A9C">
        <w:t xml:space="preserve"> only be updated at most once a year, as requ</w:t>
      </w:r>
      <w:r>
        <w:t>ired and as approved by the CWS.</w:t>
      </w:r>
      <w:r w:rsidRPr="000F6D4C">
        <w:t xml:space="preserve"> </w:t>
      </w:r>
      <w:r w:rsidR="002558D5">
        <w:t xml:space="preserve"> </w:t>
      </w:r>
      <w:r w:rsidR="00C338C3">
        <w:t>In the proposed revision</w:t>
      </w:r>
      <w:r w:rsidR="00F0740C">
        <w:t xml:space="preserve"> presented at CWS/10</w:t>
      </w:r>
      <w:r w:rsidR="00C338C3">
        <w:t>, there are</w:t>
      </w:r>
      <w:r w:rsidR="00F0740C">
        <w:t xml:space="preserve"> both</w:t>
      </w:r>
      <w:r w:rsidR="00C338C3">
        <w:t xml:space="preserve"> editorial and substantive amendments.  </w:t>
      </w:r>
      <w:r>
        <w:t xml:space="preserve">Editorial changes </w:t>
      </w:r>
      <w:r w:rsidR="00C338C3">
        <w:t xml:space="preserve">made in the </w:t>
      </w:r>
      <w:r w:rsidR="00F0740C">
        <w:t>M</w:t>
      </w:r>
      <w:r w:rsidR="00C338C3">
        <w:t xml:space="preserve">ain </w:t>
      </w:r>
      <w:r w:rsidR="00F0740C">
        <w:t>B</w:t>
      </w:r>
      <w:r w:rsidR="00C338C3">
        <w:t xml:space="preserve">ody </w:t>
      </w:r>
      <w:r>
        <w:t xml:space="preserve">should have no </w:t>
      </w:r>
      <w:r w:rsidR="00C338C3">
        <w:t xml:space="preserve">substantive </w:t>
      </w:r>
      <w:r>
        <w:t xml:space="preserve">impact on </w:t>
      </w:r>
      <w:r w:rsidR="00C338C3">
        <w:t xml:space="preserve">users including </w:t>
      </w:r>
      <w:r w:rsidR="00F0740C">
        <w:t>IPOs</w:t>
      </w:r>
      <w:r>
        <w:t xml:space="preserve">.  Substantive changes to Annexes VI and VII should also have no impact on </w:t>
      </w:r>
      <w:r w:rsidR="008A4D7A">
        <w:t xml:space="preserve">IPOs </w:t>
      </w:r>
      <w:r w:rsidR="00C338C3">
        <w:t>and users</w:t>
      </w:r>
      <w:r>
        <w:t xml:space="preserve">. </w:t>
      </w:r>
      <w:r w:rsidR="009F2A15">
        <w:t xml:space="preserve"> </w:t>
      </w:r>
    </w:p>
    <w:p w14:paraId="0F906C4F" w14:textId="5A81C694" w:rsidR="00A43A9C" w:rsidRDefault="000F6D4C" w:rsidP="00261DC6">
      <w:pPr>
        <w:spacing w:after="220"/>
      </w:pPr>
      <w:r>
        <w:fldChar w:fldCharType="begin"/>
      </w:r>
      <w:r>
        <w:instrText xml:space="preserve"> AUTONUM  </w:instrText>
      </w:r>
      <w:r>
        <w:fldChar w:fldCharType="end"/>
      </w:r>
      <w:r>
        <w:tab/>
      </w:r>
      <w:r w:rsidR="006A2E68" w:rsidRPr="006A2E68">
        <w:t>The International Bureau will</w:t>
      </w:r>
      <w:r w:rsidR="00E031FA">
        <w:t>,</w:t>
      </w:r>
      <w:r w:rsidR="006A2E68" w:rsidRPr="006A2E68">
        <w:t xml:space="preserve"> in future version</w:t>
      </w:r>
      <w:r w:rsidR="008B57FD">
        <w:t>s</w:t>
      </w:r>
      <w:r w:rsidR="006A2E68" w:rsidRPr="006A2E68">
        <w:t xml:space="preserve"> of the </w:t>
      </w:r>
      <w:r w:rsidR="005F7121">
        <w:t>WIPO ST.26</w:t>
      </w:r>
      <w:r w:rsidR="00E031FA">
        <w:t>,</w:t>
      </w:r>
      <w:r w:rsidR="006A2E68" w:rsidRPr="006A2E68">
        <w:t xml:space="preserve"> provide an appropriate version number, X.Y, which will indicate to users of the Standard whether this revision is considered </w:t>
      </w:r>
      <w:proofErr w:type="gramStart"/>
      <w:r w:rsidR="006A2E68" w:rsidRPr="006A2E68">
        <w:t>to be backwards</w:t>
      </w:r>
      <w:proofErr w:type="gramEnd"/>
      <w:r w:rsidR="006A2E68" w:rsidRPr="006A2E68">
        <w:t xml:space="preserve"> compa</w:t>
      </w:r>
      <w:r w:rsidR="006A2E68">
        <w:t xml:space="preserve">tible with the previous </w:t>
      </w:r>
      <w:r w:rsidR="006A2E68" w:rsidRPr="006A2E68">
        <w:t>version</w:t>
      </w:r>
      <w:r>
        <w:t xml:space="preserve">.  </w:t>
      </w:r>
      <w:r w:rsidR="006A2E68" w:rsidRPr="006A2E68">
        <w:t xml:space="preserve">Minor updates to the WIPO ST.26 </w:t>
      </w:r>
      <w:r w:rsidR="009C4F12">
        <w:t>are indicated by an increment to</w:t>
      </w:r>
      <w:r w:rsidR="006A2E68" w:rsidRPr="006A2E68">
        <w:t xml:space="preserve"> the second digit only ('Y') and these are </w:t>
      </w:r>
      <w:r w:rsidR="006A2E68">
        <w:t>considered backwards compatible</w:t>
      </w:r>
      <w:r>
        <w:t xml:space="preserve">. </w:t>
      </w:r>
      <w:r w:rsidR="006A2E68">
        <w:t xml:space="preserve"> </w:t>
      </w:r>
      <w:r w:rsidR="006A2E68" w:rsidRPr="006A2E68">
        <w:t>Major updates, which are indicated by an i</w:t>
      </w:r>
      <w:r w:rsidR="009C4F12">
        <w:t>ncrement to</w:t>
      </w:r>
      <w:r w:rsidR="006A2E68" w:rsidRPr="006A2E68">
        <w:t xml:space="preserve"> the first digit ('X') will likely have an impact on your IT systems and may require re-tooling.</w:t>
      </w:r>
      <w:r w:rsidR="005F7121">
        <w:t xml:space="preserve">  The version number of the DTD may be different to that of the Main Body and other Annexes.  </w:t>
      </w:r>
    </w:p>
    <w:p w14:paraId="35B99BE7" w14:textId="4555A7DB" w:rsidR="000B6790" w:rsidRDefault="00B24124" w:rsidP="002558D5">
      <w:pPr>
        <w:spacing w:after="220"/>
      </w:pPr>
      <w:r>
        <w:fldChar w:fldCharType="begin"/>
      </w:r>
      <w:r>
        <w:instrText xml:space="preserve"> AUTONUM  </w:instrText>
      </w:r>
      <w:r>
        <w:fldChar w:fldCharType="end"/>
      </w:r>
      <w:r>
        <w:tab/>
      </w:r>
      <w:proofErr w:type="gramStart"/>
      <w:r>
        <w:t xml:space="preserve">As there are no changes proposed to the WIPO ST.26 DTD </w:t>
      </w:r>
      <w:r w:rsidR="00E031FA">
        <w:t xml:space="preserve">except adding a comment </w:t>
      </w:r>
      <w:r>
        <w:t>in this new version</w:t>
      </w:r>
      <w:r w:rsidR="009C4F12">
        <w:t xml:space="preserve"> and the changes proposed to the Main Body </w:t>
      </w:r>
      <w:r w:rsidR="00E031FA">
        <w:t xml:space="preserve">and Annexes </w:t>
      </w:r>
      <w:r w:rsidR="009C4F12">
        <w:t>are mostly editorial in nature or for the purposes of clarification</w:t>
      </w:r>
      <w:r>
        <w:t>, the version number for the DT</w:t>
      </w:r>
      <w:r w:rsidR="005F7121">
        <w:t>D in this instance will remain as version 1.3</w:t>
      </w:r>
      <w:r w:rsidR="00E031FA">
        <w:t xml:space="preserve"> and t</w:t>
      </w:r>
      <w:r w:rsidR="005F7121">
        <w:t>he version number of the Standard will be updated to version 1.</w:t>
      </w:r>
      <w:r w:rsidR="000B6790">
        <w:t>6</w:t>
      </w:r>
      <w:r w:rsidR="005F7121">
        <w:t>.</w:t>
      </w:r>
      <w:proofErr w:type="gramEnd"/>
      <w:r w:rsidR="005F7121">
        <w:t xml:space="preserve"> </w:t>
      </w:r>
    </w:p>
    <w:p w14:paraId="1619DA59" w14:textId="4CEF1CF6" w:rsidR="002558D5" w:rsidRDefault="00C338C3" w:rsidP="002558D5">
      <w:pPr>
        <w:spacing w:after="220"/>
      </w:pPr>
      <w:r>
        <w:fldChar w:fldCharType="begin"/>
      </w:r>
      <w:r>
        <w:instrText xml:space="preserve"> AUTONUM  </w:instrText>
      </w:r>
      <w:r>
        <w:fldChar w:fldCharType="end"/>
      </w:r>
      <w:r>
        <w:tab/>
      </w:r>
      <w:r w:rsidR="000B6790">
        <w:t xml:space="preserve">If the proposed revision is approved by the CWS, </w:t>
      </w:r>
      <w:r>
        <w:t xml:space="preserve">in collaboration with the </w:t>
      </w:r>
      <w:r w:rsidR="00F0740C">
        <w:t>SEQL</w:t>
      </w:r>
      <w:r>
        <w:t xml:space="preserve"> Task Force, </w:t>
      </w:r>
      <w:r w:rsidR="000B6790">
        <w:t xml:space="preserve">the International Bureau will incorporate the </w:t>
      </w:r>
      <w:r>
        <w:t>approved contents into WIPO Standard ST.26 and publish it in 2022.</w:t>
      </w:r>
      <w:r w:rsidR="005F7121">
        <w:t xml:space="preserve"> </w:t>
      </w:r>
    </w:p>
    <w:p w14:paraId="0766AD70" w14:textId="68042957" w:rsidR="009C4F12" w:rsidRPr="00084955" w:rsidRDefault="009C4F12" w:rsidP="002558D5">
      <w:pPr>
        <w:spacing w:after="220"/>
      </w:pPr>
    </w:p>
    <w:p w14:paraId="7D88486C" w14:textId="77777777" w:rsidR="00663D77" w:rsidRPr="00325114" w:rsidRDefault="00663D77" w:rsidP="002361E3">
      <w:pPr>
        <w:spacing w:after="220"/>
        <w:ind w:left="5530"/>
        <w:rPr>
          <w:i/>
        </w:rPr>
      </w:pPr>
      <w:r w:rsidRPr="00325114">
        <w:rPr>
          <w:i/>
        </w:rPr>
        <w:fldChar w:fldCharType="begin"/>
      </w:r>
      <w:r w:rsidRPr="00325114">
        <w:rPr>
          <w:i/>
        </w:rPr>
        <w:instrText xml:space="preserve"> AUTONUM  </w:instrText>
      </w:r>
      <w:r w:rsidRPr="00325114">
        <w:rPr>
          <w:i/>
        </w:rPr>
        <w:fldChar w:fldCharType="end"/>
      </w:r>
      <w:r w:rsidRPr="00325114">
        <w:rPr>
          <w:i/>
        </w:rPr>
        <w:tab/>
        <w:t xml:space="preserve">The CWS is invited to: </w:t>
      </w:r>
    </w:p>
    <w:p w14:paraId="2EA957B6" w14:textId="4E6A5FEA" w:rsidR="00663D77" w:rsidRPr="002361E3" w:rsidRDefault="00663D77" w:rsidP="002361E3">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sidRPr="002361E3">
        <w:rPr>
          <w:rFonts w:eastAsia="Arial"/>
          <w:i/>
          <w:szCs w:val="22"/>
          <w:lang w:eastAsia="en-US"/>
        </w:rPr>
        <w:t>note</w:t>
      </w:r>
      <w:r w:rsidRPr="00325114">
        <w:rPr>
          <w:i/>
        </w:rPr>
        <w:t xml:space="preserve"> the content of this document</w:t>
      </w:r>
      <w:r w:rsidR="009A7FD1">
        <w:rPr>
          <w:i/>
        </w:rPr>
        <w:t xml:space="preserve"> and Annexes to this document</w:t>
      </w:r>
      <w:r w:rsidRPr="00325114">
        <w:rPr>
          <w:i/>
        </w:rPr>
        <w:t xml:space="preserve">; </w:t>
      </w:r>
      <w:r w:rsidR="000362A5">
        <w:rPr>
          <w:i/>
        </w:rPr>
        <w:t>and</w:t>
      </w:r>
    </w:p>
    <w:p w14:paraId="66C58303" w14:textId="130D49D9" w:rsidR="00565172" w:rsidRPr="003D7E2C" w:rsidRDefault="00663D77" w:rsidP="00565172">
      <w:pPr>
        <w:pStyle w:val="ListParagraph"/>
        <w:widowControl w:val="0"/>
        <w:numPr>
          <w:ilvl w:val="0"/>
          <w:numId w:val="9"/>
        </w:numPr>
        <w:tabs>
          <w:tab w:val="left" w:pos="6244"/>
          <w:tab w:val="left" w:pos="6245"/>
        </w:tabs>
        <w:autoSpaceDE w:val="0"/>
        <w:autoSpaceDN w:val="0"/>
        <w:spacing w:after="220"/>
        <w:ind w:right="490" w:firstLine="662"/>
        <w:contextualSpacing w:val="0"/>
        <w:rPr>
          <w:i/>
        </w:rPr>
      </w:pPr>
      <w:proofErr w:type="gramStart"/>
      <w:r w:rsidRPr="002361E3">
        <w:rPr>
          <w:rFonts w:eastAsia="Arial"/>
          <w:i/>
          <w:szCs w:val="22"/>
          <w:lang w:eastAsia="en-US"/>
        </w:rPr>
        <w:t>consider</w:t>
      </w:r>
      <w:proofErr w:type="gramEnd"/>
      <w:r w:rsidRPr="00325114">
        <w:rPr>
          <w:i/>
        </w:rPr>
        <w:t xml:space="preserve"> and approve the proposed r</w:t>
      </w:r>
      <w:r w:rsidR="001D4A9A" w:rsidRPr="00325114">
        <w:rPr>
          <w:i/>
        </w:rPr>
        <w:t>evision</w:t>
      </w:r>
      <w:r w:rsidR="009A7FD1">
        <w:rPr>
          <w:i/>
        </w:rPr>
        <w:t>s</w:t>
      </w:r>
      <w:r w:rsidR="001D4A9A" w:rsidRPr="00325114">
        <w:rPr>
          <w:i/>
        </w:rPr>
        <w:t xml:space="preserve"> to </w:t>
      </w:r>
      <w:r w:rsidRPr="00325114">
        <w:rPr>
          <w:i/>
        </w:rPr>
        <w:t>WIPO Standard ST. 26</w:t>
      </w:r>
      <w:r w:rsidR="001D4A9A" w:rsidRPr="00325114">
        <w:rPr>
          <w:i/>
        </w:rPr>
        <w:t xml:space="preserve"> </w:t>
      </w:r>
      <w:r w:rsidRPr="00325114">
        <w:rPr>
          <w:i/>
        </w:rPr>
        <w:t xml:space="preserve">as </w:t>
      </w:r>
      <w:r w:rsidR="003547D6" w:rsidRPr="00325114">
        <w:rPr>
          <w:i/>
        </w:rPr>
        <w:t>referred to</w:t>
      </w:r>
      <w:r w:rsidR="00F3242B" w:rsidRPr="00325114">
        <w:rPr>
          <w:i/>
        </w:rPr>
        <w:t xml:space="preserve"> in paragraph</w:t>
      </w:r>
      <w:r w:rsidR="009A7FD1">
        <w:rPr>
          <w:i/>
        </w:rPr>
        <w:t>s</w:t>
      </w:r>
      <w:r w:rsidR="00C4053E">
        <w:rPr>
          <w:i/>
        </w:rPr>
        <w:t xml:space="preserve"> 7</w:t>
      </w:r>
      <w:r w:rsidR="00975850" w:rsidRPr="00325114">
        <w:rPr>
          <w:i/>
        </w:rPr>
        <w:t xml:space="preserve"> and </w:t>
      </w:r>
      <w:r w:rsidR="00C4053E">
        <w:rPr>
          <w:i/>
        </w:rPr>
        <w:t>8</w:t>
      </w:r>
      <w:r w:rsidR="009A7FD1">
        <w:rPr>
          <w:i/>
        </w:rPr>
        <w:t xml:space="preserve"> above and </w:t>
      </w:r>
      <w:r w:rsidR="0046158C">
        <w:rPr>
          <w:i/>
        </w:rPr>
        <w:t>in the Annex</w:t>
      </w:r>
      <w:r w:rsidR="00C4053E">
        <w:rPr>
          <w:i/>
        </w:rPr>
        <w:t>es I and II</w:t>
      </w:r>
      <w:r w:rsidR="00975850" w:rsidRPr="00325114">
        <w:rPr>
          <w:i/>
        </w:rPr>
        <w:t xml:space="preserve"> to this document</w:t>
      </w:r>
      <w:r w:rsidR="000362A5">
        <w:rPr>
          <w:i/>
        </w:rPr>
        <w:t>.</w:t>
      </w:r>
    </w:p>
    <w:p w14:paraId="3AE9B54D" w14:textId="77777777" w:rsidR="003F1D06" w:rsidRPr="003F1D06" w:rsidRDefault="003F1D06" w:rsidP="003F1D06">
      <w:pPr>
        <w:pStyle w:val="ListParagraph"/>
        <w:rPr>
          <w:i/>
        </w:rPr>
      </w:pPr>
    </w:p>
    <w:p w14:paraId="65399B01" w14:textId="77777777" w:rsidR="00791E50" w:rsidRPr="00791E50" w:rsidRDefault="00791E50" w:rsidP="00791E50">
      <w:pPr>
        <w:pStyle w:val="ListParagraph"/>
        <w:rPr>
          <w:i/>
        </w:rPr>
      </w:pPr>
    </w:p>
    <w:p w14:paraId="6DFC6980" w14:textId="691784F1" w:rsidR="00791E50" w:rsidRPr="003547D6" w:rsidRDefault="00791E50" w:rsidP="0046158C">
      <w:pPr>
        <w:pStyle w:val="ListParagraph"/>
        <w:ind w:left="5530"/>
        <w:jc w:val="center"/>
        <w:rPr>
          <w:i/>
        </w:rPr>
      </w:pPr>
      <w:r>
        <w:t>[</w:t>
      </w:r>
      <w:r w:rsidR="0046158C">
        <w:t xml:space="preserve">Annex </w:t>
      </w:r>
      <w:r w:rsidR="00F24988">
        <w:t xml:space="preserve">I </w:t>
      </w:r>
      <w:r w:rsidR="0046158C">
        <w:t>(the proposed new Examples for Annex VI) follow</w:t>
      </w:r>
      <w:r w:rsidR="00F24988">
        <w:t>s</w:t>
      </w:r>
      <w:r w:rsidR="00164F30">
        <w:t>]</w:t>
      </w:r>
    </w:p>
    <w:p w14:paraId="0768422C" w14:textId="77777777" w:rsidR="003425DF" w:rsidRPr="003425DF" w:rsidRDefault="003425DF" w:rsidP="003425DF">
      <w:pPr>
        <w:pStyle w:val="BodyText"/>
      </w:pPr>
    </w:p>
    <w:sectPr w:rsidR="003425DF" w:rsidRPr="003425DF" w:rsidSect="00B9025F">
      <w:headerReference w:type="default" r:id="rId9"/>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D656" w14:textId="77777777" w:rsidR="00DF3E04" w:rsidRDefault="00DF3E04">
      <w:r>
        <w:separator/>
      </w:r>
    </w:p>
  </w:endnote>
  <w:endnote w:type="continuationSeparator" w:id="0">
    <w:p w14:paraId="124CB2C7" w14:textId="77777777" w:rsidR="00DF3E04" w:rsidRDefault="00DF3E04" w:rsidP="003B38C1">
      <w:r>
        <w:separator/>
      </w:r>
    </w:p>
    <w:p w14:paraId="237326DB" w14:textId="77777777" w:rsidR="00DF3E04" w:rsidRPr="003B38C1" w:rsidRDefault="00DF3E04" w:rsidP="003B38C1">
      <w:pPr>
        <w:spacing w:after="60"/>
        <w:rPr>
          <w:sz w:val="17"/>
        </w:rPr>
      </w:pPr>
      <w:r>
        <w:rPr>
          <w:sz w:val="17"/>
        </w:rPr>
        <w:t>[Endnote continued from previous page]</w:t>
      </w:r>
    </w:p>
  </w:endnote>
  <w:endnote w:type="continuationNotice" w:id="1">
    <w:p w14:paraId="6FC9468F" w14:textId="77777777" w:rsidR="00DF3E04" w:rsidRPr="003B38C1" w:rsidRDefault="00DF3E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5D7E3" w14:textId="77777777" w:rsidR="00DF3E04" w:rsidRDefault="00DF3E04">
      <w:r>
        <w:separator/>
      </w:r>
    </w:p>
  </w:footnote>
  <w:footnote w:type="continuationSeparator" w:id="0">
    <w:p w14:paraId="01A03330" w14:textId="77777777" w:rsidR="00DF3E04" w:rsidRDefault="00DF3E04" w:rsidP="008B60B2">
      <w:r>
        <w:separator/>
      </w:r>
    </w:p>
    <w:p w14:paraId="79D874D4" w14:textId="77777777" w:rsidR="00DF3E04" w:rsidRPr="00ED77FB" w:rsidRDefault="00DF3E04" w:rsidP="008B60B2">
      <w:pPr>
        <w:spacing w:after="60"/>
        <w:rPr>
          <w:sz w:val="17"/>
          <w:szCs w:val="17"/>
        </w:rPr>
      </w:pPr>
      <w:r w:rsidRPr="00ED77FB">
        <w:rPr>
          <w:sz w:val="17"/>
          <w:szCs w:val="17"/>
        </w:rPr>
        <w:t>[Footnote continued from previous page]</w:t>
      </w:r>
    </w:p>
  </w:footnote>
  <w:footnote w:type="continuationNotice" w:id="1">
    <w:p w14:paraId="20BE4E35" w14:textId="77777777" w:rsidR="00DF3E04" w:rsidRPr="00ED77FB" w:rsidRDefault="00DF3E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7331" w14:textId="1EBAB4DA" w:rsidR="00EC4E49" w:rsidRDefault="002361E3" w:rsidP="00725DDE">
    <w:pPr>
      <w:jc w:val="right"/>
    </w:pPr>
    <w:bookmarkStart w:id="6" w:name="Code2"/>
    <w:bookmarkEnd w:id="6"/>
    <w:r>
      <w:t>C</w:t>
    </w:r>
    <w:r w:rsidR="000761DE">
      <w:t>WS/10</w:t>
    </w:r>
    <w:r>
      <w:t>/</w:t>
    </w:r>
    <w:r w:rsidR="000761DE">
      <w:t>1</w:t>
    </w:r>
    <w:r w:rsidR="00725DDE">
      <w:t>3</w:t>
    </w:r>
    <w:r w:rsidR="00D57486">
      <w:t xml:space="preserve"> Rev. 2</w:t>
    </w:r>
  </w:p>
  <w:p w14:paraId="674AEFCC" w14:textId="2F17BCEB"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03D73">
      <w:rPr>
        <w:noProof/>
      </w:rPr>
      <w:t>5</w:t>
    </w:r>
    <w:r>
      <w:fldChar w:fldCharType="end"/>
    </w:r>
  </w:p>
  <w:p w14:paraId="40DE4C83" w14:textId="77777777" w:rsidR="00EC4E49" w:rsidRDefault="00EC4E49" w:rsidP="00477D6B">
    <w:pPr>
      <w:jc w:val="right"/>
    </w:pPr>
  </w:p>
  <w:p w14:paraId="2B2A0A8B"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A87C23B4"/>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51AC8"/>
    <w:multiLevelType w:val="hybridMultilevel"/>
    <w:tmpl w:val="A3F21876"/>
    <w:lvl w:ilvl="0" w:tplc="AC6073E4">
      <w:start w:val="1"/>
      <w:numFmt w:val="lowerLetter"/>
      <w:lvlText w:val="(%1)"/>
      <w:lvlJc w:val="left"/>
      <w:pPr>
        <w:ind w:left="720" w:hanging="360"/>
      </w:pPr>
      <w:rPr>
        <w:rFonts w:ascii="Arial" w:eastAsia="Arial" w:hAnsi="Arial" w:cs="Arial" w:hint="default"/>
        <w:color w:val="auto"/>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6"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1"/>
  </w:num>
  <w:num w:numId="5">
    <w:abstractNumId w:val="1"/>
  </w:num>
  <w:num w:numId="6">
    <w:abstractNumId w:val="5"/>
  </w:num>
  <w:num w:numId="7">
    <w:abstractNumId w:val="4"/>
  </w:num>
  <w:num w:numId="8">
    <w:abstractNumId w:val="16"/>
  </w:num>
  <w:num w:numId="9">
    <w:abstractNumId w:val="15"/>
  </w:num>
  <w:num w:numId="10">
    <w:abstractNumId w:val="7"/>
  </w:num>
  <w:num w:numId="11">
    <w:abstractNumId w:val="6"/>
  </w:num>
  <w:num w:numId="12">
    <w:abstractNumId w:val="12"/>
  </w:num>
  <w:num w:numId="13">
    <w:abstractNumId w:val="3"/>
  </w:num>
  <w:num w:numId="14">
    <w:abstractNumId w:val="10"/>
  </w:num>
  <w:num w:numId="15">
    <w:abstractNumId w:val="13"/>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0006A"/>
    <w:rsid w:val="000011EC"/>
    <w:rsid w:val="00002052"/>
    <w:rsid w:val="00003D3D"/>
    <w:rsid w:val="000064DB"/>
    <w:rsid w:val="0001030B"/>
    <w:rsid w:val="00013666"/>
    <w:rsid w:val="000157B4"/>
    <w:rsid w:val="00024553"/>
    <w:rsid w:val="00025F44"/>
    <w:rsid w:val="00032147"/>
    <w:rsid w:val="00034703"/>
    <w:rsid w:val="000362A5"/>
    <w:rsid w:val="00037A70"/>
    <w:rsid w:val="00043CAA"/>
    <w:rsid w:val="000512C7"/>
    <w:rsid w:val="00055A08"/>
    <w:rsid w:val="00075432"/>
    <w:rsid w:val="000761DE"/>
    <w:rsid w:val="00084C62"/>
    <w:rsid w:val="000855A3"/>
    <w:rsid w:val="000968ED"/>
    <w:rsid w:val="000B6790"/>
    <w:rsid w:val="000F5E56"/>
    <w:rsid w:val="000F6D4C"/>
    <w:rsid w:val="00111241"/>
    <w:rsid w:val="001362EE"/>
    <w:rsid w:val="00157468"/>
    <w:rsid w:val="00160A5B"/>
    <w:rsid w:val="0016398B"/>
    <w:rsid w:val="001647D5"/>
    <w:rsid w:val="00164F30"/>
    <w:rsid w:val="00167C03"/>
    <w:rsid w:val="001832A6"/>
    <w:rsid w:val="0018338A"/>
    <w:rsid w:val="001922FA"/>
    <w:rsid w:val="00192799"/>
    <w:rsid w:val="001A09F4"/>
    <w:rsid w:val="001B704D"/>
    <w:rsid w:val="001C6705"/>
    <w:rsid w:val="001C7AEE"/>
    <w:rsid w:val="001D1244"/>
    <w:rsid w:val="001D4A9A"/>
    <w:rsid w:val="001D598D"/>
    <w:rsid w:val="001F6CE3"/>
    <w:rsid w:val="00200D79"/>
    <w:rsid w:val="00203D73"/>
    <w:rsid w:val="0021217E"/>
    <w:rsid w:val="00215135"/>
    <w:rsid w:val="002361E3"/>
    <w:rsid w:val="00236267"/>
    <w:rsid w:val="00244E30"/>
    <w:rsid w:val="002558D5"/>
    <w:rsid w:val="00255D6D"/>
    <w:rsid w:val="00261DC6"/>
    <w:rsid w:val="002634C4"/>
    <w:rsid w:val="002742D4"/>
    <w:rsid w:val="00277396"/>
    <w:rsid w:val="002928D3"/>
    <w:rsid w:val="002A2D7E"/>
    <w:rsid w:val="002A4782"/>
    <w:rsid w:val="002A7BB2"/>
    <w:rsid w:val="002B059A"/>
    <w:rsid w:val="002D36EA"/>
    <w:rsid w:val="002E4E39"/>
    <w:rsid w:val="002F1FE6"/>
    <w:rsid w:val="002F4E68"/>
    <w:rsid w:val="003032F9"/>
    <w:rsid w:val="00304521"/>
    <w:rsid w:val="0030500E"/>
    <w:rsid w:val="00312F7F"/>
    <w:rsid w:val="00325114"/>
    <w:rsid w:val="003354EE"/>
    <w:rsid w:val="003425DF"/>
    <w:rsid w:val="003450ED"/>
    <w:rsid w:val="00354253"/>
    <w:rsid w:val="003547D6"/>
    <w:rsid w:val="0035585B"/>
    <w:rsid w:val="00361450"/>
    <w:rsid w:val="003673CF"/>
    <w:rsid w:val="003743A6"/>
    <w:rsid w:val="003845C1"/>
    <w:rsid w:val="0038551B"/>
    <w:rsid w:val="003A38A6"/>
    <w:rsid w:val="003A6F89"/>
    <w:rsid w:val="003B2619"/>
    <w:rsid w:val="003B38C1"/>
    <w:rsid w:val="003C580A"/>
    <w:rsid w:val="003D7236"/>
    <w:rsid w:val="003D7E2C"/>
    <w:rsid w:val="003E09B0"/>
    <w:rsid w:val="003E38DD"/>
    <w:rsid w:val="003E5DE5"/>
    <w:rsid w:val="003F1D06"/>
    <w:rsid w:val="00401DF8"/>
    <w:rsid w:val="00402B43"/>
    <w:rsid w:val="0042348D"/>
    <w:rsid w:val="00423E3E"/>
    <w:rsid w:val="00427AF4"/>
    <w:rsid w:val="00431C25"/>
    <w:rsid w:val="004403A9"/>
    <w:rsid w:val="00457439"/>
    <w:rsid w:val="00460D36"/>
    <w:rsid w:val="0046158C"/>
    <w:rsid w:val="004647DA"/>
    <w:rsid w:val="004708CD"/>
    <w:rsid w:val="00474062"/>
    <w:rsid w:val="00477D6B"/>
    <w:rsid w:val="004B35AE"/>
    <w:rsid w:val="004D7B89"/>
    <w:rsid w:val="004F1FDC"/>
    <w:rsid w:val="005019FF"/>
    <w:rsid w:val="0053057A"/>
    <w:rsid w:val="00534564"/>
    <w:rsid w:val="005454EA"/>
    <w:rsid w:val="00560A29"/>
    <w:rsid w:val="00565172"/>
    <w:rsid w:val="005838EA"/>
    <w:rsid w:val="0059699F"/>
    <w:rsid w:val="005B7577"/>
    <w:rsid w:val="005C102F"/>
    <w:rsid w:val="005C6649"/>
    <w:rsid w:val="005D01A2"/>
    <w:rsid w:val="005E06FF"/>
    <w:rsid w:val="005F5E6D"/>
    <w:rsid w:val="005F7121"/>
    <w:rsid w:val="006046F0"/>
    <w:rsid w:val="00605827"/>
    <w:rsid w:val="00615BAC"/>
    <w:rsid w:val="00634EB1"/>
    <w:rsid w:val="00637252"/>
    <w:rsid w:val="00646050"/>
    <w:rsid w:val="0066028C"/>
    <w:rsid w:val="00663C3E"/>
    <w:rsid w:val="00663D77"/>
    <w:rsid w:val="006713CA"/>
    <w:rsid w:val="00676C5C"/>
    <w:rsid w:val="00684A55"/>
    <w:rsid w:val="006A2E68"/>
    <w:rsid w:val="006B2A4B"/>
    <w:rsid w:val="006D6B60"/>
    <w:rsid w:val="006E3212"/>
    <w:rsid w:val="006E6B7F"/>
    <w:rsid w:val="006F0A27"/>
    <w:rsid w:val="006F1BFF"/>
    <w:rsid w:val="006F7493"/>
    <w:rsid w:val="00721F92"/>
    <w:rsid w:val="00725DDE"/>
    <w:rsid w:val="00732C25"/>
    <w:rsid w:val="00742BEA"/>
    <w:rsid w:val="00772B22"/>
    <w:rsid w:val="00791E50"/>
    <w:rsid w:val="00791E6C"/>
    <w:rsid w:val="00797A6A"/>
    <w:rsid w:val="007A593F"/>
    <w:rsid w:val="007A799B"/>
    <w:rsid w:val="007B0CC3"/>
    <w:rsid w:val="007D1613"/>
    <w:rsid w:val="007D45BD"/>
    <w:rsid w:val="007D7DDF"/>
    <w:rsid w:val="007E353F"/>
    <w:rsid w:val="007E468C"/>
    <w:rsid w:val="007E4C0E"/>
    <w:rsid w:val="007F6DA7"/>
    <w:rsid w:val="008265DC"/>
    <w:rsid w:val="0083724C"/>
    <w:rsid w:val="00840A2A"/>
    <w:rsid w:val="008578D4"/>
    <w:rsid w:val="00864FF7"/>
    <w:rsid w:val="00877303"/>
    <w:rsid w:val="008877E0"/>
    <w:rsid w:val="008A134B"/>
    <w:rsid w:val="008A3FA4"/>
    <w:rsid w:val="008A4D7A"/>
    <w:rsid w:val="008B2CC1"/>
    <w:rsid w:val="008B57FD"/>
    <w:rsid w:val="008B60B2"/>
    <w:rsid w:val="008B61E8"/>
    <w:rsid w:val="008E146A"/>
    <w:rsid w:val="008F2ADE"/>
    <w:rsid w:val="008F3452"/>
    <w:rsid w:val="0090731E"/>
    <w:rsid w:val="00916EE2"/>
    <w:rsid w:val="00935FB4"/>
    <w:rsid w:val="00941D35"/>
    <w:rsid w:val="009427D7"/>
    <w:rsid w:val="009437C0"/>
    <w:rsid w:val="00943F32"/>
    <w:rsid w:val="009472BE"/>
    <w:rsid w:val="00950FCE"/>
    <w:rsid w:val="00952D02"/>
    <w:rsid w:val="00955317"/>
    <w:rsid w:val="00957CDB"/>
    <w:rsid w:val="00962E91"/>
    <w:rsid w:val="00966A22"/>
    <w:rsid w:val="0096722F"/>
    <w:rsid w:val="00975850"/>
    <w:rsid w:val="00976443"/>
    <w:rsid w:val="00980843"/>
    <w:rsid w:val="00991357"/>
    <w:rsid w:val="009A4121"/>
    <w:rsid w:val="009A429E"/>
    <w:rsid w:val="009A7661"/>
    <w:rsid w:val="009A7FD1"/>
    <w:rsid w:val="009B124A"/>
    <w:rsid w:val="009C4F12"/>
    <w:rsid w:val="009C6D43"/>
    <w:rsid w:val="009C7DB0"/>
    <w:rsid w:val="009C7FDA"/>
    <w:rsid w:val="009D244E"/>
    <w:rsid w:val="009E2791"/>
    <w:rsid w:val="009E3F6F"/>
    <w:rsid w:val="009F0464"/>
    <w:rsid w:val="009F2A15"/>
    <w:rsid w:val="009F499F"/>
    <w:rsid w:val="009F64EA"/>
    <w:rsid w:val="009F6D87"/>
    <w:rsid w:val="00A03E7A"/>
    <w:rsid w:val="00A20A70"/>
    <w:rsid w:val="00A37342"/>
    <w:rsid w:val="00A42DAF"/>
    <w:rsid w:val="00A43A9C"/>
    <w:rsid w:val="00A45BD8"/>
    <w:rsid w:val="00A6319D"/>
    <w:rsid w:val="00A66FEB"/>
    <w:rsid w:val="00A67A7A"/>
    <w:rsid w:val="00A869B7"/>
    <w:rsid w:val="00A949E7"/>
    <w:rsid w:val="00AA6588"/>
    <w:rsid w:val="00AB7DCF"/>
    <w:rsid w:val="00AC205C"/>
    <w:rsid w:val="00AF0A6B"/>
    <w:rsid w:val="00B05A69"/>
    <w:rsid w:val="00B24124"/>
    <w:rsid w:val="00B24555"/>
    <w:rsid w:val="00B75D8B"/>
    <w:rsid w:val="00B9025F"/>
    <w:rsid w:val="00B9734B"/>
    <w:rsid w:val="00BA30E2"/>
    <w:rsid w:val="00BB3155"/>
    <w:rsid w:val="00BB459F"/>
    <w:rsid w:val="00BD1173"/>
    <w:rsid w:val="00BF33EB"/>
    <w:rsid w:val="00BF7409"/>
    <w:rsid w:val="00C0065B"/>
    <w:rsid w:val="00C04B65"/>
    <w:rsid w:val="00C11BFE"/>
    <w:rsid w:val="00C12296"/>
    <w:rsid w:val="00C3252A"/>
    <w:rsid w:val="00C338C3"/>
    <w:rsid w:val="00C35A7F"/>
    <w:rsid w:val="00C4053E"/>
    <w:rsid w:val="00C5068F"/>
    <w:rsid w:val="00C66A02"/>
    <w:rsid w:val="00C740D0"/>
    <w:rsid w:val="00C81A90"/>
    <w:rsid w:val="00C84723"/>
    <w:rsid w:val="00C86D74"/>
    <w:rsid w:val="00CA3B27"/>
    <w:rsid w:val="00CB55C5"/>
    <w:rsid w:val="00CC09E4"/>
    <w:rsid w:val="00CD04F1"/>
    <w:rsid w:val="00CD59F2"/>
    <w:rsid w:val="00CE6C7C"/>
    <w:rsid w:val="00CF1E62"/>
    <w:rsid w:val="00D3124F"/>
    <w:rsid w:val="00D34F1E"/>
    <w:rsid w:val="00D43F4A"/>
    <w:rsid w:val="00D45252"/>
    <w:rsid w:val="00D52A13"/>
    <w:rsid w:val="00D57486"/>
    <w:rsid w:val="00D71B4D"/>
    <w:rsid w:val="00D7763C"/>
    <w:rsid w:val="00D841A5"/>
    <w:rsid w:val="00D85004"/>
    <w:rsid w:val="00D93D55"/>
    <w:rsid w:val="00D95112"/>
    <w:rsid w:val="00DB74BC"/>
    <w:rsid w:val="00DB7566"/>
    <w:rsid w:val="00DC62B2"/>
    <w:rsid w:val="00DC6B9F"/>
    <w:rsid w:val="00DD0F16"/>
    <w:rsid w:val="00DF366F"/>
    <w:rsid w:val="00DF3E04"/>
    <w:rsid w:val="00E00889"/>
    <w:rsid w:val="00E031FA"/>
    <w:rsid w:val="00E15015"/>
    <w:rsid w:val="00E20303"/>
    <w:rsid w:val="00E228C8"/>
    <w:rsid w:val="00E25A0A"/>
    <w:rsid w:val="00E335FE"/>
    <w:rsid w:val="00E675C4"/>
    <w:rsid w:val="00E67A4A"/>
    <w:rsid w:val="00E72137"/>
    <w:rsid w:val="00E83519"/>
    <w:rsid w:val="00E861A0"/>
    <w:rsid w:val="00E9593A"/>
    <w:rsid w:val="00EA7D6E"/>
    <w:rsid w:val="00EC4E49"/>
    <w:rsid w:val="00ED44F1"/>
    <w:rsid w:val="00ED77FB"/>
    <w:rsid w:val="00EE0B51"/>
    <w:rsid w:val="00EE1006"/>
    <w:rsid w:val="00EE45FA"/>
    <w:rsid w:val="00EF385A"/>
    <w:rsid w:val="00EF79FE"/>
    <w:rsid w:val="00F0740C"/>
    <w:rsid w:val="00F24988"/>
    <w:rsid w:val="00F3242B"/>
    <w:rsid w:val="00F374C9"/>
    <w:rsid w:val="00F576E1"/>
    <w:rsid w:val="00F66152"/>
    <w:rsid w:val="00F760EF"/>
    <w:rsid w:val="00F97F92"/>
    <w:rsid w:val="00FC3F5D"/>
    <w:rsid w:val="00FD2D13"/>
    <w:rsid w:val="00FE47F9"/>
    <w:rsid w:val="00FF0B12"/>
    <w:rsid w:val="00FF5EA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6201"/>
  <w15:docId w15:val="{CCB31848-02E1-41E2-B945-59BEA527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434EC-0437-4F5E-9F2E-4C4C88E5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CWS/10/13 Rev.2</vt:lpstr>
    </vt:vector>
  </TitlesOfParts>
  <Company>WIPO</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CWS/10/13 Rev.2</dc:title>
  <dc:subject>Committee on WIPO Standards (CWS), 9th Session, November 1 to 5, 2021</dc:subject>
  <dc:creator>WIPO</dc:creator>
  <cp:keywords>FOR OFFICIAL USE ONLY</cp:keywords>
  <dc:description/>
  <cp:lastModifiedBy>CHAVAS Louison</cp:lastModifiedBy>
  <cp:revision>2</cp:revision>
  <cp:lastPrinted>2020-09-10T14:25:00Z</cp:lastPrinted>
  <dcterms:created xsi:type="dcterms:W3CDTF">2022-11-28T09:41:00Z</dcterms:created>
  <dcterms:modified xsi:type="dcterms:W3CDTF">2022-11-28T09:41:00Z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21fbf4f0-4838-4cb6-aba4-fd1b148d18d2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