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17C61" w14:textId="3A3FC918" w:rsidR="008B2CC1" w:rsidRPr="00F043DE" w:rsidRDefault="00085CB4" w:rsidP="00CC3E2D">
      <w:pPr>
        <w:pBdr>
          <w:bottom w:val="single" w:sz="4" w:space="10" w:color="auto"/>
        </w:pBdr>
        <w:bidi w:val="0"/>
        <w:spacing w:after="120"/>
        <w:rPr>
          <w:b/>
          <w:sz w:val="32"/>
          <w:szCs w:val="40"/>
        </w:rPr>
      </w:pPr>
      <w:r>
        <w:pict w14:anchorId="4E840850">
          <v:group id="Group 5" o:spid="_x0000_s2050" alt="Titre : شعار الويبو، المنظمة العالمية للملكية الفكرية - Description :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8" o:title="شعار المنظمة العالمية للملكية الفكرية (الويبو)"/>
            </v:shape>
            <v:shape id="Picture 3" o:spid="_x0000_s2052"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9" o:title="عربية"/>
            </v:shape>
            <w10:wrap type="none"/>
            <w10:anchorlock/>
          </v:group>
        </w:pict>
      </w:r>
    </w:p>
    <w:p w14:paraId="059D5BC0" w14:textId="70007567" w:rsidR="008B2CC1" w:rsidRPr="002326AB" w:rsidRDefault="00FE5D75" w:rsidP="00250149">
      <w:pPr>
        <w:bidi w:val="0"/>
        <w:rPr>
          <w:rFonts w:ascii="Arial Black" w:hAnsi="Arial Black"/>
          <w:caps/>
          <w:sz w:val="15"/>
          <w:szCs w:val="15"/>
          <w:rtl/>
          <w:lang w:bidi="ar-EG"/>
        </w:rPr>
      </w:pPr>
      <w:bookmarkStart w:id="0" w:name="Code"/>
      <w:bookmarkEnd w:id="0"/>
      <w:r w:rsidRPr="00FE5D75">
        <w:rPr>
          <w:rFonts w:ascii="Arial Black" w:hAnsi="Arial Black"/>
          <w:caps/>
          <w:sz w:val="15"/>
          <w:szCs w:val="15"/>
        </w:rPr>
        <w:t>CWS/9/</w:t>
      </w:r>
      <w:r w:rsidR="00FC56B7">
        <w:rPr>
          <w:rFonts w:ascii="Arial Black" w:hAnsi="Arial Black"/>
          <w:caps/>
          <w:sz w:val="15"/>
          <w:szCs w:val="15"/>
        </w:rPr>
        <w:t>21</w:t>
      </w:r>
    </w:p>
    <w:p w14:paraId="00D5854F" w14:textId="77777777" w:rsidR="008B2CC1" w:rsidRPr="00CC3E2D" w:rsidRDefault="00CC3E2D" w:rsidP="00CC3E2D">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62607" w:rsidRPr="00262607">
        <w:rPr>
          <w:rFonts w:asciiTheme="minorHAnsi" w:hAnsiTheme="minorHAnsi"/>
          <w:caps/>
          <w:sz w:val="15"/>
          <w:szCs w:val="15"/>
          <w:rtl/>
        </w:rPr>
        <w:t>بالإنكليزية</w:t>
      </w:r>
    </w:p>
    <w:p w14:paraId="1A67CFCA" w14:textId="0C393597" w:rsidR="008B2CC1" w:rsidRPr="00CC3E2D" w:rsidRDefault="00CC3E2D" w:rsidP="00FE132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التاريخ:</w:t>
      </w:r>
      <w:r w:rsidR="00262607">
        <w:rPr>
          <w:rFonts w:asciiTheme="minorHAnsi" w:hAnsiTheme="minorHAnsi" w:cstheme="minorHAnsi" w:hint="cs"/>
          <w:b/>
          <w:bCs/>
          <w:caps/>
          <w:sz w:val="15"/>
          <w:szCs w:val="15"/>
          <w:rtl/>
        </w:rPr>
        <w:t xml:space="preserve"> </w:t>
      </w:r>
      <w:r w:rsidR="00FC56B7">
        <w:rPr>
          <w:rFonts w:asciiTheme="minorHAnsi" w:hAnsiTheme="minorHAnsi" w:cstheme="minorHAnsi" w:hint="cs"/>
          <w:b/>
          <w:bCs/>
          <w:caps/>
          <w:sz w:val="15"/>
          <w:szCs w:val="15"/>
          <w:rtl/>
        </w:rPr>
        <w:t>11</w:t>
      </w:r>
      <w:r w:rsidR="00262607">
        <w:rPr>
          <w:rFonts w:asciiTheme="minorHAnsi" w:hAnsiTheme="minorHAnsi" w:cstheme="minorHAnsi" w:hint="cs"/>
          <w:b/>
          <w:bCs/>
          <w:caps/>
          <w:sz w:val="15"/>
          <w:szCs w:val="15"/>
          <w:rtl/>
        </w:rPr>
        <w:t xml:space="preserve"> </w:t>
      </w:r>
      <w:r w:rsidR="00AA79E7">
        <w:rPr>
          <w:rFonts w:asciiTheme="minorHAnsi" w:hAnsiTheme="minorHAnsi" w:cstheme="minorHAnsi" w:hint="cs"/>
          <w:b/>
          <w:bCs/>
          <w:caps/>
          <w:sz w:val="15"/>
          <w:szCs w:val="15"/>
          <w:rtl/>
        </w:rPr>
        <w:t>أكتوبر</w:t>
      </w:r>
      <w:r w:rsidR="00262607">
        <w:rPr>
          <w:rFonts w:asciiTheme="minorHAnsi" w:hAnsiTheme="minorHAnsi" w:cstheme="minorHAnsi" w:hint="cs"/>
          <w:b/>
          <w:bCs/>
          <w:caps/>
          <w:sz w:val="15"/>
          <w:szCs w:val="15"/>
          <w:rtl/>
        </w:rPr>
        <w:t xml:space="preserve"> 2021</w:t>
      </w:r>
      <w:r>
        <w:rPr>
          <w:rFonts w:asciiTheme="minorHAnsi" w:hAnsiTheme="minorHAnsi" w:cstheme="minorHAnsi" w:hint="cs"/>
          <w:b/>
          <w:bCs/>
          <w:caps/>
          <w:sz w:val="15"/>
          <w:szCs w:val="15"/>
          <w:rtl/>
        </w:rPr>
        <w:t xml:space="preserve"> </w:t>
      </w:r>
    </w:p>
    <w:bookmarkEnd w:id="2"/>
    <w:p w14:paraId="1B9B32AE" w14:textId="77777777" w:rsidR="008B2CC1" w:rsidRPr="00D67EAE" w:rsidRDefault="00250149" w:rsidP="00FE5D75">
      <w:pPr>
        <w:pStyle w:val="Heading1"/>
      </w:pPr>
      <w:r>
        <w:rPr>
          <w:rFonts w:hint="cs"/>
          <w:rtl/>
        </w:rPr>
        <w:t xml:space="preserve">اللجنة </w:t>
      </w:r>
      <w:r w:rsidR="00FE5D75">
        <w:rPr>
          <w:rFonts w:hint="cs"/>
          <w:rtl/>
        </w:rPr>
        <w:t>المعنية بمعايير الويبو</w:t>
      </w:r>
    </w:p>
    <w:p w14:paraId="2BF40854" w14:textId="77777777" w:rsidR="00A90F0A" w:rsidRPr="00D67EAE" w:rsidRDefault="00D67EAE" w:rsidP="00FE5D75">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FE5D75">
        <w:rPr>
          <w:rFonts w:asciiTheme="minorHAnsi" w:hAnsiTheme="minorHAnsi" w:cstheme="minorHAnsi" w:hint="cs"/>
          <w:bCs/>
          <w:sz w:val="24"/>
          <w:szCs w:val="24"/>
          <w:rtl/>
        </w:rPr>
        <w:t>التاسعة</w:t>
      </w:r>
    </w:p>
    <w:p w14:paraId="4BF048CE" w14:textId="77777777" w:rsidR="008B2CC1" w:rsidRPr="00D67EAE" w:rsidRDefault="00D67EAE" w:rsidP="00FE5D75">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FE5D75">
        <w:rPr>
          <w:rFonts w:asciiTheme="minorHAnsi" w:hAnsiTheme="minorHAnsi" w:cstheme="minorHAnsi" w:hint="cs"/>
          <w:bCs/>
          <w:sz w:val="24"/>
          <w:szCs w:val="24"/>
          <w:rtl/>
        </w:rPr>
        <w:t>1</w:t>
      </w:r>
      <w:r w:rsidRPr="00D67EAE">
        <w:rPr>
          <w:rFonts w:asciiTheme="minorHAnsi" w:hAnsiTheme="minorHAnsi" w:cstheme="minorHAnsi" w:hint="cs"/>
          <w:bCs/>
          <w:sz w:val="24"/>
          <w:szCs w:val="24"/>
          <w:rtl/>
        </w:rPr>
        <w:t xml:space="preserve"> إلى </w:t>
      </w:r>
      <w:r w:rsidR="00FE5D75">
        <w:rPr>
          <w:rFonts w:asciiTheme="minorHAnsi" w:hAnsiTheme="minorHAnsi" w:cstheme="minorHAnsi" w:hint="cs"/>
          <w:bCs/>
          <w:sz w:val="24"/>
          <w:szCs w:val="24"/>
          <w:rtl/>
        </w:rPr>
        <w:t>5</w:t>
      </w:r>
      <w:r w:rsidRPr="00D67EAE">
        <w:rPr>
          <w:rFonts w:asciiTheme="minorHAnsi" w:hAnsiTheme="minorHAnsi" w:cstheme="minorHAnsi" w:hint="cs"/>
          <w:bCs/>
          <w:sz w:val="24"/>
          <w:szCs w:val="24"/>
          <w:rtl/>
        </w:rPr>
        <w:t xml:space="preserve"> </w:t>
      </w:r>
      <w:r w:rsidR="00FE5D75">
        <w:rPr>
          <w:rFonts w:asciiTheme="minorHAnsi" w:hAnsiTheme="minorHAnsi" w:cstheme="minorHAnsi" w:hint="cs"/>
          <w:bCs/>
          <w:sz w:val="24"/>
          <w:szCs w:val="24"/>
          <w:rtl/>
        </w:rPr>
        <w:t>نوفمبر</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14:paraId="5C25F790" w14:textId="30F18EB5" w:rsidR="008B2CC1" w:rsidRPr="00262607" w:rsidRDefault="00684EE2" w:rsidP="002D4484">
      <w:pPr>
        <w:spacing w:after="360"/>
        <w:outlineLvl w:val="0"/>
        <w:rPr>
          <w:rFonts w:asciiTheme="minorHAnsi" w:hAnsiTheme="minorHAnsi" w:cstheme="minorHAnsi"/>
          <w:caps/>
          <w:sz w:val="24"/>
          <w:szCs w:val="24"/>
        </w:rPr>
      </w:pPr>
      <w:bookmarkStart w:id="3" w:name="TitleOfDoc"/>
      <w:r w:rsidRPr="00684EE2">
        <w:rPr>
          <w:rFonts w:asciiTheme="minorHAnsi" w:hAnsiTheme="minorHAnsi"/>
          <w:caps/>
          <w:sz w:val="24"/>
          <w:szCs w:val="24"/>
          <w:rtl/>
        </w:rPr>
        <w:t>معلومات عن دخول الطلبات الدولية المنشورة بناء على معاهدة التعاون بشأن البراءات في المرحلة الوطنية (الإقليمية)</w:t>
      </w:r>
    </w:p>
    <w:p w14:paraId="3797470C" w14:textId="77777777" w:rsidR="002928D3" w:rsidRPr="00FE132C" w:rsidRDefault="00D67EAE" w:rsidP="00E655A0">
      <w:pPr>
        <w:spacing w:after="1040"/>
        <w:rPr>
          <w:rFonts w:asciiTheme="minorHAnsi" w:hAnsiTheme="minorHAnsi" w:cstheme="minorHAnsi"/>
          <w:b/>
          <w:bCs/>
          <w:iCs/>
        </w:rPr>
      </w:pPr>
      <w:bookmarkStart w:id="4" w:name="Prepared"/>
      <w:bookmarkEnd w:id="3"/>
      <w:bookmarkEnd w:id="4"/>
      <w:r w:rsidRPr="00D67EAE">
        <w:rPr>
          <w:rFonts w:asciiTheme="minorHAnsi" w:hAnsiTheme="minorHAnsi" w:cstheme="minorHAnsi" w:hint="cs"/>
          <w:iCs/>
          <w:rtl/>
        </w:rPr>
        <w:t>وثيقة من إعداد</w:t>
      </w:r>
      <w:r w:rsidR="00262607">
        <w:rPr>
          <w:rFonts w:asciiTheme="minorHAnsi" w:hAnsiTheme="minorHAnsi" w:cstheme="minorHAnsi" w:hint="cs"/>
          <w:iCs/>
          <w:rtl/>
        </w:rPr>
        <w:t xml:space="preserve"> </w:t>
      </w:r>
      <w:r w:rsidR="00E655A0">
        <w:rPr>
          <w:rFonts w:asciiTheme="minorHAnsi" w:hAnsiTheme="minorHAnsi" w:cstheme="minorHAnsi" w:hint="cs"/>
          <w:iCs/>
          <w:rtl/>
        </w:rPr>
        <w:t>المكتب الدولي</w:t>
      </w:r>
    </w:p>
    <w:p w14:paraId="3064924E" w14:textId="387870BC" w:rsidR="00684EE2" w:rsidRDefault="00684EE2" w:rsidP="00684EE2">
      <w:pPr>
        <w:pStyle w:val="ONUMA"/>
      </w:pPr>
      <w:r>
        <w:rPr>
          <w:rtl/>
        </w:rPr>
        <w:t>ترصد اللجنة المعنية بمعايير الويبو (لجنة المعايير)، وفقاً للمهمة رقم 23، "إدراج المعلومات عن دخول الطلبات الدولية المنشورة بناء على معاهدة التعاون بشأن البراءات، وعدم دخولها، حسب الحال، في المرحلة الوطنية (الإقليمية) في قواعد البيانات".</w:t>
      </w:r>
      <w:r>
        <w:rPr>
          <w:rFonts w:hint="cs"/>
          <w:rtl/>
        </w:rPr>
        <w:t xml:space="preserve"> </w:t>
      </w:r>
      <w:r>
        <w:rPr>
          <w:rtl/>
        </w:rPr>
        <w:t xml:space="preserve">وينبغي للمكتب الدولي أن يقدم تقريراً كل سنتين عن التقدم المحرز في تلك المهمة إلى اجتماعات لجنة المعايير (انظر الوثيقة </w:t>
      </w:r>
      <w:r>
        <w:t>CWS/3/12</w:t>
      </w:r>
      <w:r>
        <w:rPr>
          <w:rtl/>
        </w:rPr>
        <w:t xml:space="preserve"> والفقرة 73 من الوثيقة </w:t>
      </w:r>
      <w:r>
        <w:t>CWS/3/14</w:t>
      </w:r>
      <w:r>
        <w:rPr>
          <w:rtl/>
        </w:rPr>
        <w:t>).</w:t>
      </w:r>
    </w:p>
    <w:p w14:paraId="283E1421" w14:textId="2AD183BD" w:rsidR="001413DD" w:rsidRDefault="00ED79DB" w:rsidP="00684EE2">
      <w:pPr>
        <w:pStyle w:val="ONUMA"/>
      </w:pPr>
      <w:r>
        <w:rPr>
          <w:rFonts w:hint="cs"/>
          <w:rtl/>
        </w:rPr>
        <w:t xml:space="preserve">وأشارت لجنة المعايير في دورتها السادسة أن </w:t>
      </w:r>
      <w:r w:rsidR="00684EE2">
        <w:rPr>
          <w:rtl/>
        </w:rPr>
        <w:t>المكاتب المعيّنة</w:t>
      </w:r>
      <w:r w:rsidRPr="00ED79DB">
        <w:rPr>
          <w:rtl/>
        </w:rPr>
        <w:t xml:space="preserve"> </w:t>
      </w:r>
      <w:r>
        <w:rPr>
          <w:rtl/>
        </w:rPr>
        <w:t xml:space="preserve">أُلزمت </w:t>
      </w:r>
      <w:r w:rsidR="00684EE2">
        <w:rPr>
          <w:rtl/>
        </w:rPr>
        <w:t xml:space="preserve">منذ 1 يوليو 2017، بناء على القاعدة </w:t>
      </w:r>
      <w:r>
        <w:rPr>
          <w:rFonts w:hint="cs"/>
          <w:rtl/>
        </w:rPr>
        <w:t>95.1</w:t>
      </w:r>
      <w:r w:rsidR="00684EE2">
        <w:rPr>
          <w:rtl/>
        </w:rPr>
        <w:t xml:space="preserve"> بإخطار المكتب الدولي بشأن الطلبات الدولية التي تدخل المرحلة الوطنية لديها.</w:t>
      </w:r>
      <w:r w:rsidR="00684EE2">
        <w:rPr>
          <w:rFonts w:hint="cs"/>
          <w:rtl/>
        </w:rPr>
        <w:t xml:space="preserve"> </w:t>
      </w:r>
      <w:r w:rsidRPr="00ED79DB">
        <w:rPr>
          <w:rtl/>
        </w:rPr>
        <w:t xml:space="preserve">كما أشارت لجنة المعايير إلى أن المكتب الدولي </w:t>
      </w:r>
      <w:r>
        <w:rPr>
          <w:rFonts w:hint="cs"/>
          <w:rtl/>
        </w:rPr>
        <w:t>وضع</w:t>
      </w:r>
      <w:r w:rsidRPr="00ED79DB">
        <w:rPr>
          <w:rtl/>
        </w:rPr>
        <w:t xml:space="preserve"> </w:t>
      </w:r>
      <w:r>
        <w:rPr>
          <w:rFonts w:hint="cs"/>
          <w:rtl/>
        </w:rPr>
        <w:t>نظما</w:t>
      </w:r>
      <w:r w:rsidRPr="00ED79DB">
        <w:rPr>
          <w:rtl/>
        </w:rPr>
        <w:t xml:space="preserve"> لجمع هذه المعلومات </w:t>
      </w:r>
      <w:r>
        <w:rPr>
          <w:rFonts w:hint="cs"/>
          <w:rtl/>
        </w:rPr>
        <w:t>ونشرها</w:t>
      </w:r>
      <w:r w:rsidRPr="00ED79DB">
        <w:rPr>
          <w:rtl/>
        </w:rPr>
        <w:t xml:space="preserve">، كما تم تعزيز تسليم وإبراز بيانات دخول المرحلة الوطنية من خلال </w:t>
      </w:r>
      <w:r>
        <w:rPr>
          <w:rFonts w:hint="cs"/>
          <w:rtl/>
        </w:rPr>
        <w:t>ال</w:t>
      </w:r>
      <w:r w:rsidRPr="00ED79DB">
        <w:rPr>
          <w:rtl/>
        </w:rPr>
        <w:t xml:space="preserve">موقع </w:t>
      </w:r>
      <w:r>
        <w:rPr>
          <w:rFonts w:hint="cs"/>
          <w:rtl/>
        </w:rPr>
        <w:t>الإلكتروني لر</w:t>
      </w:r>
      <w:r w:rsidRPr="00ED79DB">
        <w:rPr>
          <w:rtl/>
        </w:rPr>
        <w:t>كن</w:t>
      </w:r>
      <w:r>
        <w:rPr>
          <w:rFonts w:hint="cs"/>
          <w:rtl/>
        </w:rPr>
        <w:t xml:space="preserve"> البراءات</w:t>
      </w:r>
      <w:r w:rsidRPr="00ED79DB">
        <w:rPr>
          <w:rtl/>
        </w:rPr>
        <w:t xml:space="preserve">: </w:t>
      </w:r>
      <w:hyperlink r:id="rId10" w:history="1">
        <w:r w:rsidRPr="00CC4A3A">
          <w:rPr>
            <w:rStyle w:val="Hyperlink"/>
          </w:rPr>
          <w:t>https://patentscope.wipo.int/search/ar/structuredSearch.jsf</w:t>
        </w:r>
      </w:hyperlink>
      <w:r>
        <w:rPr>
          <w:rFonts w:hint="cs"/>
          <w:rtl/>
        </w:rPr>
        <w:t xml:space="preserve"> </w:t>
      </w:r>
      <w:r w:rsidRPr="00ED79DB">
        <w:rPr>
          <w:rtl/>
        </w:rPr>
        <w:t xml:space="preserve">حيث يمكن تنزيل مجموعات بيانات </w:t>
      </w:r>
      <w:r>
        <w:rPr>
          <w:rFonts w:hint="cs"/>
          <w:rtl/>
        </w:rPr>
        <w:t>دخول</w:t>
      </w:r>
      <w:r w:rsidRPr="00ED79DB">
        <w:rPr>
          <w:rtl/>
        </w:rPr>
        <w:t xml:space="preserve"> المرحلة الوطنية </w:t>
      </w:r>
      <w:r w:rsidR="00AA6749">
        <w:rPr>
          <w:rFonts w:hint="cs"/>
          <w:rtl/>
        </w:rPr>
        <w:t>بنسق</w:t>
      </w:r>
      <w:r w:rsidRPr="00ED79DB">
        <w:rPr>
          <w:rtl/>
        </w:rPr>
        <w:t xml:space="preserve"> </w:t>
      </w:r>
      <w:r w:rsidRPr="00ED79DB">
        <w:t>CSV</w:t>
      </w:r>
      <w:r w:rsidRPr="00ED79DB">
        <w:rPr>
          <w:rtl/>
        </w:rPr>
        <w:t xml:space="preserve">. </w:t>
      </w:r>
      <w:r>
        <w:rPr>
          <w:rFonts w:hint="cs"/>
          <w:rtl/>
        </w:rPr>
        <w:t>وأخذا في الاعتبار</w:t>
      </w:r>
      <w:r w:rsidRPr="00ED79DB">
        <w:rPr>
          <w:rtl/>
        </w:rPr>
        <w:t xml:space="preserve"> القاعدة الجديدة لمعاهدة البراءات وتوافر البيانات من خلال </w:t>
      </w:r>
      <w:r>
        <w:rPr>
          <w:rFonts w:hint="cs"/>
          <w:rtl/>
        </w:rPr>
        <w:t>ال</w:t>
      </w:r>
      <w:r w:rsidRPr="00ED79DB">
        <w:rPr>
          <w:rtl/>
        </w:rPr>
        <w:t xml:space="preserve">موقع </w:t>
      </w:r>
      <w:r>
        <w:rPr>
          <w:rFonts w:hint="cs"/>
          <w:rtl/>
        </w:rPr>
        <w:t>الإلكتروني ل</w:t>
      </w:r>
      <w:r w:rsidRPr="00ED79DB">
        <w:rPr>
          <w:rtl/>
        </w:rPr>
        <w:t xml:space="preserve">ركن البراءات، اقترح المكتب الدولي وقف مهمة </w:t>
      </w:r>
      <w:r>
        <w:rPr>
          <w:rFonts w:hint="cs"/>
          <w:rtl/>
        </w:rPr>
        <w:t>لجنة المعايير</w:t>
      </w:r>
      <w:r w:rsidRPr="00ED79DB">
        <w:rPr>
          <w:rtl/>
        </w:rPr>
        <w:t xml:space="preserve"> رقم 23. </w:t>
      </w:r>
      <w:r w:rsidR="00A57DCD">
        <w:rPr>
          <w:rFonts w:hint="cs"/>
          <w:rtl/>
        </w:rPr>
        <w:t>واعترضت</w:t>
      </w:r>
      <w:r w:rsidRPr="00ED79DB">
        <w:rPr>
          <w:rtl/>
        </w:rPr>
        <w:t xml:space="preserve"> لجنة المعايير على أن وقف المهمة رقم 23 قد يكون سابقًا لأوانه وأن المهمة يجب أن تستمر </w:t>
      </w:r>
      <w:r w:rsidR="00A57DCD">
        <w:rPr>
          <w:rFonts w:hint="cs"/>
          <w:rtl/>
        </w:rPr>
        <w:t>لدورة</w:t>
      </w:r>
      <w:r w:rsidRPr="00ED79DB">
        <w:rPr>
          <w:rtl/>
        </w:rPr>
        <w:t xml:space="preserve"> أخرى</w:t>
      </w:r>
      <w:r w:rsidR="00A57DCD">
        <w:rPr>
          <w:rFonts w:hint="cs"/>
          <w:rtl/>
        </w:rPr>
        <w:t xml:space="preserve"> </w:t>
      </w:r>
      <w:r w:rsidRPr="00ED79DB">
        <w:rPr>
          <w:rtl/>
        </w:rPr>
        <w:t xml:space="preserve">قبل التوقف في عام 2020. (انظر الوثيقة </w:t>
      </w:r>
      <w:r w:rsidR="00A57DCD" w:rsidRPr="00A57DCD">
        <w:t>CWS/6/30</w:t>
      </w:r>
      <w:r w:rsidR="00A57DCD" w:rsidRPr="00A57DCD">
        <w:rPr>
          <w:rtl/>
        </w:rPr>
        <w:t xml:space="preserve"> </w:t>
      </w:r>
      <w:r w:rsidRPr="00ED79DB">
        <w:rPr>
          <w:rtl/>
        </w:rPr>
        <w:t xml:space="preserve">والفقرات من 181 إلى 184 من الوثيقة </w:t>
      </w:r>
      <w:r w:rsidR="00A57DCD" w:rsidRPr="00A57DCD">
        <w:t>CWS/6/34</w:t>
      </w:r>
      <w:r w:rsidRPr="00ED79DB">
        <w:rPr>
          <w:rtl/>
        </w:rPr>
        <w:t>)</w:t>
      </w:r>
      <w:r w:rsidR="00A57DCD">
        <w:rPr>
          <w:rFonts w:hint="cs"/>
          <w:rtl/>
        </w:rPr>
        <w:t>.</w:t>
      </w:r>
    </w:p>
    <w:p w14:paraId="6291D1F6" w14:textId="7BAE395F" w:rsidR="00915731" w:rsidRDefault="00AA6749" w:rsidP="00817851">
      <w:pPr>
        <w:pStyle w:val="ONUMA"/>
      </w:pPr>
      <w:r>
        <w:rPr>
          <w:rFonts w:hint="cs"/>
          <w:rtl/>
        </w:rPr>
        <w:t>و</w:t>
      </w:r>
      <w:r>
        <w:rPr>
          <w:rtl/>
        </w:rPr>
        <w:t xml:space="preserve">يمكن حاليًا تنزيل بيانات دخول المرحلة الوطنية لمعاهدة البراءات من </w:t>
      </w:r>
      <w:r>
        <w:rPr>
          <w:rFonts w:hint="cs"/>
          <w:rtl/>
        </w:rPr>
        <w:t>ال</w:t>
      </w:r>
      <w:r>
        <w:rPr>
          <w:rtl/>
        </w:rPr>
        <w:t>موقع</w:t>
      </w:r>
      <w:r>
        <w:rPr>
          <w:rFonts w:hint="cs"/>
          <w:rtl/>
        </w:rPr>
        <w:t xml:space="preserve"> الإلكتروني</w:t>
      </w:r>
      <w:r>
        <w:rPr>
          <w:rtl/>
        </w:rPr>
        <w:t xml:space="preserve"> </w:t>
      </w:r>
      <w:r>
        <w:rPr>
          <w:rFonts w:hint="cs"/>
          <w:rtl/>
        </w:rPr>
        <w:t>ل</w:t>
      </w:r>
      <w:r>
        <w:rPr>
          <w:rtl/>
        </w:rPr>
        <w:t>ركن البراءات المذكور أعلاه في مجموعتي "</w:t>
      </w:r>
      <w:r>
        <w:rPr>
          <w:rFonts w:hint="cs"/>
          <w:rtl/>
        </w:rPr>
        <w:t>الكل</w:t>
      </w:r>
      <w:r>
        <w:rPr>
          <w:rtl/>
        </w:rPr>
        <w:t xml:space="preserve">" و "آخر 7 أيام". </w:t>
      </w:r>
      <w:r>
        <w:rPr>
          <w:rFonts w:hint="cs"/>
          <w:rtl/>
        </w:rPr>
        <w:t>و</w:t>
      </w:r>
      <w:r>
        <w:rPr>
          <w:rtl/>
        </w:rPr>
        <w:t xml:space="preserve">عند إعداد هذه الوثيقة، وفقًا لمجموعة البيانات الكاملة، تتوفر بيانات 82 مكتبًا في ركن البراءات وقدمت 43 مكتباً فقط بيانات عام 2021: </w:t>
      </w:r>
      <w:r w:rsidR="00A25532">
        <w:rPr>
          <w:rFonts w:hint="cs"/>
          <w:rtl/>
        </w:rPr>
        <w:t xml:space="preserve">الإمارات العربية المتحدة وأرمينيا وأنغولا والنمسا وأستراليا وكندا وسويسرا والصين والجمهورية التشيكية وألمانيا وجيبوتي والدانمرك والمكتب الأوروبي للبراءات وإسبانيا وفنلندا والمملكة المتحدة وجورجيا وكرواتيا وهنغاريا وإسرائيل والهند واليابان </w:t>
      </w:r>
      <w:r w:rsidR="00C86EAF">
        <w:rPr>
          <w:rFonts w:hint="cs"/>
          <w:rtl/>
        </w:rPr>
        <w:t xml:space="preserve">وجمهورية كوريا </w:t>
      </w:r>
      <w:r w:rsidR="00A25532">
        <w:rPr>
          <w:rFonts w:hint="cs"/>
          <w:rtl/>
        </w:rPr>
        <w:t>وكزاخستان</w:t>
      </w:r>
      <w:r w:rsidR="00C86EAF" w:rsidRPr="00C86EAF">
        <w:rPr>
          <w:rFonts w:hint="cs"/>
          <w:rtl/>
        </w:rPr>
        <w:t xml:space="preserve"> </w:t>
      </w:r>
      <w:r w:rsidR="00C86EAF">
        <w:rPr>
          <w:rFonts w:hint="cs"/>
          <w:rtl/>
        </w:rPr>
        <w:t>وجمهورية مولدوفا</w:t>
      </w:r>
      <w:r w:rsidR="00A25532">
        <w:rPr>
          <w:rFonts w:hint="cs"/>
          <w:rtl/>
        </w:rPr>
        <w:t xml:space="preserve"> و</w:t>
      </w:r>
      <w:r w:rsidR="00C86EAF">
        <w:rPr>
          <w:rFonts w:hint="cs"/>
          <w:rtl/>
        </w:rPr>
        <w:t>المكسيك</w:t>
      </w:r>
      <w:r w:rsidR="00C86EAF" w:rsidRPr="00C86EAF">
        <w:rPr>
          <w:rtl/>
        </w:rPr>
        <w:t xml:space="preserve"> </w:t>
      </w:r>
      <w:r w:rsidR="00C86EAF">
        <w:rPr>
          <w:rFonts w:hint="cs"/>
          <w:rtl/>
        </w:rPr>
        <w:t>و</w:t>
      </w:r>
      <w:r w:rsidR="00C86EAF" w:rsidRPr="00C86EAF">
        <w:rPr>
          <w:rtl/>
        </w:rPr>
        <w:t>نيكاراغوا</w:t>
      </w:r>
      <w:r w:rsidR="00C86EAF">
        <w:rPr>
          <w:rFonts w:hint="cs"/>
          <w:rtl/>
        </w:rPr>
        <w:t xml:space="preserve"> والنرويج وبيرو </w:t>
      </w:r>
      <w:r w:rsidR="00915731">
        <w:rPr>
          <w:rFonts w:hint="cs"/>
          <w:rtl/>
        </w:rPr>
        <w:t>و</w:t>
      </w:r>
      <w:r w:rsidR="00C86EAF">
        <w:rPr>
          <w:rFonts w:hint="cs"/>
          <w:rtl/>
        </w:rPr>
        <w:t>الفلبين وبولندا ورومانيا وصربيا والاتحاد الروسي والعربية السعودية والسويد</w:t>
      </w:r>
      <w:r w:rsidR="00D748D5">
        <w:rPr>
          <w:rFonts w:hint="cs"/>
          <w:rtl/>
        </w:rPr>
        <w:t xml:space="preserve"> وسنغافورة وسلوفاكيا</w:t>
      </w:r>
      <w:r w:rsidR="00C86EAF">
        <w:rPr>
          <w:rFonts w:hint="cs"/>
          <w:rtl/>
        </w:rPr>
        <w:t xml:space="preserve">  </w:t>
      </w:r>
      <w:r w:rsidR="00D748D5">
        <w:rPr>
          <w:rFonts w:hint="cs"/>
          <w:rtl/>
        </w:rPr>
        <w:t xml:space="preserve">وتايلند وتركيا </w:t>
      </w:r>
      <w:r w:rsidR="00A25532">
        <w:rPr>
          <w:rFonts w:hint="cs"/>
          <w:rtl/>
        </w:rPr>
        <w:t>و</w:t>
      </w:r>
      <w:r w:rsidR="00D748D5" w:rsidRPr="00D748D5">
        <w:rPr>
          <w:rtl/>
        </w:rPr>
        <w:t>أوكرانيا</w:t>
      </w:r>
      <w:r w:rsidR="00A25532">
        <w:rPr>
          <w:rFonts w:hint="cs"/>
          <w:rtl/>
          <w:lang w:bidi="ar-EG"/>
        </w:rPr>
        <w:t xml:space="preserve"> </w:t>
      </w:r>
      <w:r w:rsidR="00D748D5">
        <w:rPr>
          <w:rFonts w:hint="cs"/>
          <w:rtl/>
          <w:lang w:bidi="ar-EG"/>
        </w:rPr>
        <w:t>والولايات المتحدة الأمريكية وزامبيا. و</w:t>
      </w:r>
      <w:r>
        <w:rPr>
          <w:rtl/>
        </w:rPr>
        <w:t>يشجع المكتب الدولي المكاتب على تقديم بيانات دخول المرحلة الوطنية الخاصة به</w:t>
      </w:r>
      <w:r w:rsidR="00915731">
        <w:rPr>
          <w:rFonts w:hint="cs"/>
          <w:rtl/>
        </w:rPr>
        <w:t>ا</w:t>
      </w:r>
      <w:r>
        <w:rPr>
          <w:rtl/>
        </w:rPr>
        <w:t>.</w:t>
      </w:r>
    </w:p>
    <w:p w14:paraId="7904F434" w14:textId="6D888E82" w:rsidR="00C43F6C" w:rsidRDefault="00817851" w:rsidP="00D84D81">
      <w:pPr>
        <w:pStyle w:val="ONUMA"/>
        <w:keepNext/>
        <w:rPr>
          <w:rtl/>
        </w:rPr>
      </w:pPr>
      <w:r w:rsidRPr="00817851">
        <w:rPr>
          <w:rtl/>
        </w:rPr>
        <w:lastRenderedPageBreak/>
        <w:t>ولما كان الشرط الجديد بشأن توفير بيانات الدخول إلى المرحلة الوطنية قد دخل حيز النفاذ بموجب معاهدة التعاون بشأن البراءات، وكانت البيانات متاحة للجمهور على الموقع الإلكتروني لركن البراءات، تقترح الأمانة وقف المهمة رقم 23 للجنة المعايير</w:t>
      </w:r>
      <w:r w:rsidR="00AA6749">
        <w:rPr>
          <w:rtl/>
        </w:rPr>
        <w:t>.</w:t>
      </w:r>
    </w:p>
    <w:p w14:paraId="23E6A493" w14:textId="77777777" w:rsidR="004F57F4" w:rsidRPr="009D1FDC" w:rsidRDefault="004F57F4" w:rsidP="005508A8">
      <w:pPr>
        <w:pStyle w:val="ONUMA"/>
        <w:ind w:left="6025" w:hanging="540"/>
        <w:rPr>
          <w:i/>
          <w:iCs/>
        </w:rPr>
      </w:pPr>
      <w:r w:rsidRPr="009D1FDC">
        <w:rPr>
          <w:rFonts w:hint="cs"/>
          <w:i/>
          <w:iCs/>
          <w:rtl/>
        </w:rPr>
        <w:t>إن لجنة المعايير مدعوة إلى ما يلي:</w:t>
      </w:r>
    </w:p>
    <w:p w14:paraId="62446B20" w14:textId="6AF877E0" w:rsidR="005508A8" w:rsidRPr="009D1FDC" w:rsidRDefault="005508A8" w:rsidP="000B2A4E">
      <w:pPr>
        <w:pStyle w:val="ONUMA"/>
        <w:numPr>
          <w:ilvl w:val="0"/>
          <w:numId w:val="23"/>
        </w:numPr>
        <w:tabs>
          <w:tab w:val="right" w:pos="4225"/>
          <w:tab w:val="right" w:pos="4855"/>
          <w:tab w:val="right" w:pos="6475"/>
        </w:tabs>
        <w:ind w:left="5485" w:firstLine="540"/>
        <w:rPr>
          <w:i/>
          <w:iCs/>
        </w:rPr>
      </w:pPr>
      <w:r w:rsidRPr="009D1FDC">
        <w:rPr>
          <w:rFonts w:hint="cs"/>
          <w:i/>
          <w:iCs/>
          <w:rtl/>
        </w:rPr>
        <w:t xml:space="preserve"> </w:t>
      </w:r>
      <w:r w:rsidR="000B2A4E" w:rsidRPr="009D1FDC">
        <w:rPr>
          <w:rFonts w:hint="cs"/>
          <w:i/>
          <w:iCs/>
          <w:rtl/>
        </w:rPr>
        <w:t>الإحاطة علما</w:t>
      </w:r>
      <w:r w:rsidRPr="009D1FDC">
        <w:rPr>
          <w:i/>
          <w:iCs/>
          <w:rtl/>
        </w:rPr>
        <w:t xml:space="preserve"> </w:t>
      </w:r>
      <w:r w:rsidR="000B2A4E" w:rsidRPr="009D1FDC">
        <w:rPr>
          <w:rFonts w:hint="cs"/>
          <w:i/>
          <w:iCs/>
          <w:rtl/>
        </w:rPr>
        <w:t>ب</w:t>
      </w:r>
      <w:r w:rsidRPr="009D1FDC">
        <w:rPr>
          <w:i/>
          <w:iCs/>
          <w:rtl/>
        </w:rPr>
        <w:t xml:space="preserve">محتوى هذه الوثيقة؛ </w:t>
      </w:r>
    </w:p>
    <w:p w14:paraId="10438951" w14:textId="7810DB6D" w:rsidR="00206593" w:rsidRDefault="00817851" w:rsidP="00817851">
      <w:pPr>
        <w:pStyle w:val="ONUMA"/>
        <w:numPr>
          <w:ilvl w:val="0"/>
          <w:numId w:val="23"/>
        </w:numPr>
        <w:tabs>
          <w:tab w:val="right" w:pos="4225"/>
          <w:tab w:val="right" w:pos="4855"/>
          <w:tab w:val="right" w:pos="6475"/>
        </w:tabs>
        <w:ind w:left="5485" w:firstLine="540"/>
        <w:rPr>
          <w:rtl/>
        </w:rPr>
      </w:pPr>
      <w:r w:rsidRPr="00817851">
        <w:rPr>
          <w:i/>
          <w:iCs/>
          <w:rtl/>
        </w:rPr>
        <w:t>النظر في اقتراح وقف المهمة رقم 23، كما هو مبين في الفقرة 4 أعلاه</w:t>
      </w:r>
      <w:r w:rsidR="00D64FBC" w:rsidRPr="00D64FBC">
        <w:rPr>
          <w:i/>
          <w:iCs/>
          <w:rtl/>
        </w:rPr>
        <w:t xml:space="preserve">؛ </w:t>
      </w:r>
    </w:p>
    <w:p w14:paraId="4B7B231C" w14:textId="4DFEC0D6" w:rsidR="00817851" w:rsidRDefault="00817851" w:rsidP="00360601">
      <w:pPr>
        <w:pStyle w:val="Endofdocument-Annex"/>
        <w:rPr>
          <w:rtl/>
          <w:lang w:eastAsia="en-US"/>
        </w:rPr>
      </w:pPr>
    </w:p>
    <w:p w14:paraId="4138BF83" w14:textId="64554CC7" w:rsidR="00817851" w:rsidRDefault="00817851" w:rsidP="00360601">
      <w:pPr>
        <w:pStyle w:val="Endofdocument-Annex"/>
        <w:rPr>
          <w:rtl/>
          <w:lang w:eastAsia="en-US"/>
        </w:rPr>
      </w:pPr>
    </w:p>
    <w:p w14:paraId="09F7AA97" w14:textId="585ADB74" w:rsidR="00360601" w:rsidRPr="00425C84" w:rsidRDefault="007969D1" w:rsidP="00360601">
      <w:pPr>
        <w:pStyle w:val="Endofdocument-Annex"/>
        <w:rPr>
          <w:lang w:eastAsia="en-US"/>
        </w:rPr>
      </w:pPr>
      <w:bookmarkStart w:id="5" w:name="_GoBack"/>
      <w:bookmarkEnd w:id="5"/>
      <w:r w:rsidRPr="007969D1">
        <w:rPr>
          <w:rtl/>
          <w:lang w:eastAsia="en-US"/>
        </w:rPr>
        <w:t>[</w:t>
      </w:r>
      <w:r w:rsidR="009D1FDC">
        <w:rPr>
          <w:rFonts w:hint="cs"/>
          <w:rtl/>
          <w:lang w:eastAsia="en-US"/>
        </w:rPr>
        <w:t>نهاية الوثيقة</w:t>
      </w:r>
      <w:r w:rsidRPr="007969D1">
        <w:rPr>
          <w:rtl/>
          <w:lang w:eastAsia="en-US"/>
        </w:rPr>
        <w:t>]</w:t>
      </w:r>
    </w:p>
    <w:p w14:paraId="057D7CA8" w14:textId="755031D6" w:rsidR="007969D1" w:rsidRPr="00425C84" w:rsidRDefault="007969D1" w:rsidP="00425C84">
      <w:pPr>
        <w:pStyle w:val="Endofdocument-Annex"/>
        <w:rPr>
          <w:rtl/>
          <w:lang w:eastAsia="en-US"/>
        </w:rPr>
      </w:pPr>
    </w:p>
    <w:sectPr w:rsidR="007969D1" w:rsidRPr="00425C84" w:rsidSect="00CC3E2D">
      <w:headerReference w:type="default" r:id="rId1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FDB41" w14:textId="77777777" w:rsidR="00547877" w:rsidRDefault="00547877">
      <w:r>
        <w:separator/>
      </w:r>
    </w:p>
  </w:endnote>
  <w:endnote w:type="continuationSeparator" w:id="0">
    <w:p w14:paraId="559D71B8" w14:textId="77777777" w:rsidR="00547877" w:rsidRDefault="00547877" w:rsidP="003B38C1">
      <w:r>
        <w:separator/>
      </w:r>
    </w:p>
    <w:p w14:paraId="1420817A" w14:textId="77777777" w:rsidR="00547877" w:rsidRPr="003B38C1" w:rsidRDefault="00547877" w:rsidP="003B38C1">
      <w:pPr>
        <w:spacing w:after="60"/>
        <w:rPr>
          <w:sz w:val="17"/>
        </w:rPr>
      </w:pPr>
      <w:r>
        <w:rPr>
          <w:sz w:val="17"/>
        </w:rPr>
        <w:t>[Endnote continued from previous page]</w:t>
      </w:r>
    </w:p>
  </w:endnote>
  <w:endnote w:type="continuationNotice" w:id="1">
    <w:p w14:paraId="1E564EE8" w14:textId="77777777" w:rsidR="00547877" w:rsidRPr="003B38C1" w:rsidRDefault="005478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47FE1" w14:textId="77777777" w:rsidR="00547877" w:rsidRDefault="00547877">
      <w:r>
        <w:separator/>
      </w:r>
    </w:p>
  </w:footnote>
  <w:footnote w:type="continuationSeparator" w:id="0">
    <w:p w14:paraId="0CAEF060" w14:textId="77777777" w:rsidR="00547877" w:rsidRDefault="00547877" w:rsidP="008B60B2">
      <w:r>
        <w:separator/>
      </w:r>
    </w:p>
    <w:p w14:paraId="2E483C03" w14:textId="77777777" w:rsidR="00547877" w:rsidRPr="00ED77FB" w:rsidRDefault="00547877" w:rsidP="008B60B2">
      <w:pPr>
        <w:spacing w:after="60"/>
        <w:rPr>
          <w:sz w:val="17"/>
          <w:szCs w:val="17"/>
        </w:rPr>
      </w:pPr>
      <w:r w:rsidRPr="00ED77FB">
        <w:rPr>
          <w:sz w:val="17"/>
          <w:szCs w:val="17"/>
        </w:rPr>
        <w:t>[Footnote continued from previous page]</w:t>
      </w:r>
    </w:p>
  </w:footnote>
  <w:footnote w:type="continuationNotice" w:id="1">
    <w:p w14:paraId="55B526A0" w14:textId="77777777" w:rsidR="00547877" w:rsidRPr="00ED77FB" w:rsidRDefault="0054787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F4A7" w14:textId="729404D4" w:rsidR="00155952" w:rsidRPr="00AE13CB" w:rsidRDefault="00155952" w:rsidP="00155952">
    <w:pPr>
      <w:bidi w:val="0"/>
      <w:rPr>
        <w:rFonts w:cs="Arial"/>
        <w:caps/>
        <w:szCs w:val="20"/>
        <w:rtl/>
        <w:lang w:val="fr-MA" w:bidi="ar-EG"/>
      </w:rPr>
    </w:pPr>
    <w:r w:rsidRPr="00360601">
      <w:rPr>
        <w:rFonts w:cs="Arial"/>
        <w:caps/>
        <w:szCs w:val="20"/>
      </w:rPr>
      <w:t>CWS/9/</w:t>
    </w:r>
    <w:r w:rsidR="00E61C37">
      <w:rPr>
        <w:rFonts w:cs="Arial"/>
        <w:caps/>
        <w:szCs w:val="20"/>
      </w:rPr>
      <w:t>21</w:t>
    </w:r>
  </w:p>
  <w:p w14:paraId="18D88363" w14:textId="4F22DEB5" w:rsidR="00155952" w:rsidRPr="00360601" w:rsidRDefault="00155952" w:rsidP="00155952">
    <w:pPr>
      <w:bidi w:val="0"/>
      <w:rPr>
        <w:rFonts w:cs="Arial"/>
        <w:szCs w:val="20"/>
      </w:rPr>
    </w:pPr>
    <w:r w:rsidRPr="00360601">
      <w:rPr>
        <w:rFonts w:cs="Arial"/>
        <w:szCs w:val="20"/>
      </w:rPr>
      <w:fldChar w:fldCharType="begin"/>
    </w:r>
    <w:r w:rsidRPr="00360601">
      <w:rPr>
        <w:rFonts w:cs="Arial"/>
        <w:szCs w:val="20"/>
      </w:rPr>
      <w:instrText xml:space="preserve"> PAGE  \* MERGEFORMAT </w:instrText>
    </w:r>
    <w:r w:rsidRPr="00360601">
      <w:rPr>
        <w:rFonts w:cs="Arial"/>
        <w:szCs w:val="20"/>
      </w:rPr>
      <w:fldChar w:fldCharType="separate"/>
    </w:r>
    <w:r w:rsidR="00085CB4">
      <w:rPr>
        <w:rFonts w:cs="Arial"/>
        <w:noProof/>
        <w:szCs w:val="20"/>
      </w:rPr>
      <w:t>2</w:t>
    </w:r>
    <w:r w:rsidRPr="00360601">
      <w:rPr>
        <w:rFonts w:cs="Arial"/>
        <w:szCs w:val="20"/>
      </w:rPr>
      <w:fldChar w:fldCharType="end"/>
    </w:r>
  </w:p>
  <w:p w14:paraId="114FCE8B" w14:textId="453522D7" w:rsidR="00155952" w:rsidRDefault="00155952" w:rsidP="00155952">
    <w:pPr>
      <w:pStyle w:val="Header"/>
      <w:jc w:val="right"/>
      <w:rPr>
        <w:rtl/>
      </w:rPr>
    </w:pPr>
  </w:p>
  <w:p w14:paraId="22865C96" w14:textId="77777777" w:rsidR="00155952" w:rsidRDefault="00155952" w:rsidP="001559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3F683FE3"/>
    <w:multiLevelType w:val="hybridMultilevel"/>
    <w:tmpl w:val="12D4B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D64410"/>
    <w:multiLevelType w:val="hybridMultilevel"/>
    <w:tmpl w:val="7520E4A0"/>
    <w:lvl w:ilvl="0" w:tplc="8580E61E">
      <w:start w:val="1"/>
      <w:numFmt w:val="arabicAbjad"/>
      <w:lvlText w:val="(%1)"/>
      <w:lvlJc w:val="left"/>
      <w:pPr>
        <w:ind w:left="752" w:hanging="360"/>
      </w:pPr>
      <w:rPr>
        <w:rFonts w:asciiTheme="minorHAnsi" w:eastAsia="SimSun" w:hAnsiTheme="minorHAnsi" w:cstheme="minorHAnsi"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4"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20061B"/>
    <w:multiLevelType w:val="multilevel"/>
    <w:tmpl w:val="ACAA6F7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0"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C405D4"/>
    <w:multiLevelType w:val="multilevel"/>
    <w:tmpl w:val="8F10F150"/>
    <w:lvl w:ilvl="0">
      <w:start w:val="1"/>
      <w:numFmt w:val="bullet"/>
      <w:lvlText w:val="−"/>
      <w:lvlJc w:val="left"/>
      <w:pPr>
        <w:ind w:left="0" w:firstLine="0"/>
      </w:pPr>
      <w:rPr>
        <w:rFonts w:ascii="Times New Roman" w:eastAsia="DejaVu Sans" w:hAnsi="Times New Roman" w:cs="Times New Roman" w:hint="default"/>
        <w:b w:val="0"/>
        <w:bCs w:val="0"/>
        <w:i w:val="0"/>
        <w:iCs w:val="0"/>
        <w:color w:val="auto"/>
        <w:sz w:val="22"/>
        <w:szCs w:val="22"/>
        <w:lang w:val="en-US"/>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12"/>
  </w:num>
  <w:num w:numId="3">
    <w:abstractNumId w:val="0"/>
  </w:num>
  <w:num w:numId="4">
    <w:abstractNumId w:val="16"/>
  </w:num>
  <w:num w:numId="5">
    <w:abstractNumId w:val="1"/>
  </w:num>
  <w:num w:numId="6">
    <w:abstractNumId w:val="6"/>
  </w:num>
  <w:num w:numId="7">
    <w:abstractNumId w:val="19"/>
  </w:num>
  <w:num w:numId="8">
    <w:abstractNumId w:val="9"/>
  </w:num>
  <w:num w:numId="9">
    <w:abstractNumId w:val="10"/>
  </w:num>
  <w:num w:numId="10">
    <w:abstractNumId w:val="14"/>
  </w:num>
  <w:num w:numId="11">
    <w:abstractNumId w:val="18"/>
  </w:num>
  <w:num w:numId="12">
    <w:abstractNumId w:val="15"/>
  </w:num>
  <w:num w:numId="13">
    <w:abstractNumId w:val="20"/>
  </w:num>
  <w:num w:numId="14">
    <w:abstractNumId w:val="4"/>
  </w:num>
  <w:num w:numId="15">
    <w:abstractNumId w:val="8"/>
  </w:num>
  <w:num w:numId="16">
    <w:abstractNumId w:val="2"/>
  </w:num>
  <w:num w:numId="17">
    <w:abstractNumId w:val="11"/>
  </w:num>
  <w:num w:numId="18">
    <w:abstractNumId w:val="17"/>
  </w:num>
  <w:num w:numId="19">
    <w:abstractNumId w:val="5"/>
  </w:num>
  <w:num w:numId="20">
    <w:abstractNumId w:val="21"/>
  </w:num>
  <w:num w:numId="21">
    <w:abstractNumId w:val="7"/>
  </w:num>
  <w:num w:numId="22">
    <w:abstractNumId w:val="22"/>
  </w:num>
  <w:num w:numId="23">
    <w:abstractNumId w:val="13"/>
  </w:num>
  <w:num w:numId="24">
    <w:abstractNumId w:val="19"/>
  </w:num>
  <w:num w:numId="25">
    <w:abstractNumId w:val="19"/>
  </w:num>
  <w:num w:numId="26">
    <w:abstractNumId w:val="19"/>
  </w:num>
  <w:num w:numId="27">
    <w:abstractNumId w:val="19"/>
  </w:num>
  <w:num w:numId="28">
    <w:abstractNumId w:val="19"/>
  </w:num>
  <w:num w:numId="29">
    <w:abstractNumId w:val="23"/>
  </w:num>
  <w:num w:numId="30">
    <w:abstractNumId w:val="19"/>
  </w:num>
  <w:num w:numId="31">
    <w:abstractNumId w:val="19"/>
  </w:num>
  <w:num w:numId="32">
    <w:abstractNumId w:val="19"/>
  </w:num>
  <w:num w:numId="33">
    <w:abstractNumId w:val="1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3"/>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EA2B00"/>
    <w:rsid w:val="000300E6"/>
    <w:rsid w:val="00035A24"/>
    <w:rsid w:val="00043CAA"/>
    <w:rsid w:val="00045BC5"/>
    <w:rsid w:val="00056816"/>
    <w:rsid w:val="00065834"/>
    <w:rsid w:val="00070761"/>
    <w:rsid w:val="00071F21"/>
    <w:rsid w:val="00075432"/>
    <w:rsid w:val="00085CB4"/>
    <w:rsid w:val="000910E5"/>
    <w:rsid w:val="000968ED"/>
    <w:rsid w:val="000A3D97"/>
    <w:rsid w:val="000B2A4E"/>
    <w:rsid w:val="000B5B36"/>
    <w:rsid w:val="000C3B24"/>
    <w:rsid w:val="000D3DAB"/>
    <w:rsid w:val="000E52DA"/>
    <w:rsid w:val="000F5E56"/>
    <w:rsid w:val="001362EE"/>
    <w:rsid w:val="001406E1"/>
    <w:rsid w:val="00140F22"/>
    <w:rsid w:val="001413DD"/>
    <w:rsid w:val="00155952"/>
    <w:rsid w:val="00155D8A"/>
    <w:rsid w:val="001647D5"/>
    <w:rsid w:val="00167832"/>
    <w:rsid w:val="00171BE2"/>
    <w:rsid w:val="001832A6"/>
    <w:rsid w:val="00184316"/>
    <w:rsid w:val="0019592A"/>
    <w:rsid w:val="001B4A46"/>
    <w:rsid w:val="001D4107"/>
    <w:rsid w:val="00203D24"/>
    <w:rsid w:val="00206593"/>
    <w:rsid w:val="00210D5F"/>
    <w:rsid w:val="0021123C"/>
    <w:rsid w:val="0021217E"/>
    <w:rsid w:val="002326AB"/>
    <w:rsid w:val="00243430"/>
    <w:rsid w:val="00250149"/>
    <w:rsid w:val="00262607"/>
    <w:rsid w:val="002634C4"/>
    <w:rsid w:val="00265354"/>
    <w:rsid w:val="002928D3"/>
    <w:rsid w:val="002A7B3A"/>
    <w:rsid w:val="002C76A8"/>
    <w:rsid w:val="002D4484"/>
    <w:rsid w:val="002F1FE6"/>
    <w:rsid w:val="002F4E68"/>
    <w:rsid w:val="00303282"/>
    <w:rsid w:val="00304850"/>
    <w:rsid w:val="00311080"/>
    <w:rsid w:val="00312F7F"/>
    <w:rsid w:val="00321316"/>
    <w:rsid w:val="00321EB3"/>
    <w:rsid w:val="003266F9"/>
    <w:rsid w:val="00327E12"/>
    <w:rsid w:val="00333351"/>
    <w:rsid w:val="00345169"/>
    <w:rsid w:val="003452A8"/>
    <w:rsid w:val="00360601"/>
    <w:rsid w:val="00361450"/>
    <w:rsid w:val="003673CF"/>
    <w:rsid w:val="00375B47"/>
    <w:rsid w:val="003845C1"/>
    <w:rsid w:val="00390119"/>
    <w:rsid w:val="003A219A"/>
    <w:rsid w:val="003A5A83"/>
    <w:rsid w:val="003A6F89"/>
    <w:rsid w:val="003B355C"/>
    <w:rsid w:val="003B3581"/>
    <w:rsid w:val="003B38C1"/>
    <w:rsid w:val="003C34E9"/>
    <w:rsid w:val="003F0842"/>
    <w:rsid w:val="003F20F4"/>
    <w:rsid w:val="003F64F8"/>
    <w:rsid w:val="00423E3E"/>
    <w:rsid w:val="00425C84"/>
    <w:rsid w:val="00427AF4"/>
    <w:rsid w:val="00435E3E"/>
    <w:rsid w:val="00436F2D"/>
    <w:rsid w:val="004434C3"/>
    <w:rsid w:val="00444A53"/>
    <w:rsid w:val="0045246E"/>
    <w:rsid w:val="00452F85"/>
    <w:rsid w:val="00461B51"/>
    <w:rsid w:val="004647DA"/>
    <w:rsid w:val="00464C0E"/>
    <w:rsid w:val="00474062"/>
    <w:rsid w:val="00477D6B"/>
    <w:rsid w:val="0048522D"/>
    <w:rsid w:val="004D29A8"/>
    <w:rsid w:val="004E7145"/>
    <w:rsid w:val="004F57F4"/>
    <w:rsid w:val="005019FF"/>
    <w:rsid w:val="0050470A"/>
    <w:rsid w:val="0053057A"/>
    <w:rsid w:val="0053711D"/>
    <w:rsid w:val="00547877"/>
    <w:rsid w:val="005508A8"/>
    <w:rsid w:val="00556076"/>
    <w:rsid w:val="00560A29"/>
    <w:rsid w:val="00565DBE"/>
    <w:rsid w:val="005740C5"/>
    <w:rsid w:val="0059409E"/>
    <w:rsid w:val="005A2C07"/>
    <w:rsid w:val="005B2C79"/>
    <w:rsid w:val="005B453D"/>
    <w:rsid w:val="005B63FC"/>
    <w:rsid w:val="005C6649"/>
    <w:rsid w:val="005E36BB"/>
    <w:rsid w:val="005E723C"/>
    <w:rsid w:val="005E7B89"/>
    <w:rsid w:val="005F0828"/>
    <w:rsid w:val="00600D30"/>
    <w:rsid w:val="00605827"/>
    <w:rsid w:val="006216FA"/>
    <w:rsid w:val="00646050"/>
    <w:rsid w:val="00650C02"/>
    <w:rsid w:val="006713CA"/>
    <w:rsid w:val="00672C45"/>
    <w:rsid w:val="00676C5C"/>
    <w:rsid w:val="00684EE2"/>
    <w:rsid w:val="006B5C12"/>
    <w:rsid w:val="006D03D2"/>
    <w:rsid w:val="006D27D2"/>
    <w:rsid w:val="006D4F94"/>
    <w:rsid w:val="006D7AAB"/>
    <w:rsid w:val="006D7C7A"/>
    <w:rsid w:val="006F641A"/>
    <w:rsid w:val="006F7063"/>
    <w:rsid w:val="00707BB4"/>
    <w:rsid w:val="00710A03"/>
    <w:rsid w:val="007161B4"/>
    <w:rsid w:val="00720EFD"/>
    <w:rsid w:val="00731F15"/>
    <w:rsid w:val="00732E92"/>
    <w:rsid w:val="00750C1A"/>
    <w:rsid w:val="007854AF"/>
    <w:rsid w:val="0079149A"/>
    <w:rsid w:val="00793A7C"/>
    <w:rsid w:val="007969D1"/>
    <w:rsid w:val="007A2821"/>
    <w:rsid w:val="007A398A"/>
    <w:rsid w:val="007C2853"/>
    <w:rsid w:val="007C4902"/>
    <w:rsid w:val="007D1613"/>
    <w:rsid w:val="007E4889"/>
    <w:rsid w:val="007E4C0E"/>
    <w:rsid w:val="007F2C24"/>
    <w:rsid w:val="00817851"/>
    <w:rsid w:val="00823739"/>
    <w:rsid w:val="008243C0"/>
    <w:rsid w:val="00825DE5"/>
    <w:rsid w:val="008A134B"/>
    <w:rsid w:val="008A7C37"/>
    <w:rsid w:val="008B2CC1"/>
    <w:rsid w:val="008B60B2"/>
    <w:rsid w:val="0090731E"/>
    <w:rsid w:val="00915731"/>
    <w:rsid w:val="00916EE2"/>
    <w:rsid w:val="0093527D"/>
    <w:rsid w:val="00941258"/>
    <w:rsid w:val="0094554E"/>
    <w:rsid w:val="00947238"/>
    <w:rsid w:val="00966A22"/>
    <w:rsid w:val="0096722F"/>
    <w:rsid w:val="00980843"/>
    <w:rsid w:val="0099406E"/>
    <w:rsid w:val="00995463"/>
    <w:rsid w:val="009B0855"/>
    <w:rsid w:val="009B48A1"/>
    <w:rsid w:val="009D1FDC"/>
    <w:rsid w:val="009D2E78"/>
    <w:rsid w:val="009D3072"/>
    <w:rsid w:val="009D3A30"/>
    <w:rsid w:val="009E1721"/>
    <w:rsid w:val="009E2791"/>
    <w:rsid w:val="009E3BA7"/>
    <w:rsid w:val="009E3F6F"/>
    <w:rsid w:val="009F499F"/>
    <w:rsid w:val="00A25532"/>
    <w:rsid w:val="00A33241"/>
    <w:rsid w:val="00A37342"/>
    <w:rsid w:val="00A41FCF"/>
    <w:rsid w:val="00A42DAF"/>
    <w:rsid w:val="00A45BD8"/>
    <w:rsid w:val="00A57DCD"/>
    <w:rsid w:val="00A65D57"/>
    <w:rsid w:val="00A869B7"/>
    <w:rsid w:val="00A90F0A"/>
    <w:rsid w:val="00AA6749"/>
    <w:rsid w:val="00AA79E7"/>
    <w:rsid w:val="00AC205C"/>
    <w:rsid w:val="00AD30FC"/>
    <w:rsid w:val="00AD35A3"/>
    <w:rsid w:val="00AE13CB"/>
    <w:rsid w:val="00AF0A6B"/>
    <w:rsid w:val="00AF4F00"/>
    <w:rsid w:val="00B05A69"/>
    <w:rsid w:val="00B06CFB"/>
    <w:rsid w:val="00B331D8"/>
    <w:rsid w:val="00B42CA9"/>
    <w:rsid w:val="00B51FF7"/>
    <w:rsid w:val="00B5767A"/>
    <w:rsid w:val="00B7515E"/>
    <w:rsid w:val="00B75281"/>
    <w:rsid w:val="00B754E1"/>
    <w:rsid w:val="00B76CEB"/>
    <w:rsid w:val="00B92F1F"/>
    <w:rsid w:val="00B9734B"/>
    <w:rsid w:val="00BA2064"/>
    <w:rsid w:val="00BA30E2"/>
    <w:rsid w:val="00BB571E"/>
    <w:rsid w:val="00BB781F"/>
    <w:rsid w:val="00BC6536"/>
    <w:rsid w:val="00BC7951"/>
    <w:rsid w:val="00C02F04"/>
    <w:rsid w:val="00C05BAB"/>
    <w:rsid w:val="00C07D74"/>
    <w:rsid w:val="00C11BFE"/>
    <w:rsid w:val="00C32E43"/>
    <w:rsid w:val="00C3436A"/>
    <w:rsid w:val="00C43F6C"/>
    <w:rsid w:val="00C5068F"/>
    <w:rsid w:val="00C73194"/>
    <w:rsid w:val="00C74BB4"/>
    <w:rsid w:val="00C86D74"/>
    <w:rsid w:val="00C86EAF"/>
    <w:rsid w:val="00C91553"/>
    <w:rsid w:val="00C925E7"/>
    <w:rsid w:val="00CB3DBA"/>
    <w:rsid w:val="00CB6E6F"/>
    <w:rsid w:val="00CC2CDF"/>
    <w:rsid w:val="00CC3E2D"/>
    <w:rsid w:val="00CD04F1"/>
    <w:rsid w:val="00CD1944"/>
    <w:rsid w:val="00CE19F8"/>
    <w:rsid w:val="00CF681A"/>
    <w:rsid w:val="00D02F84"/>
    <w:rsid w:val="00D07C78"/>
    <w:rsid w:val="00D125D8"/>
    <w:rsid w:val="00D35456"/>
    <w:rsid w:val="00D45252"/>
    <w:rsid w:val="00D474E6"/>
    <w:rsid w:val="00D50A16"/>
    <w:rsid w:val="00D512F3"/>
    <w:rsid w:val="00D60B2C"/>
    <w:rsid w:val="00D62282"/>
    <w:rsid w:val="00D64FBC"/>
    <w:rsid w:val="00D67EAE"/>
    <w:rsid w:val="00D71B4D"/>
    <w:rsid w:val="00D748D5"/>
    <w:rsid w:val="00D7681B"/>
    <w:rsid w:val="00D84D81"/>
    <w:rsid w:val="00D90B96"/>
    <w:rsid w:val="00D93D55"/>
    <w:rsid w:val="00DB3391"/>
    <w:rsid w:val="00DC0F46"/>
    <w:rsid w:val="00DC17E3"/>
    <w:rsid w:val="00DD65C8"/>
    <w:rsid w:val="00DD7B7F"/>
    <w:rsid w:val="00E13090"/>
    <w:rsid w:val="00E15015"/>
    <w:rsid w:val="00E16C61"/>
    <w:rsid w:val="00E17738"/>
    <w:rsid w:val="00E225C3"/>
    <w:rsid w:val="00E319DF"/>
    <w:rsid w:val="00E335FE"/>
    <w:rsid w:val="00E34683"/>
    <w:rsid w:val="00E61C37"/>
    <w:rsid w:val="00E655A0"/>
    <w:rsid w:val="00E66CC5"/>
    <w:rsid w:val="00E804AB"/>
    <w:rsid w:val="00EA2B00"/>
    <w:rsid w:val="00EA4792"/>
    <w:rsid w:val="00EA7D6E"/>
    <w:rsid w:val="00EB2F76"/>
    <w:rsid w:val="00EC4E49"/>
    <w:rsid w:val="00ED6EB7"/>
    <w:rsid w:val="00ED77FB"/>
    <w:rsid w:val="00ED79DB"/>
    <w:rsid w:val="00EE307E"/>
    <w:rsid w:val="00EE45FA"/>
    <w:rsid w:val="00EF1011"/>
    <w:rsid w:val="00F043DE"/>
    <w:rsid w:val="00F10E7C"/>
    <w:rsid w:val="00F248CE"/>
    <w:rsid w:val="00F66152"/>
    <w:rsid w:val="00F76CB4"/>
    <w:rsid w:val="00F90C07"/>
    <w:rsid w:val="00F9165B"/>
    <w:rsid w:val="00FA17DA"/>
    <w:rsid w:val="00FA6CAF"/>
    <w:rsid w:val="00FB108C"/>
    <w:rsid w:val="00FC482F"/>
    <w:rsid w:val="00FC56B7"/>
    <w:rsid w:val="00FD0B86"/>
    <w:rsid w:val="00FE132C"/>
    <w:rsid w:val="00FE5D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8773BC5"/>
  <w15:docId w15:val="{EAEED00A-B4F5-4989-B3E6-A8803B7A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character" w:styleId="Hyperlink">
    <w:name w:val="Hyperlink"/>
    <w:basedOn w:val="DefaultParagraphFont"/>
    <w:unhideWhenUsed/>
    <w:rsid w:val="006D03D2"/>
    <w:rPr>
      <w:color w:val="0000FF" w:themeColor="hyperlink"/>
      <w:u w:val="single"/>
    </w:rPr>
  </w:style>
  <w:style w:type="character" w:customStyle="1" w:styleId="Mentionnonrsolue1">
    <w:name w:val="Mention non résolue1"/>
    <w:basedOn w:val="DefaultParagraphFont"/>
    <w:uiPriority w:val="99"/>
    <w:semiHidden/>
    <w:unhideWhenUsed/>
    <w:rsid w:val="00390119"/>
    <w:rPr>
      <w:color w:val="605E5C"/>
      <w:shd w:val="clear" w:color="auto" w:fill="E1DFDD"/>
    </w:rPr>
  </w:style>
  <w:style w:type="character" w:customStyle="1" w:styleId="UnresolvedMention">
    <w:name w:val="Unresolved Mention"/>
    <w:basedOn w:val="DefaultParagraphFont"/>
    <w:uiPriority w:val="99"/>
    <w:semiHidden/>
    <w:unhideWhenUsed/>
    <w:rsid w:val="00ED7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tentscope.wipo.int/search/ar/structuredSearch.js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97301-878A-465E-8A86-92034E39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Pages>
  <Words>421</Words>
  <Characters>2404</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CWS/9/21</vt:lpstr>
      <vt:lpstr>CWS/9/1 PROV. (Arabic)</vt:lpstr>
    </vt:vector>
  </TitlesOfParts>
  <Company>WIPO</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CWS/9/21</dc:title>
  <dc:subject>معلومات عن دخول الطلبات الدولية المنشورة بناء على معاهدة التعاون بشأن البراءات في المرحلة الوطنية (الإقليمية)</dc:subject>
  <dc:creator>WIPO</dc:creator>
  <cp:keywords>FOR OFFICIAL USE ONLY</cp:keywords>
  <dc:description/>
  <cp:lastModifiedBy>AHMIDOUCH Noureddine</cp:lastModifiedBy>
  <cp:revision>9</cp:revision>
  <cp:lastPrinted>2021-10-18T08:08:00Z</cp:lastPrinted>
  <dcterms:created xsi:type="dcterms:W3CDTF">2021-10-07T12:09:00Z</dcterms:created>
  <dcterms:modified xsi:type="dcterms:W3CDTF">2021-10-18T08:08:00Z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