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ED17C61"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rPr>
        <mc:AlternateContent>
          <mc:Choice Requires="wpg">
            <w:drawing>
              <wp:inline distT="0" distB="0" distL="0" distR="0" wp14:anchorId="3A23EBFC" wp14:editId="0F20E9C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F91A6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9D5BC0" w14:textId="1A902847" w:rsidR="008B2CC1" w:rsidRPr="002326AB" w:rsidRDefault="00FE5D75" w:rsidP="00250149">
      <w:pPr>
        <w:bidi w:val="0"/>
        <w:rPr>
          <w:rFonts w:ascii="Arial Black" w:hAnsi="Arial Black"/>
          <w:caps/>
          <w:sz w:val="15"/>
          <w:szCs w:val="15"/>
        </w:rPr>
      </w:pPr>
      <w:bookmarkStart w:id="1" w:name="Code"/>
      <w:bookmarkEnd w:id="1"/>
      <w:r w:rsidRPr="00FE5D75">
        <w:rPr>
          <w:rFonts w:ascii="Arial Black" w:hAnsi="Arial Black"/>
          <w:caps/>
          <w:sz w:val="15"/>
          <w:szCs w:val="15"/>
        </w:rPr>
        <w:t>CWS/9/</w:t>
      </w:r>
      <w:r w:rsidR="00C0013E">
        <w:rPr>
          <w:rFonts w:ascii="Arial Black" w:hAnsi="Arial Black"/>
          <w:caps/>
          <w:sz w:val="15"/>
          <w:szCs w:val="15"/>
        </w:rPr>
        <w:t>17</w:t>
      </w:r>
    </w:p>
    <w:p w14:paraId="00D5854F" w14:textId="77777777"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62607" w:rsidRPr="00262607">
        <w:rPr>
          <w:rFonts w:asciiTheme="minorHAnsi" w:hAnsiTheme="minorHAnsi"/>
          <w:caps/>
          <w:sz w:val="15"/>
          <w:szCs w:val="15"/>
          <w:rtl/>
        </w:rPr>
        <w:t>بالإنكليزية</w:t>
      </w:r>
    </w:p>
    <w:p w14:paraId="1A67CFCA" w14:textId="4FD9BD00" w:rsidR="008B2CC1" w:rsidRPr="00CC3E2D" w:rsidRDefault="00CC3E2D" w:rsidP="00FE132C">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262607">
        <w:rPr>
          <w:rFonts w:asciiTheme="minorHAnsi" w:hAnsiTheme="minorHAnsi" w:cstheme="minorHAnsi" w:hint="cs"/>
          <w:b/>
          <w:bCs/>
          <w:caps/>
          <w:sz w:val="15"/>
          <w:szCs w:val="15"/>
          <w:rtl/>
        </w:rPr>
        <w:t xml:space="preserve"> </w:t>
      </w:r>
      <w:r w:rsidR="00C0013E">
        <w:rPr>
          <w:rFonts w:asciiTheme="minorHAnsi" w:hAnsiTheme="minorHAnsi" w:cstheme="minorHAnsi" w:hint="cs"/>
          <w:b/>
          <w:bCs/>
          <w:caps/>
          <w:sz w:val="15"/>
          <w:szCs w:val="15"/>
          <w:rtl/>
        </w:rPr>
        <w:t>17</w:t>
      </w:r>
      <w:r w:rsidR="00FE132C">
        <w:rPr>
          <w:rFonts w:asciiTheme="minorHAnsi" w:hAnsiTheme="minorHAnsi" w:cstheme="minorHAnsi" w:hint="cs"/>
          <w:b/>
          <w:bCs/>
          <w:caps/>
          <w:sz w:val="15"/>
          <w:szCs w:val="15"/>
          <w:rtl/>
        </w:rPr>
        <w:t>سبتمبر</w:t>
      </w:r>
      <w:r w:rsidR="00262607">
        <w:rPr>
          <w:rFonts w:asciiTheme="minorHAnsi" w:hAnsiTheme="minorHAnsi" w:cstheme="minorHAnsi" w:hint="cs"/>
          <w:b/>
          <w:bCs/>
          <w:caps/>
          <w:sz w:val="15"/>
          <w:szCs w:val="15"/>
          <w:rtl/>
        </w:rPr>
        <w:t xml:space="preserve"> 2021</w:t>
      </w:r>
      <w:r>
        <w:rPr>
          <w:rFonts w:asciiTheme="minorHAnsi" w:hAnsiTheme="minorHAnsi" w:cstheme="minorHAnsi" w:hint="cs"/>
          <w:b/>
          <w:bCs/>
          <w:caps/>
          <w:sz w:val="15"/>
          <w:szCs w:val="15"/>
          <w:rtl/>
        </w:rPr>
        <w:t xml:space="preserve"> </w:t>
      </w:r>
    </w:p>
    <w:bookmarkEnd w:id="3"/>
    <w:p w14:paraId="1B9B32AE"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BF40854" w14:textId="77777777" w:rsidR="00A90F0A" w:rsidRPr="00D67EAE" w:rsidRDefault="00D67EAE" w:rsidP="00FE5D7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E5D75">
        <w:rPr>
          <w:rFonts w:asciiTheme="minorHAnsi" w:hAnsiTheme="minorHAnsi" w:cstheme="minorHAnsi" w:hint="cs"/>
          <w:bCs/>
          <w:sz w:val="24"/>
          <w:szCs w:val="24"/>
          <w:rtl/>
        </w:rPr>
        <w:t>التاسعة</w:t>
      </w:r>
    </w:p>
    <w:p w14:paraId="4BF048CE" w14:textId="77777777" w:rsidR="008B2CC1" w:rsidRPr="00D67EAE" w:rsidRDefault="00D67EAE" w:rsidP="00FE5D7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E5D75">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إلى </w:t>
      </w:r>
      <w:r w:rsidR="00FE5D75">
        <w:rPr>
          <w:rFonts w:asciiTheme="minorHAnsi" w:hAnsiTheme="minorHAnsi" w:cstheme="minorHAnsi" w:hint="cs"/>
          <w:bCs/>
          <w:sz w:val="24"/>
          <w:szCs w:val="24"/>
          <w:rtl/>
        </w:rPr>
        <w:t>5</w:t>
      </w:r>
      <w:r w:rsidRPr="00D67EAE">
        <w:rPr>
          <w:rFonts w:asciiTheme="minorHAnsi" w:hAnsiTheme="minorHAnsi" w:cstheme="minorHAnsi" w:hint="cs"/>
          <w:bCs/>
          <w:sz w:val="24"/>
          <w:szCs w:val="24"/>
          <w:rtl/>
        </w:rPr>
        <w:t xml:space="preserve"> </w:t>
      </w:r>
      <w:r w:rsidR="00FE5D75">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14:paraId="5C25F790" w14:textId="4814EFE6" w:rsidR="008B2CC1" w:rsidRPr="00D22A9E" w:rsidRDefault="00E3169B" w:rsidP="002D4484">
      <w:pPr>
        <w:spacing w:after="360"/>
        <w:outlineLvl w:val="0"/>
        <w:rPr>
          <w:rFonts w:asciiTheme="minorHAnsi" w:hAnsiTheme="minorHAnsi" w:cstheme="minorHAnsi"/>
          <w:caps/>
          <w:sz w:val="24"/>
          <w:szCs w:val="24"/>
        </w:rPr>
      </w:pPr>
      <w:bookmarkStart w:id="4" w:name="TitleOfDoc"/>
      <w:r w:rsidRPr="00E3169B">
        <w:rPr>
          <w:rFonts w:asciiTheme="minorHAnsi" w:hAnsiTheme="minorHAnsi"/>
          <w:caps/>
          <w:sz w:val="24"/>
          <w:szCs w:val="24"/>
          <w:rtl/>
        </w:rPr>
        <w:t>اقتراح دراسة استقصائية بشأن ممارسات المكاتب فيما يتعلق بالتحول الرقمي</w:t>
      </w:r>
    </w:p>
    <w:p w14:paraId="3797470C" w14:textId="77777777" w:rsidR="002928D3" w:rsidRPr="00FE132C" w:rsidRDefault="00D67EAE" w:rsidP="00E655A0">
      <w:pPr>
        <w:spacing w:after="1040"/>
        <w:rPr>
          <w:rFonts w:asciiTheme="minorHAnsi" w:hAnsiTheme="minorHAnsi" w:cstheme="minorHAnsi"/>
          <w:b/>
          <w:bCs/>
          <w:iCs/>
        </w:rPr>
      </w:pPr>
      <w:bookmarkStart w:id="5" w:name="Prepared"/>
      <w:bookmarkEnd w:id="4"/>
      <w:bookmarkEnd w:id="5"/>
      <w:r w:rsidRPr="00D67EAE">
        <w:rPr>
          <w:rFonts w:asciiTheme="minorHAnsi" w:hAnsiTheme="minorHAnsi" w:cstheme="minorHAnsi" w:hint="cs"/>
          <w:iCs/>
          <w:rtl/>
        </w:rPr>
        <w:t>وثيقة من إعداد</w:t>
      </w:r>
      <w:r w:rsidR="00262607">
        <w:rPr>
          <w:rFonts w:asciiTheme="minorHAnsi" w:hAnsiTheme="minorHAnsi" w:cstheme="minorHAnsi" w:hint="cs"/>
          <w:iCs/>
          <w:rtl/>
        </w:rPr>
        <w:t xml:space="preserve"> </w:t>
      </w:r>
      <w:r w:rsidR="00E655A0">
        <w:rPr>
          <w:rFonts w:asciiTheme="minorHAnsi" w:hAnsiTheme="minorHAnsi" w:cstheme="minorHAnsi" w:hint="cs"/>
          <w:iCs/>
          <w:rtl/>
        </w:rPr>
        <w:t>المكتب الدولي</w:t>
      </w:r>
    </w:p>
    <w:p w14:paraId="418D7B3D" w14:textId="77777777" w:rsidR="007969D1" w:rsidRPr="00FE132C" w:rsidRDefault="00FE132C" w:rsidP="00FE132C">
      <w:pPr>
        <w:pStyle w:val="Heading2"/>
        <w:rPr>
          <w:i/>
          <w:iCs w:val="0"/>
          <w:lang w:eastAsia="en-US" w:bidi="ar-LB"/>
        </w:rPr>
      </w:pPr>
      <w:r w:rsidRPr="00FE132C">
        <w:rPr>
          <w:rFonts w:hint="cs"/>
          <w:i/>
          <w:iCs w:val="0"/>
          <w:rtl/>
          <w:lang w:eastAsia="en-US"/>
        </w:rPr>
        <w:t>معلومات أساسية</w:t>
      </w:r>
    </w:p>
    <w:p w14:paraId="6BBDB1DE" w14:textId="165DECDA" w:rsidR="007969D1" w:rsidRDefault="00FD5AF0" w:rsidP="00FD5AF0">
      <w:pPr>
        <w:pStyle w:val="ONUMA"/>
      </w:pPr>
      <w:r>
        <w:rPr>
          <w:rFonts w:hint="cs"/>
          <w:rtl/>
        </w:rPr>
        <w:t>و</w:t>
      </w:r>
      <w:r>
        <w:rPr>
          <w:rtl/>
        </w:rPr>
        <w:t xml:space="preserve">افقت اللجنة المعنية بمعايير الويبو (لجنة المعايير) في دورتها السادسة على المهمة رقم 62 التي تنص على: "استعراض معايير الويبو </w:t>
      </w:r>
      <w:r>
        <w:t>ST.6</w:t>
      </w:r>
      <w:r>
        <w:rPr>
          <w:rtl/>
        </w:rPr>
        <w:t xml:space="preserve"> و</w:t>
      </w:r>
      <w:r>
        <w:t>ST.8</w:t>
      </w:r>
      <w:r>
        <w:rPr>
          <w:rtl/>
        </w:rPr>
        <w:t xml:space="preserve"> و</w:t>
      </w:r>
      <w:r>
        <w:t>ST.10</w:t>
      </w:r>
      <w:r>
        <w:rPr>
          <w:rtl/>
        </w:rPr>
        <w:t xml:space="preserve"> و</w:t>
      </w:r>
      <w:r>
        <w:t>ST.11</w:t>
      </w:r>
      <w:r>
        <w:rPr>
          <w:rtl/>
        </w:rPr>
        <w:t xml:space="preserve"> و</w:t>
      </w:r>
      <w:r>
        <w:t>ST.15</w:t>
      </w:r>
      <w:r>
        <w:rPr>
          <w:rtl/>
        </w:rPr>
        <w:t xml:space="preserve"> و</w:t>
      </w:r>
      <w:r>
        <w:t>ST.17</w:t>
      </w:r>
      <w:r>
        <w:rPr>
          <w:rtl/>
        </w:rPr>
        <w:t xml:space="preserve"> و</w:t>
      </w:r>
      <w:r>
        <w:t>ST.18</w:t>
      </w:r>
      <w:r>
        <w:rPr>
          <w:rtl/>
        </w:rPr>
        <w:t xml:space="preserve"> و</w:t>
      </w:r>
      <w:r>
        <w:t>ST.63</w:t>
      </w:r>
      <w:r>
        <w:rPr>
          <w:rtl/>
        </w:rPr>
        <w:t xml:space="preserve"> و</w:t>
      </w:r>
      <w:r>
        <w:t>ST.81</w:t>
      </w:r>
      <w:r>
        <w:rPr>
          <w:rtl/>
        </w:rPr>
        <w:t xml:space="preserve"> لأغراض النشر الإلكتروني لوثائق الملكية الفكرية؛ واقتراح تعديلات على تلك المعايير عند الاقتضاء" (انظر الفقرات من 143 إلى 151 من الوثيقة </w:t>
      </w:r>
      <w:r>
        <w:t>CWS/6/34</w:t>
      </w:r>
      <w:r>
        <w:rPr>
          <w:rtl/>
        </w:rPr>
        <w:t>).</w:t>
      </w:r>
      <w:r>
        <w:rPr>
          <w:rFonts w:hint="cs"/>
          <w:rtl/>
        </w:rPr>
        <w:t xml:space="preserve"> </w:t>
      </w:r>
      <w:r>
        <w:rPr>
          <w:rtl/>
        </w:rPr>
        <w:t xml:space="preserve">وأنشأت لجنة المعايير للقيام بهذه المهمة فرقة عمل باسم "فرقة العمل المعنية بالتحول الرقمي"، وعيّنت مكتب الولايات المتحدة الأمريكية للبراءات والعلامات التجارية مشرفاً عليها (انظر الفقرات من 145 إلى 153 من الوثيقة </w:t>
      </w:r>
      <w:r>
        <w:t>CWS/6/34</w:t>
      </w:r>
      <w:r>
        <w:rPr>
          <w:rtl/>
        </w:rPr>
        <w:t>).</w:t>
      </w:r>
      <w:r>
        <w:rPr>
          <w:rFonts w:hint="cs"/>
          <w:rtl/>
        </w:rPr>
        <w:t xml:space="preserve"> </w:t>
      </w:r>
      <w:r>
        <w:rPr>
          <w:rtl/>
        </w:rPr>
        <w:t>وقدمت فرقة العمل، في الدورة السابعة للجنة المعايير، خطة لمناقشة الممارسات القائمة، وتحديد شروط لمراجعة المعايير، وترتيب المعايير حسب الأولوية من أجل استعراضها</w:t>
      </w:r>
      <w:r w:rsidR="001C2B68">
        <w:rPr>
          <w:rFonts w:hint="cs"/>
          <w:rtl/>
        </w:rPr>
        <w:t xml:space="preserve"> </w:t>
      </w:r>
      <w:r>
        <w:rPr>
          <w:rtl/>
        </w:rPr>
        <w:t xml:space="preserve">(انظر الفقرات من 102 إلى 104 من الوثيقة </w:t>
      </w:r>
      <w:r>
        <w:t>CWS/7/29</w:t>
      </w:r>
      <w:r>
        <w:rPr>
          <w:rtl/>
        </w:rPr>
        <w:t>).</w:t>
      </w:r>
    </w:p>
    <w:p w14:paraId="675D8243" w14:textId="056B370C" w:rsidR="00206593" w:rsidRPr="00C74BB4" w:rsidRDefault="00F131E4" w:rsidP="00C74BB4">
      <w:pPr>
        <w:pStyle w:val="Heading2"/>
        <w:rPr>
          <w:i/>
          <w:iCs w:val="0"/>
          <w:rtl/>
          <w:lang w:eastAsia="en-US"/>
        </w:rPr>
      </w:pPr>
      <w:r>
        <w:rPr>
          <w:rFonts w:hint="cs"/>
          <w:i/>
          <w:iCs w:val="0"/>
          <w:rtl/>
          <w:lang w:eastAsia="en-US"/>
        </w:rPr>
        <w:t>اقتراح</w:t>
      </w:r>
      <w:r w:rsidR="00C02F04" w:rsidRPr="00C02F04">
        <w:rPr>
          <w:i/>
          <w:iCs w:val="0"/>
          <w:rtl/>
          <w:lang w:eastAsia="en-US"/>
        </w:rPr>
        <w:t xml:space="preserve"> الدراسة الاستقصائية</w:t>
      </w:r>
    </w:p>
    <w:p w14:paraId="40CEE302" w14:textId="01821520" w:rsidR="00C137F3" w:rsidRDefault="00C137F3" w:rsidP="00C137F3">
      <w:pPr>
        <w:pStyle w:val="ONUMA"/>
      </w:pPr>
      <w:r>
        <w:rPr>
          <w:rtl/>
        </w:rPr>
        <w:t>ناقش</w:t>
      </w:r>
      <w:r w:rsidR="0087452D">
        <w:rPr>
          <w:rFonts w:hint="cs"/>
          <w:rtl/>
        </w:rPr>
        <w:t>ت</w:t>
      </w:r>
      <w:r>
        <w:rPr>
          <w:rtl/>
        </w:rPr>
        <w:t xml:space="preserve"> </w:t>
      </w:r>
      <w:r w:rsidR="00BC3832" w:rsidRPr="00BC3832">
        <w:rPr>
          <w:rtl/>
        </w:rPr>
        <w:t xml:space="preserve">فرقة العمل المعنية بالتحول الرقمي </w:t>
      </w:r>
      <w:r>
        <w:rPr>
          <w:rtl/>
        </w:rPr>
        <w:t>خطة عمل</w:t>
      </w:r>
      <w:r w:rsidR="00BC3832">
        <w:rPr>
          <w:rFonts w:hint="cs"/>
          <w:rtl/>
        </w:rPr>
        <w:t>ها</w:t>
      </w:r>
      <w:r>
        <w:rPr>
          <w:rtl/>
        </w:rPr>
        <w:t xml:space="preserve"> التي أعدها </w:t>
      </w:r>
      <w:r w:rsidR="0087452D">
        <w:rPr>
          <w:rFonts w:hint="cs"/>
          <w:rtl/>
        </w:rPr>
        <w:t>المشرف على فرقة</w:t>
      </w:r>
      <w:r>
        <w:rPr>
          <w:rtl/>
        </w:rPr>
        <w:t xml:space="preserve"> العمل. </w:t>
      </w:r>
      <w:r w:rsidR="0087452D">
        <w:rPr>
          <w:rFonts w:hint="cs"/>
          <w:rtl/>
        </w:rPr>
        <w:t xml:space="preserve">وقد </w:t>
      </w:r>
      <w:r>
        <w:rPr>
          <w:rtl/>
        </w:rPr>
        <w:t>ركزت على:</w:t>
      </w:r>
    </w:p>
    <w:p w14:paraId="5BE78F7A" w14:textId="55FE05CB" w:rsidR="00C137F3" w:rsidRDefault="00344554" w:rsidP="00C137F3">
      <w:pPr>
        <w:pStyle w:val="ONUMA"/>
        <w:numPr>
          <w:ilvl w:val="0"/>
          <w:numId w:val="31"/>
        </w:numPr>
        <w:ind w:left="850" w:hanging="284"/>
      </w:pPr>
      <w:r>
        <w:rPr>
          <w:rFonts w:hint="cs"/>
          <w:rtl/>
        </w:rPr>
        <w:t>استعراض</w:t>
      </w:r>
      <w:r w:rsidR="00C137F3">
        <w:rPr>
          <w:rtl/>
        </w:rPr>
        <w:t xml:space="preserve"> معايير الويبو </w:t>
      </w:r>
      <w:r>
        <w:rPr>
          <w:rFonts w:hint="cs"/>
          <w:rtl/>
        </w:rPr>
        <w:t>لأغراض</w:t>
      </w:r>
      <w:r w:rsidR="00C137F3">
        <w:rPr>
          <w:rtl/>
        </w:rPr>
        <w:t xml:space="preserve"> النشر الإلكتروني لوثائق الملكية الفكرية؛</w:t>
      </w:r>
    </w:p>
    <w:p w14:paraId="5D782DA9" w14:textId="1FACC511" w:rsidR="00C137F3" w:rsidRDefault="00344554" w:rsidP="00C137F3">
      <w:pPr>
        <w:pStyle w:val="ONUMA"/>
        <w:numPr>
          <w:ilvl w:val="0"/>
          <w:numId w:val="31"/>
        </w:numPr>
        <w:ind w:left="850" w:hanging="284"/>
      </w:pPr>
      <w:r>
        <w:rPr>
          <w:rFonts w:hint="cs"/>
          <w:rtl/>
        </w:rPr>
        <w:t>واستعراض</w:t>
      </w:r>
      <w:r w:rsidR="00C137F3">
        <w:rPr>
          <w:rtl/>
        </w:rPr>
        <w:t xml:space="preserve"> ممارسات النشر لتحسين </w:t>
      </w:r>
      <w:r>
        <w:rPr>
          <w:rFonts w:hint="cs"/>
          <w:rtl/>
        </w:rPr>
        <w:t>التعميم</w:t>
      </w:r>
      <w:r w:rsidR="00C137F3">
        <w:rPr>
          <w:rtl/>
        </w:rPr>
        <w:t xml:space="preserve"> الرقمي للمعلومات التي تنتجها المكاتب؛ </w:t>
      </w:r>
    </w:p>
    <w:p w14:paraId="667C8D46" w14:textId="5D51C08C" w:rsidR="00C137F3" w:rsidRDefault="00C137F3" w:rsidP="00C137F3">
      <w:pPr>
        <w:pStyle w:val="ONUMA"/>
        <w:numPr>
          <w:ilvl w:val="0"/>
          <w:numId w:val="31"/>
        </w:numPr>
        <w:ind w:left="850" w:hanging="284"/>
      </w:pPr>
      <w:r>
        <w:rPr>
          <w:rtl/>
        </w:rPr>
        <w:t xml:space="preserve">اقتراح </w:t>
      </w:r>
      <w:r w:rsidR="00344554">
        <w:rPr>
          <w:rFonts w:hint="cs"/>
          <w:rtl/>
        </w:rPr>
        <w:t>تعديلات لإدخالها على</w:t>
      </w:r>
      <w:r>
        <w:rPr>
          <w:rtl/>
        </w:rPr>
        <w:t xml:space="preserve"> تلك المعايير </w:t>
      </w:r>
      <w:r w:rsidR="00344554">
        <w:rPr>
          <w:rFonts w:hint="cs"/>
          <w:rtl/>
        </w:rPr>
        <w:t>إذا لزم الأمر</w:t>
      </w:r>
      <w:r>
        <w:rPr>
          <w:rtl/>
        </w:rPr>
        <w:t xml:space="preserve"> لاستيعاب </w:t>
      </w:r>
      <w:r w:rsidR="00344554">
        <w:rPr>
          <w:rFonts w:hint="cs"/>
          <w:rtl/>
        </w:rPr>
        <w:t>التكنولوجيات</w:t>
      </w:r>
      <w:r>
        <w:rPr>
          <w:rtl/>
        </w:rPr>
        <w:t xml:space="preserve"> والعمليات التجارية الحالية.</w:t>
      </w:r>
    </w:p>
    <w:p w14:paraId="5344B150" w14:textId="779EAE03" w:rsidR="00C137F3" w:rsidRDefault="001C513D" w:rsidP="00C137F3">
      <w:pPr>
        <w:pStyle w:val="ONUMA"/>
      </w:pPr>
      <w:r>
        <w:rPr>
          <w:rFonts w:hint="cs"/>
          <w:rtl/>
        </w:rPr>
        <w:t>و</w:t>
      </w:r>
      <w:r w:rsidR="00C137F3">
        <w:rPr>
          <w:rtl/>
        </w:rPr>
        <w:t xml:space="preserve">أثناء مناقشة خطة العمل، أدركت فرقة العمل أن هناك حاجة إلى </w:t>
      </w:r>
      <w:r>
        <w:rPr>
          <w:rFonts w:hint="cs"/>
          <w:rtl/>
        </w:rPr>
        <w:t xml:space="preserve">توفير </w:t>
      </w:r>
      <w:r w:rsidR="00C137F3">
        <w:rPr>
          <w:rtl/>
        </w:rPr>
        <w:t>مزيد من المعلومات حول الممارسات الحالية لمك</w:t>
      </w:r>
      <w:r>
        <w:rPr>
          <w:rFonts w:hint="cs"/>
          <w:rtl/>
        </w:rPr>
        <w:t>ا</w:t>
      </w:r>
      <w:r w:rsidR="00C137F3">
        <w:rPr>
          <w:rtl/>
        </w:rPr>
        <w:t>تب الملكية الفكرية. ولفهم ممارسات</w:t>
      </w:r>
      <w:r w:rsidR="00BA3963">
        <w:rPr>
          <w:rFonts w:hint="cs"/>
          <w:rtl/>
        </w:rPr>
        <w:t xml:space="preserve"> تلك</w:t>
      </w:r>
      <w:r w:rsidR="00C137F3">
        <w:rPr>
          <w:rtl/>
        </w:rPr>
        <w:t xml:space="preserve"> </w:t>
      </w:r>
      <w:r w:rsidR="00BA3963">
        <w:rPr>
          <w:rFonts w:hint="cs"/>
          <w:rtl/>
        </w:rPr>
        <w:t>ال</w:t>
      </w:r>
      <w:r w:rsidR="00C137F3">
        <w:rPr>
          <w:rtl/>
        </w:rPr>
        <w:t xml:space="preserve">مكاتب بشكل أفضل </w:t>
      </w:r>
      <w:r w:rsidR="00BA3963">
        <w:rPr>
          <w:rFonts w:hint="cs"/>
          <w:rtl/>
        </w:rPr>
        <w:t xml:space="preserve">بشأن </w:t>
      </w:r>
      <w:r w:rsidR="000B07F5">
        <w:rPr>
          <w:rFonts w:hint="cs"/>
          <w:rtl/>
        </w:rPr>
        <w:t>تلقي الوثائق ونشرها</w:t>
      </w:r>
      <w:r w:rsidR="00C137F3">
        <w:rPr>
          <w:rtl/>
        </w:rPr>
        <w:t>، أعدت فرقة العمل مسودة استبيان</w:t>
      </w:r>
      <w:r w:rsidR="00BA3963">
        <w:rPr>
          <w:rFonts w:hint="cs"/>
          <w:rtl/>
        </w:rPr>
        <w:t xml:space="preserve"> تتطرق إلى ذلك</w:t>
      </w:r>
      <w:r w:rsidR="00C137F3">
        <w:rPr>
          <w:rtl/>
        </w:rPr>
        <w:t xml:space="preserve">، والتي ترد في مرفق هذه الوثيقة. </w:t>
      </w:r>
      <w:r w:rsidR="000B07F5">
        <w:rPr>
          <w:rFonts w:hint="cs"/>
          <w:rtl/>
        </w:rPr>
        <w:t xml:space="preserve">ويتمثل </w:t>
      </w:r>
      <w:r w:rsidR="00C137F3">
        <w:rPr>
          <w:rtl/>
        </w:rPr>
        <w:t xml:space="preserve">الغرض من الاستبيان </w:t>
      </w:r>
      <w:r w:rsidR="000B07F5">
        <w:rPr>
          <w:rFonts w:hint="cs"/>
          <w:rtl/>
        </w:rPr>
        <w:t>في</w:t>
      </w:r>
      <w:r w:rsidR="00C137F3">
        <w:rPr>
          <w:rtl/>
        </w:rPr>
        <w:t xml:space="preserve"> جمع المعلومات حول التعامل مع وثائق الملكية الفكرية </w:t>
      </w:r>
      <w:r w:rsidR="00C137F3">
        <w:rPr>
          <w:rtl/>
        </w:rPr>
        <w:lastRenderedPageBreak/>
        <w:t>ومعالجتها (</w:t>
      </w:r>
      <w:r w:rsidR="000B07F5">
        <w:rPr>
          <w:rFonts w:hint="cs"/>
          <w:rtl/>
        </w:rPr>
        <w:t>تلقيها</w:t>
      </w:r>
      <w:r w:rsidR="00C137F3">
        <w:rPr>
          <w:rtl/>
        </w:rPr>
        <w:t xml:space="preserve"> ومعالجتها ونشرها)، بما في ذلك طلبات </w:t>
      </w:r>
      <w:r w:rsidR="000B07F5">
        <w:rPr>
          <w:rFonts w:hint="cs"/>
          <w:rtl/>
        </w:rPr>
        <w:t>ال</w:t>
      </w:r>
      <w:r w:rsidR="00C137F3">
        <w:rPr>
          <w:rtl/>
        </w:rPr>
        <w:t xml:space="preserve">براءات، في </w:t>
      </w:r>
      <w:r w:rsidR="000C28F3">
        <w:rPr>
          <w:rFonts w:hint="cs"/>
          <w:rtl/>
        </w:rPr>
        <w:t xml:space="preserve">نسق </w:t>
      </w:r>
      <w:r w:rsidR="00C137F3">
        <w:rPr>
          <w:rtl/>
        </w:rPr>
        <w:t xml:space="preserve">النص الكامل </w:t>
      </w:r>
      <w:r w:rsidR="000C28F3">
        <w:rPr>
          <w:rFonts w:hint="cs"/>
          <w:rtl/>
        </w:rPr>
        <w:t>وأنساق</w:t>
      </w:r>
      <w:r w:rsidR="00C137F3">
        <w:rPr>
          <w:rtl/>
        </w:rPr>
        <w:t xml:space="preserve"> النصوص الأخرى التي يمكن قراءتها آليًا، والتي تستخدمها مكاتب الملكية الفكرية حاليًا.</w:t>
      </w:r>
    </w:p>
    <w:p w14:paraId="0D531FB5" w14:textId="6B369090" w:rsidR="00C137F3" w:rsidRDefault="00B803F5" w:rsidP="00C137F3">
      <w:pPr>
        <w:pStyle w:val="ONUMA"/>
      </w:pPr>
      <w:r>
        <w:rPr>
          <w:rFonts w:hint="cs"/>
          <w:rtl/>
        </w:rPr>
        <w:t>وترى</w:t>
      </w:r>
      <w:r w:rsidR="00C137F3">
        <w:rPr>
          <w:rtl/>
        </w:rPr>
        <w:t xml:space="preserve"> فرقة العمل أن نتائج </w:t>
      </w:r>
      <w:r>
        <w:rPr>
          <w:rFonts w:hint="cs"/>
          <w:rtl/>
        </w:rPr>
        <w:t>الدراسة الاستقصائية</w:t>
      </w:r>
      <w:r w:rsidR="00C137F3">
        <w:rPr>
          <w:rtl/>
        </w:rPr>
        <w:t xml:space="preserve"> ستساعد على فهم ممارسات </w:t>
      </w:r>
      <w:r>
        <w:rPr>
          <w:rFonts w:hint="cs"/>
          <w:rtl/>
        </w:rPr>
        <w:t xml:space="preserve">مكاتب الملكية الفكرية بشكل </w:t>
      </w:r>
      <w:r>
        <w:rPr>
          <w:rtl/>
        </w:rPr>
        <w:t>أفضل</w:t>
      </w:r>
      <w:r w:rsidR="00C137F3">
        <w:rPr>
          <w:rtl/>
        </w:rPr>
        <w:t xml:space="preserve"> </w:t>
      </w:r>
      <w:r>
        <w:rPr>
          <w:rFonts w:hint="cs"/>
          <w:rtl/>
        </w:rPr>
        <w:t>التي تتبعها في ال</w:t>
      </w:r>
      <w:r w:rsidR="00C137F3">
        <w:rPr>
          <w:rtl/>
        </w:rPr>
        <w:t>رقمنة و</w:t>
      </w:r>
      <w:r>
        <w:rPr>
          <w:rFonts w:hint="cs"/>
          <w:rtl/>
        </w:rPr>
        <w:t xml:space="preserve">تلبية </w:t>
      </w:r>
      <w:r w:rsidR="00C137F3">
        <w:rPr>
          <w:rtl/>
        </w:rPr>
        <w:t xml:space="preserve">احتياجات العمل الحالية. </w:t>
      </w:r>
      <w:r>
        <w:rPr>
          <w:rFonts w:hint="cs"/>
          <w:rtl/>
        </w:rPr>
        <w:t>و</w:t>
      </w:r>
      <w:r w:rsidR="00C137F3">
        <w:rPr>
          <w:rtl/>
        </w:rPr>
        <w:t xml:space="preserve">يمكن لفرقة العمل </w:t>
      </w:r>
      <w:r>
        <w:rPr>
          <w:rFonts w:hint="cs"/>
          <w:rtl/>
        </w:rPr>
        <w:t>الاستناد إلى</w:t>
      </w:r>
      <w:r w:rsidR="00C137F3">
        <w:rPr>
          <w:rtl/>
        </w:rPr>
        <w:t xml:space="preserve"> هذه المعلومات </w:t>
      </w:r>
      <w:r>
        <w:rPr>
          <w:rFonts w:hint="cs"/>
          <w:rtl/>
        </w:rPr>
        <w:t>لتساعدها</w:t>
      </w:r>
      <w:r w:rsidR="00C137F3">
        <w:rPr>
          <w:rtl/>
        </w:rPr>
        <w:t xml:space="preserve"> في </w:t>
      </w:r>
      <w:r>
        <w:rPr>
          <w:rFonts w:hint="cs"/>
          <w:rtl/>
        </w:rPr>
        <w:t>مراجعة وتعديل</w:t>
      </w:r>
      <w:r w:rsidR="00C137F3">
        <w:rPr>
          <w:rtl/>
        </w:rPr>
        <w:t xml:space="preserve"> معايير الويبو الحالية المدرجة في المهمة رقم 62.</w:t>
      </w:r>
    </w:p>
    <w:p w14:paraId="7904F434" w14:textId="55A6B77D" w:rsidR="00C43F6C" w:rsidRDefault="00E402BB" w:rsidP="00C137F3">
      <w:pPr>
        <w:pStyle w:val="ONUMA"/>
        <w:rPr>
          <w:rtl/>
        </w:rPr>
      </w:pPr>
      <w:r>
        <w:rPr>
          <w:rFonts w:hint="cs"/>
          <w:rtl/>
        </w:rPr>
        <w:t>و</w:t>
      </w:r>
      <w:r w:rsidR="00C137F3">
        <w:rPr>
          <w:rtl/>
        </w:rPr>
        <w:t xml:space="preserve">تقترح فرقة العمل أن تصدر الأمانة تعميماً يدعو المكاتب </w:t>
      </w:r>
      <w:r>
        <w:rPr>
          <w:rFonts w:hint="cs"/>
          <w:rtl/>
        </w:rPr>
        <w:t>للمشاركة في الدراسة</w:t>
      </w:r>
      <w:r w:rsidR="00C137F3">
        <w:rPr>
          <w:rtl/>
        </w:rPr>
        <w:t xml:space="preserve"> الاستقصا</w:t>
      </w:r>
      <w:r>
        <w:rPr>
          <w:rFonts w:hint="cs"/>
          <w:rtl/>
        </w:rPr>
        <w:t>ئية</w:t>
      </w:r>
      <w:r w:rsidR="00C137F3">
        <w:rPr>
          <w:rtl/>
        </w:rPr>
        <w:t xml:space="preserve"> بعد </w:t>
      </w:r>
      <w:r>
        <w:rPr>
          <w:rFonts w:hint="cs"/>
          <w:rtl/>
        </w:rPr>
        <w:t>الدورة التاسعة للجنة المعايير</w:t>
      </w:r>
      <w:r w:rsidR="00C137F3">
        <w:rPr>
          <w:rtl/>
        </w:rPr>
        <w:t xml:space="preserve">، ونشر الردود على موقع الويبو الإلكتروني، </w:t>
      </w:r>
      <w:r w:rsidR="00C2086B">
        <w:rPr>
          <w:rFonts w:hint="cs"/>
          <w:rtl/>
        </w:rPr>
        <w:t>وعرض</w:t>
      </w:r>
      <w:r w:rsidR="00C137F3">
        <w:rPr>
          <w:rtl/>
        </w:rPr>
        <w:t xml:space="preserve"> تحليل </w:t>
      </w:r>
      <w:r w:rsidR="00C2086B">
        <w:rPr>
          <w:rFonts w:hint="cs"/>
          <w:rtl/>
        </w:rPr>
        <w:t>ل</w:t>
      </w:r>
      <w:r w:rsidR="00020B97">
        <w:rPr>
          <w:rFonts w:hint="cs"/>
          <w:rtl/>
        </w:rPr>
        <w:t xml:space="preserve">نتائج </w:t>
      </w:r>
      <w:r w:rsidR="00C2086B">
        <w:rPr>
          <w:rFonts w:hint="cs"/>
          <w:rtl/>
        </w:rPr>
        <w:t xml:space="preserve">تلك الدراسة الاستقصائية </w:t>
      </w:r>
      <w:r w:rsidR="00C2086B">
        <w:rPr>
          <w:rtl/>
        </w:rPr>
        <w:t>في الدورة العاشرة للجنة المعايير</w:t>
      </w:r>
      <w:r w:rsidR="00C137F3">
        <w:rPr>
          <w:rtl/>
        </w:rPr>
        <w:t xml:space="preserve"> للموافقة عليه، </w:t>
      </w:r>
      <w:r w:rsidR="008629F3">
        <w:rPr>
          <w:rFonts w:hint="cs"/>
          <w:rtl/>
        </w:rPr>
        <w:t>في حالة تمت الموافقة على</w:t>
      </w:r>
      <w:r w:rsidR="00C137F3">
        <w:rPr>
          <w:rtl/>
        </w:rPr>
        <w:t xml:space="preserve"> الاستبيان المقترح في هذه الدورة. </w:t>
      </w:r>
      <w:r w:rsidR="008629F3">
        <w:rPr>
          <w:rFonts w:hint="cs"/>
          <w:rtl/>
        </w:rPr>
        <w:t>وعلى النحو</w:t>
      </w:r>
      <w:r w:rsidR="00C137F3">
        <w:rPr>
          <w:rtl/>
        </w:rPr>
        <w:t xml:space="preserve"> </w:t>
      </w:r>
      <w:r w:rsidR="006D6C50">
        <w:rPr>
          <w:rFonts w:hint="cs"/>
          <w:rtl/>
        </w:rPr>
        <w:t>الوارد</w:t>
      </w:r>
      <w:r w:rsidR="00C137F3">
        <w:rPr>
          <w:rtl/>
        </w:rPr>
        <w:t xml:space="preserve"> في الوثيقة </w:t>
      </w:r>
      <w:r w:rsidR="008629F3" w:rsidRPr="008629F3">
        <w:t>CWS/9/20</w:t>
      </w:r>
      <w:r w:rsidR="00C137F3">
        <w:rPr>
          <w:rtl/>
        </w:rPr>
        <w:t xml:space="preserve">، </w:t>
      </w:r>
      <w:r w:rsidR="006D6C50">
        <w:rPr>
          <w:rFonts w:hint="cs"/>
          <w:rtl/>
        </w:rPr>
        <w:t>يُعد</w:t>
      </w:r>
      <w:r w:rsidR="00C137F3">
        <w:rPr>
          <w:rtl/>
        </w:rPr>
        <w:t xml:space="preserve"> هذا النهج المقترح أكثر كفاءة من النهج التقليدي </w:t>
      </w:r>
      <w:r w:rsidR="006D6C50">
        <w:rPr>
          <w:rFonts w:hint="cs"/>
          <w:rtl/>
        </w:rPr>
        <w:t>فيما يخص عرض</w:t>
      </w:r>
      <w:r w:rsidR="00C137F3">
        <w:rPr>
          <w:rtl/>
        </w:rPr>
        <w:t xml:space="preserve"> كل من تحليل </w:t>
      </w:r>
      <w:r w:rsidR="006D6C50">
        <w:rPr>
          <w:rFonts w:hint="cs"/>
          <w:rtl/>
        </w:rPr>
        <w:t>الدراسة الاستقصائية</w:t>
      </w:r>
      <w:r w:rsidR="00C137F3">
        <w:rPr>
          <w:rtl/>
        </w:rPr>
        <w:t xml:space="preserve"> والردود غير ا</w:t>
      </w:r>
      <w:r w:rsidR="006D6C50">
        <w:rPr>
          <w:rFonts w:hint="cs"/>
          <w:rtl/>
        </w:rPr>
        <w:t xml:space="preserve">لمعدلة </w:t>
      </w:r>
      <w:r w:rsidR="00C137F3">
        <w:rPr>
          <w:rtl/>
        </w:rPr>
        <w:t xml:space="preserve">على </w:t>
      </w:r>
      <w:r w:rsidR="006D6C50">
        <w:rPr>
          <w:rFonts w:hint="cs"/>
          <w:rtl/>
        </w:rPr>
        <w:t>لجنة المعايير</w:t>
      </w:r>
      <w:r w:rsidR="00C137F3">
        <w:rPr>
          <w:rtl/>
        </w:rPr>
        <w:t xml:space="preserve"> قبل النشر. </w:t>
      </w:r>
      <w:r w:rsidR="006D6C50">
        <w:rPr>
          <w:rFonts w:hint="cs"/>
          <w:rtl/>
        </w:rPr>
        <w:t xml:space="preserve">وستُتاح </w:t>
      </w:r>
      <w:r w:rsidR="00C137F3">
        <w:rPr>
          <w:rtl/>
        </w:rPr>
        <w:t xml:space="preserve">الردود الأساسية على الاستبيان للأطراف المهتمة </w:t>
      </w:r>
      <w:r w:rsidR="006D6C50">
        <w:rPr>
          <w:rFonts w:hint="cs"/>
          <w:rtl/>
        </w:rPr>
        <w:t>قريبا</w:t>
      </w:r>
      <w:r w:rsidR="00C137F3">
        <w:rPr>
          <w:rtl/>
        </w:rPr>
        <w:t xml:space="preserve">، </w:t>
      </w:r>
      <w:r w:rsidR="006D6C50">
        <w:rPr>
          <w:rFonts w:hint="cs"/>
          <w:rtl/>
        </w:rPr>
        <w:t>وستُقلص</w:t>
      </w:r>
      <w:r w:rsidR="00C137F3">
        <w:rPr>
          <w:rtl/>
        </w:rPr>
        <w:t xml:space="preserve"> كمية المواد التي يجب على </w:t>
      </w:r>
      <w:r w:rsidR="006D6C50">
        <w:rPr>
          <w:rFonts w:hint="cs"/>
          <w:rtl/>
        </w:rPr>
        <w:t>لجنة المعايير</w:t>
      </w:r>
      <w:r w:rsidR="00C137F3">
        <w:rPr>
          <w:rtl/>
        </w:rPr>
        <w:t xml:space="preserve"> النظر فيها في </w:t>
      </w:r>
      <w:r w:rsidR="006D6C50">
        <w:rPr>
          <w:rFonts w:hint="cs"/>
          <w:rtl/>
        </w:rPr>
        <w:t>دورتها</w:t>
      </w:r>
      <w:r w:rsidR="00C137F3">
        <w:rPr>
          <w:rtl/>
        </w:rPr>
        <w:t>.</w:t>
      </w:r>
    </w:p>
    <w:p w14:paraId="23E6A493" w14:textId="77777777" w:rsidR="004F57F4" w:rsidRPr="009D1FDC" w:rsidRDefault="004F57F4" w:rsidP="005508A8">
      <w:pPr>
        <w:pStyle w:val="ONUMA"/>
        <w:ind w:left="6025" w:hanging="540"/>
        <w:rPr>
          <w:i/>
          <w:iCs/>
        </w:rPr>
      </w:pPr>
      <w:r w:rsidRPr="009D1FDC">
        <w:rPr>
          <w:rFonts w:hint="cs"/>
          <w:i/>
          <w:iCs/>
          <w:rtl/>
        </w:rPr>
        <w:t>إن لجنة المعايير مدعوة إلى ما يلي:</w:t>
      </w:r>
    </w:p>
    <w:p w14:paraId="62446B20" w14:textId="713B0B82" w:rsidR="005508A8" w:rsidRPr="009D1FDC" w:rsidRDefault="005508A8" w:rsidP="000B2A4E">
      <w:pPr>
        <w:pStyle w:val="ONUMA"/>
        <w:numPr>
          <w:ilvl w:val="0"/>
          <w:numId w:val="23"/>
        </w:numPr>
        <w:tabs>
          <w:tab w:val="right" w:pos="4225"/>
          <w:tab w:val="right" w:pos="4855"/>
          <w:tab w:val="right" w:pos="6475"/>
        </w:tabs>
        <w:ind w:left="5485" w:firstLine="540"/>
        <w:rPr>
          <w:i/>
          <w:iCs/>
        </w:rPr>
      </w:pPr>
      <w:r w:rsidRPr="009D1FDC">
        <w:rPr>
          <w:rFonts w:hint="cs"/>
          <w:i/>
          <w:iCs/>
          <w:rtl/>
        </w:rPr>
        <w:t xml:space="preserve"> </w:t>
      </w:r>
      <w:r w:rsidR="000B2A4E" w:rsidRPr="009D1FDC">
        <w:rPr>
          <w:rFonts w:hint="cs"/>
          <w:i/>
          <w:iCs/>
          <w:rtl/>
        </w:rPr>
        <w:t>الإحاطة علما</w:t>
      </w:r>
      <w:r w:rsidRPr="009D1FDC">
        <w:rPr>
          <w:i/>
          <w:iCs/>
          <w:rtl/>
        </w:rPr>
        <w:t xml:space="preserve"> </w:t>
      </w:r>
      <w:r w:rsidR="000B2A4E" w:rsidRPr="009D1FDC">
        <w:rPr>
          <w:rFonts w:hint="cs"/>
          <w:i/>
          <w:iCs/>
          <w:rtl/>
        </w:rPr>
        <w:t>ب</w:t>
      </w:r>
      <w:r w:rsidRPr="009D1FDC">
        <w:rPr>
          <w:i/>
          <w:iCs/>
          <w:rtl/>
        </w:rPr>
        <w:t>محتوى هذه الوثيقة</w:t>
      </w:r>
      <w:r w:rsidR="00020B97">
        <w:rPr>
          <w:rFonts w:hint="cs"/>
          <w:i/>
          <w:iCs/>
          <w:rtl/>
        </w:rPr>
        <w:t xml:space="preserve"> وبمرفقها</w:t>
      </w:r>
      <w:r w:rsidRPr="009D1FDC">
        <w:rPr>
          <w:i/>
          <w:iCs/>
          <w:rtl/>
        </w:rPr>
        <w:t xml:space="preserve">؛ </w:t>
      </w:r>
    </w:p>
    <w:p w14:paraId="6615C130" w14:textId="5EEDC94E" w:rsidR="00020B97" w:rsidRPr="00020B97" w:rsidRDefault="00020B97" w:rsidP="00020B97">
      <w:pPr>
        <w:pStyle w:val="ONUMA"/>
        <w:numPr>
          <w:ilvl w:val="0"/>
          <w:numId w:val="23"/>
        </w:numPr>
        <w:tabs>
          <w:tab w:val="right" w:pos="4225"/>
          <w:tab w:val="right" w:pos="4855"/>
          <w:tab w:val="right" w:pos="6475"/>
        </w:tabs>
        <w:ind w:left="5485" w:firstLine="540"/>
        <w:rPr>
          <w:i/>
          <w:iCs/>
        </w:rPr>
      </w:pPr>
      <w:r>
        <w:rPr>
          <w:rFonts w:hint="cs"/>
          <w:i/>
          <w:iCs/>
          <w:rtl/>
        </w:rPr>
        <w:t>و</w:t>
      </w:r>
      <w:r w:rsidRPr="00020B97">
        <w:rPr>
          <w:i/>
          <w:iCs/>
          <w:rtl/>
        </w:rPr>
        <w:t>الموافقة على الاستبيان الوارد في مرفق هذه الوثيقة؛</w:t>
      </w:r>
    </w:p>
    <w:p w14:paraId="6BA13A8F" w14:textId="23FEE99E" w:rsidR="00020B97" w:rsidRPr="00020B97" w:rsidRDefault="00020B97" w:rsidP="00020B97">
      <w:pPr>
        <w:pStyle w:val="ONUMA"/>
        <w:numPr>
          <w:ilvl w:val="0"/>
          <w:numId w:val="23"/>
        </w:numPr>
        <w:tabs>
          <w:tab w:val="right" w:pos="4225"/>
          <w:tab w:val="right" w:pos="4855"/>
          <w:tab w:val="right" w:pos="6475"/>
        </w:tabs>
        <w:ind w:left="5485" w:firstLine="540"/>
        <w:rPr>
          <w:i/>
          <w:iCs/>
        </w:rPr>
      </w:pPr>
      <w:r>
        <w:rPr>
          <w:rFonts w:hint="cs"/>
          <w:i/>
          <w:iCs/>
          <w:rtl/>
        </w:rPr>
        <w:t>وطلب</w:t>
      </w:r>
      <w:r w:rsidRPr="00020B97">
        <w:rPr>
          <w:i/>
          <w:iCs/>
          <w:rtl/>
        </w:rPr>
        <w:t xml:space="preserve"> الأمانة </w:t>
      </w:r>
      <w:r>
        <w:rPr>
          <w:rFonts w:hint="cs"/>
          <w:i/>
          <w:iCs/>
          <w:rtl/>
        </w:rPr>
        <w:t>أن تجري</w:t>
      </w:r>
      <w:r w:rsidRPr="00020B97">
        <w:rPr>
          <w:i/>
          <w:iCs/>
          <w:rtl/>
        </w:rPr>
        <w:t xml:space="preserve"> الدراسة الاستقصائية </w:t>
      </w:r>
      <w:r>
        <w:rPr>
          <w:rFonts w:hint="cs"/>
          <w:i/>
          <w:iCs/>
          <w:rtl/>
        </w:rPr>
        <w:t>وأن تنشر</w:t>
      </w:r>
      <w:r w:rsidRPr="00020B97">
        <w:rPr>
          <w:i/>
          <w:iCs/>
          <w:rtl/>
        </w:rPr>
        <w:t xml:space="preserve"> الردود على موقع الويبو </w:t>
      </w:r>
      <w:r>
        <w:rPr>
          <w:rFonts w:hint="cs"/>
          <w:i/>
          <w:iCs/>
          <w:rtl/>
        </w:rPr>
        <w:t xml:space="preserve">الإلكتروني </w:t>
      </w:r>
      <w:r w:rsidRPr="00020B97">
        <w:rPr>
          <w:i/>
          <w:iCs/>
          <w:rtl/>
        </w:rPr>
        <w:t xml:space="preserve">بمجرد توفرها على النحو المشار إليه في الفقرة 5 أعلاه؛ </w:t>
      </w:r>
    </w:p>
    <w:p w14:paraId="12C577DA" w14:textId="78C157F6" w:rsidR="00C43F6C" w:rsidRPr="009D1FDC" w:rsidRDefault="00020B97" w:rsidP="00020B97">
      <w:pPr>
        <w:pStyle w:val="ONUMA"/>
        <w:numPr>
          <w:ilvl w:val="0"/>
          <w:numId w:val="23"/>
        </w:numPr>
        <w:tabs>
          <w:tab w:val="right" w:pos="4225"/>
          <w:tab w:val="right" w:pos="4855"/>
          <w:tab w:val="right" w:pos="6475"/>
        </w:tabs>
        <w:ind w:left="5485" w:firstLine="540"/>
        <w:rPr>
          <w:i/>
          <w:iCs/>
          <w:rtl/>
        </w:rPr>
      </w:pPr>
      <w:r>
        <w:rPr>
          <w:rFonts w:hint="cs"/>
          <w:i/>
          <w:iCs/>
          <w:rtl/>
        </w:rPr>
        <w:t xml:space="preserve">وطلب </w:t>
      </w:r>
      <w:r w:rsidRPr="00020B97">
        <w:rPr>
          <w:i/>
          <w:iCs/>
          <w:rtl/>
        </w:rPr>
        <w:t xml:space="preserve">فرقة العمل </w:t>
      </w:r>
      <w:r>
        <w:rPr>
          <w:rFonts w:hint="cs"/>
          <w:i/>
          <w:iCs/>
          <w:rtl/>
        </w:rPr>
        <w:t>أن تعرض</w:t>
      </w:r>
      <w:r w:rsidRPr="00020B97">
        <w:rPr>
          <w:i/>
          <w:iCs/>
          <w:rtl/>
        </w:rPr>
        <w:t xml:space="preserve"> تحليل</w:t>
      </w:r>
      <w:r>
        <w:rPr>
          <w:rFonts w:hint="cs"/>
          <w:i/>
          <w:iCs/>
          <w:rtl/>
        </w:rPr>
        <w:t>ا</w:t>
      </w:r>
      <w:r w:rsidRPr="00020B97">
        <w:rPr>
          <w:i/>
          <w:iCs/>
          <w:rtl/>
        </w:rPr>
        <w:t xml:space="preserve"> لنتائج </w:t>
      </w:r>
      <w:r>
        <w:rPr>
          <w:rFonts w:hint="cs"/>
          <w:i/>
          <w:iCs/>
          <w:rtl/>
        </w:rPr>
        <w:t>الدراسة الاستقصائية</w:t>
      </w:r>
      <w:r w:rsidRPr="00020B97">
        <w:rPr>
          <w:i/>
          <w:iCs/>
          <w:rtl/>
        </w:rPr>
        <w:t xml:space="preserve"> </w:t>
      </w:r>
      <w:r>
        <w:rPr>
          <w:rFonts w:hint="cs"/>
          <w:i/>
          <w:iCs/>
          <w:rtl/>
        </w:rPr>
        <w:t xml:space="preserve">في </w:t>
      </w:r>
      <w:r w:rsidRPr="00020B97">
        <w:rPr>
          <w:i/>
          <w:iCs/>
          <w:rtl/>
        </w:rPr>
        <w:t xml:space="preserve">الدورة العاشرة للجنة المعايير للموافقة عليه </w:t>
      </w:r>
      <w:bookmarkStart w:id="6" w:name="_Hlk83382360"/>
      <w:r>
        <w:rPr>
          <w:rFonts w:hint="cs"/>
          <w:i/>
          <w:iCs/>
          <w:rtl/>
        </w:rPr>
        <w:t>ونشره بعد ذلك</w:t>
      </w:r>
      <w:r w:rsidRPr="00020B97">
        <w:rPr>
          <w:i/>
          <w:iCs/>
          <w:rtl/>
        </w:rPr>
        <w:t xml:space="preserve"> </w:t>
      </w:r>
      <w:bookmarkEnd w:id="6"/>
      <w:r w:rsidRPr="00020B97">
        <w:rPr>
          <w:i/>
          <w:iCs/>
          <w:rtl/>
        </w:rPr>
        <w:t>كما هو مبين في الفقرة 5 أعلاه</w:t>
      </w:r>
      <w:r w:rsidR="005A2C07" w:rsidRPr="005A2C07">
        <w:rPr>
          <w:i/>
          <w:iCs/>
          <w:rtl/>
        </w:rPr>
        <w:t>.</w:t>
      </w:r>
    </w:p>
    <w:p w14:paraId="10438951" w14:textId="77777777" w:rsidR="00206593" w:rsidRDefault="00206593" w:rsidP="000B2A4E">
      <w:pPr>
        <w:pStyle w:val="BodyText"/>
        <w:rPr>
          <w:rFonts w:eastAsia="Times New Roman"/>
          <w:rtl/>
          <w:lang w:eastAsia="en-US"/>
        </w:rPr>
      </w:pPr>
    </w:p>
    <w:p w14:paraId="09F7AA97" w14:textId="11578A43" w:rsidR="00360601" w:rsidRPr="00425C84" w:rsidRDefault="00206593" w:rsidP="00360601">
      <w:pPr>
        <w:pStyle w:val="Endofdocument-Annex"/>
        <w:rPr>
          <w:lang w:eastAsia="en-US"/>
        </w:rPr>
      </w:pPr>
      <w:r w:rsidRPr="007969D1">
        <w:rPr>
          <w:rtl/>
          <w:lang w:eastAsia="en-US"/>
        </w:rPr>
        <w:t xml:space="preserve"> </w:t>
      </w:r>
      <w:r w:rsidR="007969D1" w:rsidRPr="007969D1">
        <w:rPr>
          <w:rtl/>
          <w:lang w:eastAsia="en-US"/>
        </w:rPr>
        <w:t>[</w:t>
      </w:r>
      <w:r w:rsidR="00020B97">
        <w:rPr>
          <w:rFonts w:hint="cs"/>
          <w:rtl/>
          <w:lang w:eastAsia="en-US"/>
        </w:rPr>
        <w:t>يلي ذلك المرفق</w:t>
      </w:r>
      <w:r w:rsidR="007969D1" w:rsidRPr="007969D1">
        <w:rPr>
          <w:rtl/>
          <w:lang w:eastAsia="en-US"/>
        </w:rPr>
        <w:t>]</w:t>
      </w:r>
    </w:p>
    <w:p w14:paraId="057D7CA8" w14:textId="755031D6" w:rsidR="007969D1" w:rsidRPr="00425C84" w:rsidRDefault="007969D1" w:rsidP="00425C84">
      <w:pPr>
        <w:pStyle w:val="Endofdocument-Annex"/>
        <w:rPr>
          <w:rtl/>
          <w:lang w:eastAsia="en-US"/>
        </w:rPr>
      </w:pPr>
    </w:p>
    <w:sectPr w:rsidR="007969D1" w:rsidRPr="00425C84" w:rsidSect="00CC3E2D">
      <w:headerReference w:type="default" r:id="rId12"/>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65898" w14:textId="77777777" w:rsidR="00B65E01" w:rsidRDefault="00B65E01">
      <w:r>
        <w:separator/>
      </w:r>
    </w:p>
  </w:endnote>
  <w:endnote w:type="continuationSeparator" w:id="0">
    <w:p w14:paraId="25BA542A" w14:textId="77777777" w:rsidR="00B65E01" w:rsidRDefault="00B65E01" w:rsidP="003B38C1">
      <w:r>
        <w:separator/>
      </w:r>
    </w:p>
    <w:p w14:paraId="783B8B92" w14:textId="77777777" w:rsidR="00B65E01" w:rsidRPr="003B38C1" w:rsidRDefault="00B65E01" w:rsidP="003B38C1">
      <w:pPr>
        <w:spacing w:after="60"/>
        <w:rPr>
          <w:sz w:val="17"/>
        </w:rPr>
      </w:pPr>
      <w:r>
        <w:rPr>
          <w:sz w:val="17"/>
        </w:rPr>
        <w:t>[Endnote continued from previous page]</w:t>
      </w:r>
    </w:p>
  </w:endnote>
  <w:endnote w:type="continuationNotice" w:id="1">
    <w:p w14:paraId="36CBCD95" w14:textId="77777777" w:rsidR="00B65E01" w:rsidRPr="003B38C1" w:rsidRDefault="00B65E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A771C" w14:textId="77777777" w:rsidR="00B65E01" w:rsidRDefault="00B65E01">
      <w:r>
        <w:separator/>
      </w:r>
    </w:p>
  </w:footnote>
  <w:footnote w:type="continuationSeparator" w:id="0">
    <w:p w14:paraId="2FF3E31B" w14:textId="77777777" w:rsidR="00B65E01" w:rsidRDefault="00B65E01" w:rsidP="008B60B2">
      <w:r>
        <w:separator/>
      </w:r>
    </w:p>
    <w:p w14:paraId="3A5C4EB6" w14:textId="77777777" w:rsidR="00B65E01" w:rsidRPr="00ED77FB" w:rsidRDefault="00B65E01" w:rsidP="008B60B2">
      <w:pPr>
        <w:spacing w:after="60"/>
        <w:rPr>
          <w:sz w:val="17"/>
          <w:szCs w:val="17"/>
        </w:rPr>
      </w:pPr>
      <w:r w:rsidRPr="00ED77FB">
        <w:rPr>
          <w:sz w:val="17"/>
          <w:szCs w:val="17"/>
        </w:rPr>
        <w:t>[Footnote continued from previous page]</w:t>
      </w:r>
    </w:p>
  </w:footnote>
  <w:footnote w:type="continuationNotice" w:id="1">
    <w:p w14:paraId="1770E98D" w14:textId="77777777" w:rsidR="00B65E01" w:rsidRPr="00ED77FB" w:rsidRDefault="00B65E0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F4A7" w14:textId="754992E9" w:rsidR="00155952" w:rsidRPr="00E804AB" w:rsidRDefault="00155952" w:rsidP="00155952">
    <w:pPr>
      <w:bidi w:val="0"/>
      <w:rPr>
        <w:rFonts w:cs="Arial"/>
        <w:caps/>
        <w:szCs w:val="20"/>
        <w:lang w:val="fr-FR"/>
      </w:rPr>
    </w:pPr>
    <w:r w:rsidRPr="00360601">
      <w:rPr>
        <w:rFonts w:cs="Arial"/>
        <w:caps/>
        <w:szCs w:val="20"/>
      </w:rPr>
      <w:t>CWS/9/</w:t>
    </w:r>
    <w:r w:rsidR="00FD5AF0">
      <w:rPr>
        <w:rFonts w:cs="Arial"/>
        <w:caps/>
        <w:szCs w:val="20"/>
      </w:rPr>
      <w:t>17</w:t>
    </w:r>
  </w:p>
  <w:p w14:paraId="18D88363" w14:textId="50F34705" w:rsidR="00155952" w:rsidRPr="00360601" w:rsidRDefault="00155952" w:rsidP="00155952">
    <w:pPr>
      <w:bidi w:val="0"/>
      <w:rPr>
        <w:rFonts w:cs="Arial"/>
        <w:szCs w:val="20"/>
      </w:rPr>
    </w:pPr>
    <w:r w:rsidRPr="00360601">
      <w:rPr>
        <w:rFonts w:cs="Arial"/>
        <w:szCs w:val="20"/>
      </w:rPr>
      <w:fldChar w:fldCharType="begin"/>
    </w:r>
    <w:r w:rsidRPr="00360601">
      <w:rPr>
        <w:rFonts w:cs="Arial"/>
        <w:szCs w:val="20"/>
      </w:rPr>
      <w:instrText xml:space="preserve"> PAGE  \* MERGEFORMAT </w:instrText>
    </w:r>
    <w:r w:rsidRPr="00360601">
      <w:rPr>
        <w:rFonts w:cs="Arial"/>
        <w:szCs w:val="20"/>
      </w:rPr>
      <w:fldChar w:fldCharType="separate"/>
    </w:r>
    <w:r w:rsidR="00D22A9E">
      <w:rPr>
        <w:rFonts w:cs="Arial"/>
        <w:noProof/>
        <w:szCs w:val="20"/>
      </w:rPr>
      <w:t>2</w:t>
    </w:r>
    <w:r w:rsidRPr="00360601">
      <w:rPr>
        <w:rFonts w:cs="Arial"/>
        <w:szCs w:val="20"/>
      </w:rPr>
      <w:fldChar w:fldCharType="end"/>
    </w:r>
  </w:p>
  <w:p w14:paraId="114FCE8B" w14:textId="453522D7" w:rsidR="00155952" w:rsidRDefault="00155952" w:rsidP="00155952">
    <w:pPr>
      <w:pStyle w:val="Header"/>
      <w:jc w:val="right"/>
      <w:rPr>
        <w:rtl/>
      </w:rPr>
    </w:pPr>
  </w:p>
  <w:p w14:paraId="22865C96" w14:textId="77777777" w:rsidR="00155952" w:rsidRDefault="00155952" w:rsidP="001559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A6BE" w14:textId="77777777" w:rsidR="00E804AB" w:rsidRDefault="00E804AB" w:rsidP="00E804AB">
    <w:pPr>
      <w:pStyle w:val="Header"/>
      <w:bidi w:val="0"/>
      <w:rPr>
        <w:rtl/>
      </w:rPr>
    </w:pPr>
  </w:p>
  <w:p w14:paraId="75918D14" w14:textId="77777777" w:rsidR="00E804AB" w:rsidRDefault="00E804AB" w:rsidP="00425C84">
    <w:pPr>
      <w:pStyle w:val="Header"/>
      <w:bidi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B63DDA"/>
    <w:multiLevelType w:val="hybridMultilevel"/>
    <w:tmpl w:val="32684460"/>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93DDD"/>
    <w:multiLevelType w:val="hybridMultilevel"/>
    <w:tmpl w:val="333E3124"/>
    <w:lvl w:ilvl="0" w:tplc="CB9CA206">
      <w:numFmt w:val="bullet"/>
      <w:lvlText w:val="_"/>
      <w:lvlJc w:val="left"/>
      <w:pPr>
        <w:ind w:left="720" w:hanging="360"/>
      </w:pPr>
      <w:rPr>
        <w:rFonts w:ascii="Arabic Typesetting" w:eastAsia="Times New Roman" w:hAnsi="Arabic Typesetting"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3F683FE3"/>
    <w:multiLevelType w:val="hybridMultilevel"/>
    <w:tmpl w:val="12D4B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B84EA0"/>
    <w:multiLevelType w:val="hybridMultilevel"/>
    <w:tmpl w:val="1E6C88DE"/>
    <w:lvl w:ilvl="0" w:tplc="183AD578">
      <w:numFmt w:val="bullet"/>
      <w:lvlText w:val="-"/>
      <w:lvlJc w:val="left"/>
      <w:pPr>
        <w:ind w:left="720" w:hanging="360"/>
      </w:pPr>
      <w:rPr>
        <w:rFonts w:ascii="Calibri" w:eastAsia="Times New Roman"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D64410"/>
    <w:multiLevelType w:val="hybridMultilevel"/>
    <w:tmpl w:val="7520E4A0"/>
    <w:lvl w:ilvl="0" w:tplc="8580E61E">
      <w:start w:val="1"/>
      <w:numFmt w:val="arabicAbjad"/>
      <w:lvlText w:val="(%1)"/>
      <w:lvlJc w:val="left"/>
      <w:pPr>
        <w:ind w:left="752" w:hanging="360"/>
      </w:pPr>
      <w:rPr>
        <w:rFonts w:asciiTheme="minorHAnsi" w:eastAsia="SimSun" w:hAnsiTheme="minorHAnsi" w:cstheme="minorHAnsi"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20061B"/>
    <w:multiLevelType w:val="multilevel"/>
    <w:tmpl w:val="ACAA6F7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3"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5"/>
  </w:num>
  <w:num w:numId="3">
    <w:abstractNumId w:val="0"/>
  </w:num>
  <w:num w:numId="4">
    <w:abstractNumId w:val="19"/>
  </w:num>
  <w:num w:numId="5">
    <w:abstractNumId w:val="2"/>
  </w:num>
  <w:num w:numId="6">
    <w:abstractNumId w:val="8"/>
  </w:num>
  <w:num w:numId="7">
    <w:abstractNumId w:val="22"/>
  </w:num>
  <w:num w:numId="8">
    <w:abstractNumId w:val="11"/>
  </w:num>
  <w:num w:numId="9">
    <w:abstractNumId w:val="12"/>
  </w:num>
  <w:num w:numId="10">
    <w:abstractNumId w:val="17"/>
  </w:num>
  <w:num w:numId="11">
    <w:abstractNumId w:val="21"/>
  </w:num>
  <w:num w:numId="12">
    <w:abstractNumId w:val="18"/>
  </w:num>
  <w:num w:numId="13">
    <w:abstractNumId w:val="23"/>
  </w:num>
  <w:num w:numId="14">
    <w:abstractNumId w:val="6"/>
  </w:num>
  <w:num w:numId="15">
    <w:abstractNumId w:val="10"/>
  </w:num>
  <w:num w:numId="16">
    <w:abstractNumId w:val="3"/>
  </w:num>
  <w:num w:numId="17">
    <w:abstractNumId w:val="13"/>
  </w:num>
  <w:num w:numId="18">
    <w:abstractNumId w:val="20"/>
  </w:num>
  <w:num w:numId="19">
    <w:abstractNumId w:val="7"/>
  </w:num>
  <w:num w:numId="20">
    <w:abstractNumId w:val="24"/>
  </w:num>
  <w:num w:numId="21">
    <w:abstractNumId w:val="9"/>
  </w:num>
  <w:num w:numId="22">
    <w:abstractNumId w:val="25"/>
  </w:num>
  <w:num w:numId="23">
    <w:abstractNumId w:val="16"/>
  </w:num>
  <w:num w:numId="24">
    <w:abstractNumId w:val="22"/>
  </w:num>
  <w:num w:numId="25">
    <w:abstractNumId w:val="22"/>
  </w:num>
  <w:num w:numId="26">
    <w:abstractNumId w:val="22"/>
  </w:num>
  <w:num w:numId="27">
    <w:abstractNumId w:val="22"/>
  </w:num>
  <w:num w:numId="28">
    <w:abstractNumId w:val="22"/>
  </w:num>
  <w:num w:numId="29">
    <w:abstractNumId w:val="4"/>
  </w:num>
  <w:num w:numId="30">
    <w:abstractNumId w:val="14"/>
  </w:num>
  <w:num w:numId="31">
    <w:abstractNumId w:val="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00"/>
    <w:rsid w:val="00020B97"/>
    <w:rsid w:val="00035A24"/>
    <w:rsid w:val="00043CAA"/>
    <w:rsid w:val="00056816"/>
    <w:rsid w:val="00065834"/>
    <w:rsid w:val="00070761"/>
    <w:rsid w:val="00071F21"/>
    <w:rsid w:val="00075432"/>
    <w:rsid w:val="000910E5"/>
    <w:rsid w:val="000968ED"/>
    <w:rsid w:val="000A3D97"/>
    <w:rsid w:val="000B07F5"/>
    <w:rsid w:val="000B2A4E"/>
    <w:rsid w:val="000B5B36"/>
    <w:rsid w:val="000C28F3"/>
    <w:rsid w:val="000C3B24"/>
    <w:rsid w:val="000D3DAB"/>
    <w:rsid w:val="000E52DA"/>
    <w:rsid w:val="000F5E56"/>
    <w:rsid w:val="001362EE"/>
    <w:rsid w:val="001406E1"/>
    <w:rsid w:val="00140F22"/>
    <w:rsid w:val="00155952"/>
    <w:rsid w:val="00155D8A"/>
    <w:rsid w:val="001647D5"/>
    <w:rsid w:val="00167832"/>
    <w:rsid w:val="001832A6"/>
    <w:rsid w:val="0019592A"/>
    <w:rsid w:val="001B4A46"/>
    <w:rsid w:val="001C2B68"/>
    <w:rsid w:val="001C513D"/>
    <w:rsid w:val="001D4107"/>
    <w:rsid w:val="00203D24"/>
    <w:rsid w:val="00206593"/>
    <w:rsid w:val="00210D5F"/>
    <w:rsid w:val="0021217E"/>
    <w:rsid w:val="002326AB"/>
    <w:rsid w:val="00243430"/>
    <w:rsid w:val="00250149"/>
    <w:rsid w:val="00262607"/>
    <w:rsid w:val="002634C4"/>
    <w:rsid w:val="00265354"/>
    <w:rsid w:val="002928D3"/>
    <w:rsid w:val="002A7B3A"/>
    <w:rsid w:val="002D4484"/>
    <w:rsid w:val="002F1FE6"/>
    <w:rsid w:val="002F4E68"/>
    <w:rsid w:val="00303282"/>
    <w:rsid w:val="00304850"/>
    <w:rsid w:val="00312F7F"/>
    <w:rsid w:val="00321316"/>
    <w:rsid w:val="00321EB3"/>
    <w:rsid w:val="00327E12"/>
    <w:rsid w:val="00333351"/>
    <w:rsid w:val="00344554"/>
    <w:rsid w:val="003452A8"/>
    <w:rsid w:val="00360601"/>
    <w:rsid w:val="00361450"/>
    <w:rsid w:val="003673CF"/>
    <w:rsid w:val="003845C1"/>
    <w:rsid w:val="00390119"/>
    <w:rsid w:val="003A219A"/>
    <w:rsid w:val="003A6F89"/>
    <w:rsid w:val="003B355C"/>
    <w:rsid w:val="003B3581"/>
    <w:rsid w:val="003B38C1"/>
    <w:rsid w:val="003C34E9"/>
    <w:rsid w:val="003F20F4"/>
    <w:rsid w:val="00423E3E"/>
    <w:rsid w:val="00425C84"/>
    <w:rsid w:val="00427AF4"/>
    <w:rsid w:val="00435E3E"/>
    <w:rsid w:val="00436F2D"/>
    <w:rsid w:val="004434C3"/>
    <w:rsid w:val="00444A53"/>
    <w:rsid w:val="0045246E"/>
    <w:rsid w:val="00452F85"/>
    <w:rsid w:val="00461B51"/>
    <w:rsid w:val="004647DA"/>
    <w:rsid w:val="00474062"/>
    <w:rsid w:val="00477D6B"/>
    <w:rsid w:val="0048522D"/>
    <w:rsid w:val="004D29A8"/>
    <w:rsid w:val="004E7145"/>
    <w:rsid w:val="004F57F4"/>
    <w:rsid w:val="005019FF"/>
    <w:rsid w:val="0050470A"/>
    <w:rsid w:val="0053057A"/>
    <w:rsid w:val="005508A8"/>
    <w:rsid w:val="00556076"/>
    <w:rsid w:val="00560A29"/>
    <w:rsid w:val="00565DBE"/>
    <w:rsid w:val="005740C5"/>
    <w:rsid w:val="0059409E"/>
    <w:rsid w:val="005A2C07"/>
    <w:rsid w:val="005B2C79"/>
    <w:rsid w:val="005B453D"/>
    <w:rsid w:val="005C6649"/>
    <w:rsid w:val="005E723C"/>
    <w:rsid w:val="005E7B89"/>
    <w:rsid w:val="005F0828"/>
    <w:rsid w:val="00600D30"/>
    <w:rsid w:val="00605827"/>
    <w:rsid w:val="006216FA"/>
    <w:rsid w:val="00646050"/>
    <w:rsid w:val="00650C02"/>
    <w:rsid w:val="006713CA"/>
    <w:rsid w:val="00672C45"/>
    <w:rsid w:val="00676C5C"/>
    <w:rsid w:val="006B5C12"/>
    <w:rsid w:val="006D03D2"/>
    <w:rsid w:val="006D27D2"/>
    <w:rsid w:val="006D4F94"/>
    <w:rsid w:val="006D6C50"/>
    <w:rsid w:val="006D7AAB"/>
    <w:rsid w:val="006D7C7A"/>
    <w:rsid w:val="006F641A"/>
    <w:rsid w:val="00707BB4"/>
    <w:rsid w:val="00710A03"/>
    <w:rsid w:val="007161B4"/>
    <w:rsid w:val="00720EFD"/>
    <w:rsid w:val="00731F15"/>
    <w:rsid w:val="00750C1A"/>
    <w:rsid w:val="007854AF"/>
    <w:rsid w:val="0079149A"/>
    <w:rsid w:val="00793A7C"/>
    <w:rsid w:val="007969D1"/>
    <w:rsid w:val="007A398A"/>
    <w:rsid w:val="007C2853"/>
    <w:rsid w:val="007C4902"/>
    <w:rsid w:val="007D1613"/>
    <w:rsid w:val="007E4889"/>
    <w:rsid w:val="007E4C0E"/>
    <w:rsid w:val="007F2C24"/>
    <w:rsid w:val="008243C0"/>
    <w:rsid w:val="00825DE5"/>
    <w:rsid w:val="008629F3"/>
    <w:rsid w:val="0087452D"/>
    <w:rsid w:val="008A134B"/>
    <w:rsid w:val="008A7C37"/>
    <w:rsid w:val="008B2CC1"/>
    <w:rsid w:val="008B60B2"/>
    <w:rsid w:val="0090731E"/>
    <w:rsid w:val="00916EE2"/>
    <w:rsid w:val="0093527D"/>
    <w:rsid w:val="0094554E"/>
    <w:rsid w:val="00947238"/>
    <w:rsid w:val="00966A22"/>
    <w:rsid w:val="0096722F"/>
    <w:rsid w:val="00980843"/>
    <w:rsid w:val="0099406E"/>
    <w:rsid w:val="009B0855"/>
    <w:rsid w:val="009B48A1"/>
    <w:rsid w:val="009C0030"/>
    <w:rsid w:val="009D1FDC"/>
    <w:rsid w:val="009D2E78"/>
    <w:rsid w:val="009D3072"/>
    <w:rsid w:val="009D3A30"/>
    <w:rsid w:val="009E1721"/>
    <w:rsid w:val="009E2791"/>
    <w:rsid w:val="009E3F6F"/>
    <w:rsid w:val="009F499F"/>
    <w:rsid w:val="00A33241"/>
    <w:rsid w:val="00A37342"/>
    <w:rsid w:val="00A41FCF"/>
    <w:rsid w:val="00A42DAF"/>
    <w:rsid w:val="00A45BD8"/>
    <w:rsid w:val="00A869B7"/>
    <w:rsid w:val="00A90F0A"/>
    <w:rsid w:val="00AC205C"/>
    <w:rsid w:val="00AD30FC"/>
    <w:rsid w:val="00AF0A6B"/>
    <w:rsid w:val="00AF4F00"/>
    <w:rsid w:val="00B05A69"/>
    <w:rsid w:val="00B331D8"/>
    <w:rsid w:val="00B42CA9"/>
    <w:rsid w:val="00B51FF7"/>
    <w:rsid w:val="00B5767A"/>
    <w:rsid w:val="00B65E01"/>
    <w:rsid w:val="00B75281"/>
    <w:rsid w:val="00B754E1"/>
    <w:rsid w:val="00B803F5"/>
    <w:rsid w:val="00B92F1F"/>
    <w:rsid w:val="00B9734B"/>
    <w:rsid w:val="00BA30E2"/>
    <w:rsid w:val="00BA3963"/>
    <w:rsid w:val="00BB571E"/>
    <w:rsid w:val="00BB781F"/>
    <w:rsid w:val="00BC3832"/>
    <w:rsid w:val="00BC6536"/>
    <w:rsid w:val="00C0013E"/>
    <w:rsid w:val="00C02F04"/>
    <w:rsid w:val="00C11BFE"/>
    <w:rsid w:val="00C137F3"/>
    <w:rsid w:val="00C2086B"/>
    <w:rsid w:val="00C32E43"/>
    <w:rsid w:val="00C3436A"/>
    <w:rsid w:val="00C43F6C"/>
    <w:rsid w:val="00C5068F"/>
    <w:rsid w:val="00C73194"/>
    <w:rsid w:val="00C74BB4"/>
    <w:rsid w:val="00C86D74"/>
    <w:rsid w:val="00C91553"/>
    <w:rsid w:val="00C925E7"/>
    <w:rsid w:val="00CB3DBA"/>
    <w:rsid w:val="00CC2CDF"/>
    <w:rsid w:val="00CC3E2D"/>
    <w:rsid w:val="00CD04F1"/>
    <w:rsid w:val="00CD1944"/>
    <w:rsid w:val="00CE19F8"/>
    <w:rsid w:val="00CF681A"/>
    <w:rsid w:val="00D07C78"/>
    <w:rsid w:val="00D125D8"/>
    <w:rsid w:val="00D22A9E"/>
    <w:rsid w:val="00D45252"/>
    <w:rsid w:val="00D474E6"/>
    <w:rsid w:val="00D50A16"/>
    <w:rsid w:val="00D512F3"/>
    <w:rsid w:val="00D60B2C"/>
    <w:rsid w:val="00D62282"/>
    <w:rsid w:val="00D67EAE"/>
    <w:rsid w:val="00D71B4D"/>
    <w:rsid w:val="00D7681B"/>
    <w:rsid w:val="00D90B96"/>
    <w:rsid w:val="00D93D55"/>
    <w:rsid w:val="00DC0F46"/>
    <w:rsid w:val="00DC17E3"/>
    <w:rsid w:val="00DD65C8"/>
    <w:rsid w:val="00DD7B7F"/>
    <w:rsid w:val="00E13090"/>
    <w:rsid w:val="00E15015"/>
    <w:rsid w:val="00E16C61"/>
    <w:rsid w:val="00E17738"/>
    <w:rsid w:val="00E3169B"/>
    <w:rsid w:val="00E319DF"/>
    <w:rsid w:val="00E335FE"/>
    <w:rsid w:val="00E34683"/>
    <w:rsid w:val="00E402BB"/>
    <w:rsid w:val="00E655A0"/>
    <w:rsid w:val="00E66CC5"/>
    <w:rsid w:val="00E804AB"/>
    <w:rsid w:val="00EA2B00"/>
    <w:rsid w:val="00EA7D6E"/>
    <w:rsid w:val="00EB2F76"/>
    <w:rsid w:val="00EC4E49"/>
    <w:rsid w:val="00ED6EB7"/>
    <w:rsid w:val="00ED77FB"/>
    <w:rsid w:val="00EE307E"/>
    <w:rsid w:val="00EE45FA"/>
    <w:rsid w:val="00EF1011"/>
    <w:rsid w:val="00F043DE"/>
    <w:rsid w:val="00F10E7C"/>
    <w:rsid w:val="00F131E4"/>
    <w:rsid w:val="00F248CE"/>
    <w:rsid w:val="00F66152"/>
    <w:rsid w:val="00F76CB4"/>
    <w:rsid w:val="00F90C07"/>
    <w:rsid w:val="00F9165B"/>
    <w:rsid w:val="00FA17DA"/>
    <w:rsid w:val="00FA44A9"/>
    <w:rsid w:val="00FA6CAF"/>
    <w:rsid w:val="00FB108C"/>
    <w:rsid w:val="00FC482F"/>
    <w:rsid w:val="00FD0B86"/>
    <w:rsid w:val="00FD5AF0"/>
    <w:rsid w:val="00FE132C"/>
    <w:rsid w:val="00FE5D7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73BC5"/>
  <w15:docId w15:val="{A244D00F-46C7-4F7C-9484-47B1DBD2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6D03D2"/>
    <w:rPr>
      <w:color w:val="0000FF" w:themeColor="hyperlink"/>
      <w:u w:val="single"/>
    </w:rPr>
  </w:style>
  <w:style w:type="character" w:customStyle="1" w:styleId="UnresolvedMention">
    <w:name w:val="Unresolved Mention"/>
    <w:basedOn w:val="DefaultParagraphFont"/>
    <w:uiPriority w:val="99"/>
    <w:semiHidden/>
    <w:unhideWhenUsed/>
    <w:rsid w:val="00390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97E94-6995-4758-845B-8E7CE11A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2758</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CWS/9/1 PROV. (Arabic)</vt:lpstr>
      <vt:lpstr>CWS/9/1 PROV. (Arabic)</vt:lpstr>
    </vt:vector>
  </TitlesOfParts>
  <Company>WIPO</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CWS/9/17</dc:title>
  <dc:creator>WIPO</dc:creator>
  <cp:keywords>FOR OFFICIAL USE ONLY</cp:keywords>
  <cp:lastModifiedBy>CHAVAS Louison</cp:lastModifiedBy>
  <cp:revision>2</cp:revision>
  <cp:lastPrinted>2021-08-20T11:58:00Z</cp:lastPrinted>
  <dcterms:created xsi:type="dcterms:W3CDTF">2021-09-27T13:41:00Z</dcterms:created>
  <dcterms:modified xsi:type="dcterms:W3CDTF">2021-09-27T13:41:00Z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