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C26939">
      <w:pPr>
        <w:spacing w:after="120"/>
        <w:ind w:left="4535"/>
        <w:rPr>
          <w:rtl/>
        </w:rPr>
      </w:pPr>
      <w:r w:rsidRPr="003F7284">
        <w:rPr>
          <w:noProof/>
          <w:lang w:eastAsia="zh-CN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3A7623" w:rsidP="00BB4808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 w:bidi="ar-LB"/>
        </w:rPr>
      </w:pPr>
      <w:bookmarkStart w:id="2" w:name="Code"/>
      <w:bookmarkStart w:id="3" w:name="Code2"/>
      <w:bookmarkStart w:id="4" w:name="_GoBack"/>
      <w:bookmarkEnd w:id="2"/>
      <w:bookmarkEnd w:id="4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</w:t>
      </w:r>
      <w:r w:rsidR="00EA2663" w:rsidRPr="00EA266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 w:rsidR="006230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BB480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3A7623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BB4808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BB4808">
        <w:rPr>
          <w:rFonts w:hint="cs"/>
          <w:b/>
          <w:bCs/>
          <w:sz w:val="30"/>
          <w:szCs w:val="30"/>
          <w:rtl/>
        </w:rPr>
        <w:t>23</w:t>
      </w:r>
      <w:r w:rsidR="003A7623">
        <w:rPr>
          <w:rFonts w:hint="cs"/>
          <w:b/>
          <w:bCs/>
          <w:sz w:val="30"/>
          <w:szCs w:val="30"/>
          <w:rtl/>
        </w:rPr>
        <w:t xml:space="preserve"> أكتوبر 2020</w:t>
      </w:r>
    </w:p>
    <w:p w:rsidR="002E7810" w:rsidRPr="00FD6D15" w:rsidRDefault="00EA2663" w:rsidP="00595AE3">
      <w:pPr>
        <w:pStyle w:val="Heading1"/>
        <w:spacing w:after="600" w:line="240" w:lineRule="auto"/>
        <w:rPr>
          <w:rtl/>
          <w:lang w:bidi="ar-LB"/>
        </w:rPr>
      </w:pPr>
      <w:bookmarkStart w:id="7" w:name="Body"/>
      <w:bookmarkEnd w:id="7"/>
      <w:r w:rsidRPr="00EA2663">
        <w:rPr>
          <w:rtl/>
        </w:rPr>
        <w:t xml:space="preserve">اللجنة </w:t>
      </w:r>
      <w:r w:rsidR="003A7623">
        <w:rPr>
          <w:rFonts w:hint="cs"/>
          <w:rtl/>
          <w:lang w:bidi="ar-LB"/>
        </w:rPr>
        <w:t>المعنية بمعايير الويبو</w:t>
      </w:r>
    </w:p>
    <w:p w:rsidR="002E7810" w:rsidRPr="002E7810" w:rsidRDefault="00EA2663" w:rsidP="003A7623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 w:rsidRPr="00EA2663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3A7623">
        <w:rPr>
          <w:rFonts w:ascii="Arial Black" w:hAnsi="Arial Black" w:cs="PT Bold Heading" w:hint="cs"/>
          <w:sz w:val="30"/>
          <w:szCs w:val="30"/>
          <w:rtl/>
        </w:rPr>
        <w:t>الثامنة</w:t>
      </w:r>
    </w:p>
    <w:p w:rsidR="002E7810" w:rsidRPr="002E7810" w:rsidRDefault="00EA2663" w:rsidP="003A7623">
      <w:pPr>
        <w:spacing w:line="600" w:lineRule="auto"/>
        <w:rPr>
          <w:b/>
          <w:bCs/>
          <w:rtl/>
        </w:rPr>
      </w:pPr>
      <w:bookmarkStart w:id="9" w:name="Place"/>
      <w:bookmarkEnd w:id="9"/>
      <w:r w:rsidRPr="00EA2663">
        <w:rPr>
          <w:b/>
          <w:bCs/>
          <w:rtl/>
        </w:rPr>
        <w:t xml:space="preserve">جنيف، من </w:t>
      </w:r>
      <w:r w:rsidR="003A7623">
        <w:rPr>
          <w:rFonts w:hint="cs"/>
          <w:b/>
          <w:bCs/>
          <w:rtl/>
        </w:rPr>
        <w:t>30 نوفمبر</w:t>
      </w:r>
      <w:r w:rsidRPr="00EA2663">
        <w:rPr>
          <w:b/>
          <w:bCs/>
          <w:rtl/>
        </w:rPr>
        <w:t xml:space="preserve"> إلى </w:t>
      </w:r>
      <w:r w:rsidR="003A7623">
        <w:rPr>
          <w:rFonts w:hint="cs"/>
          <w:b/>
          <w:bCs/>
          <w:rtl/>
        </w:rPr>
        <w:t>4</w:t>
      </w:r>
      <w:r w:rsidRPr="00EA2663">
        <w:rPr>
          <w:b/>
          <w:bCs/>
          <w:rtl/>
        </w:rPr>
        <w:t xml:space="preserve"> </w:t>
      </w:r>
      <w:r w:rsidR="003A7623">
        <w:rPr>
          <w:rFonts w:hint="cs"/>
          <w:b/>
          <w:bCs/>
          <w:rtl/>
        </w:rPr>
        <w:t>ديسمبر</w:t>
      </w:r>
      <w:r w:rsidRPr="00EA2663">
        <w:rPr>
          <w:b/>
          <w:bCs/>
          <w:rtl/>
        </w:rPr>
        <w:t xml:space="preserve"> </w:t>
      </w:r>
      <w:r w:rsidR="00737220">
        <w:rPr>
          <w:rFonts w:hint="cs"/>
          <w:b/>
          <w:bCs/>
          <w:rtl/>
        </w:rPr>
        <w:t>2020</w:t>
      </w:r>
    </w:p>
    <w:p w:rsidR="002E7810" w:rsidRPr="002E7810" w:rsidRDefault="002E7810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</w:p>
    <w:p w:rsidR="003A7623" w:rsidRPr="003A7623" w:rsidRDefault="003A7623" w:rsidP="00BB4808">
      <w:pPr>
        <w:spacing w:before="200" w:after="960"/>
        <w:rPr>
          <w:sz w:val="40"/>
          <w:szCs w:val="40"/>
          <w:rtl/>
          <w:lang w:bidi="ar-LB"/>
        </w:rPr>
      </w:pPr>
      <w:bookmarkStart w:id="11" w:name="Doc"/>
      <w:bookmarkEnd w:id="11"/>
      <w:r w:rsidRPr="003A7623">
        <w:rPr>
          <w:rFonts w:hint="cs"/>
          <w:sz w:val="40"/>
          <w:szCs w:val="40"/>
          <w:rtl/>
        </w:rPr>
        <w:t xml:space="preserve">اقتراح </w:t>
      </w:r>
      <w:r w:rsidR="00BB4808">
        <w:rPr>
          <w:rFonts w:hint="cs"/>
          <w:sz w:val="40"/>
          <w:szCs w:val="40"/>
          <w:rtl/>
        </w:rPr>
        <w:t>بشأن مراجعة</w:t>
      </w:r>
      <w:r w:rsidRPr="003A7623">
        <w:rPr>
          <w:rFonts w:hint="cs"/>
          <w:sz w:val="40"/>
          <w:szCs w:val="40"/>
          <w:rtl/>
        </w:rPr>
        <w:t xml:space="preserve"> </w:t>
      </w:r>
      <w:r w:rsidR="00BB4808">
        <w:rPr>
          <w:rFonts w:hint="cs"/>
          <w:sz w:val="40"/>
          <w:szCs w:val="40"/>
          <w:rtl/>
        </w:rPr>
        <w:t xml:space="preserve">معيار الويبو </w:t>
      </w:r>
      <w:r w:rsidR="00BB4808">
        <w:rPr>
          <w:sz w:val="40"/>
          <w:szCs w:val="40"/>
        </w:rPr>
        <w:t>ST.27</w:t>
      </w:r>
    </w:p>
    <w:p w:rsidR="003F7284" w:rsidRPr="00BB6440" w:rsidRDefault="003A7623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>
        <w:rPr>
          <w:rFonts w:hint="cs"/>
          <w:i/>
          <w:iCs/>
          <w:rtl/>
        </w:rPr>
        <w:t xml:space="preserve"> المشرف على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فرقة العمل المعنية بالوضع القانوني</w:t>
      </w:r>
    </w:p>
    <w:p w:rsidR="00E3612C" w:rsidRPr="00FD6D15" w:rsidRDefault="00E3612C" w:rsidP="000D7E81">
      <w:pPr>
        <w:pStyle w:val="BodyText"/>
        <w:rPr>
          <w:rtl/>
        </w:rPr>
      </w:pPr>
    </w:p>
    <w:p w:rsidR="00C41AE0" w:rsidRDefault="00BB4808" w:rsidP="00ED7555">
      <w:pPr>
        <w:pStyle w:val="BodyText"/>
        <w:rPr>
          <w:rtl/>
          <w:lang w:bidi="ar-LB"/>
        </w:rPr>
      </w:pPr>
      <w:r>
        <w:rPr>
          <w:rFonts w:hint="cs"/>
          <w:rtl/>
          <w:lang w:bidi="ar-LB"/>
        </w:rPr>
        <w:t>معلومات أساسية</w:t>
      </w:r>
    </w:p>
    <w:p w:rsidR="00737220" w:rsidRDefault="00BB4808" w:rsidP="004C5318">
      <w:pPr>
        <w:pStyle w:val="BodyText"/>
        <w:numPr>
          <w:ilvl w:val="0"/>
          <w:numId w:val="47"/>
        </w:numPr>
      </w:pPr>
      <w:r>
        <w:rPr>
          <w:rFonts w:hint="cs"/>
          <w:rtl/>
        </w:rPr>
        <w:t>طلبت اللجنة المعنية بمعايير الويبو (لجنة المعايير)، خلال دورتها الخامسة المنعقدة في عام 201</w:t>
      </w:r>
      <w:r w:rsidR="004C5318">
        <w:rPr>
          <w:rFonts w:hint="cs"/>
          <w:rtl/>
        </w:rPr>
        <w:t>7</w:t>
      </w:r>
      <w:r>
        <w:rPr>
          <w:rFonts w:hint="cs"/>
          <w:rtl/>
        </w:rPr>
        <w:t xml:space="preserve">، من فرقة العمل المعنية بالوضع القانوني أن تتشاور مع فرقة عمل </w:t>
      </w:r>
      <w:r>
        <w:t>XML4IP</w:t>
      </w:r>
      <w:r>
        <w:rPr>
          <w:rFonts w:hint="cs"/>
          <w:rtl/>
          <w:lang w:bidi="ar-LB"/>
        </w:rPr>
        <w:t xml:space="preserve"> ل</w:t>
      </w:r>
      <w:r w:rsidR="004627E2">
        <w:rPr>
          <w:rFonts w:hint="cs"/>
          <w:rtl/>
          <w:lang w:bidi="ar-LB"/>
        </w:rPr>
        <w:t>تطوير مكونات مخطط بلغة الترميز الموسعة (</w:t>
      </w:r>
      <w:r w:rsidR="004627E2">
        <w:rPr>
          <w:lang w:bidi="ar-LB"/>
        </w:rPr>
        <w:t>XML</w:t>
      </w:r>
      <w:r w:rsidR="004627E2">
        <w:rPr>
          <w:rFonts w:hint="cs"/>
          <w:rtl/>
          <w:lang w:bidi="ar-LB"/>
        </w:rPr>
        <w:t xml:space="preserve">) استناداً إلى معيار الويبو </w:t>
      </w:r>
      <w:r w:rsidR="004627E2">
        <w:rPr>
          <w:lang w:bidi="ar-LB"/>
        </w:rPr>
        <w:t>ST.27</w:t>
      </w:r>
      <w:r w:rsidR="004627E2">
        <w:rPr>
          <w:rFonts w:hint="cs"/>
          <w:rtl/>
          <w:lang w:bidi="ar-LB"/>
        </w:rPr>
        <w:t xml:space="preserve"> لتبادل </w:t>
      </w:r>
      <w:r w:rsidR="00E42D4C">
        <w:rPr>
          <w:rFonts w:hint="cs"/>
          <w:rtl/>
          <w:lang w:bidi="ar-LB"/>
        </w:rPr>
        <w:t>ال</w:t>
      </w:r>
      <w:r w:rsidR="004627E2">
        <w:rPr>
          <w:rFonts w:hint="cs"/>
          <w:rtl/>
          <w:lang w:bidi="ar-LB"/>
        </w:rPr>
        <w:t>بيانات</w:t>
      </w:r>
      <w:r w:rsidR="00E42D4C">
        <w:rPr>
          <w:rFonts w:hint="cs"/>
          <w:rtl/>
          <w:lang w:bidi="ar-LB"/>
        </w:rPr>
        <w:t xml:space="preserve"> الخاصة</w:t>
      </w:r>
      <w:r w:rsidR="004627E2">
        <w:rPr>
          <w:rFonts w:hint="cs"/>
          <w:rtl/>
          <w:lang w:bidi="ar-LB"/>
        </w:rPr>
        <w:t xml:space="preserve"> </w:t>
      </w:r>
      <w:r w:rsidR="00E42D4C">
        <w:rPr>
          <w:rFonts w:hint="cs"/>
          <w:rtl/>
          <w:lang w:bidi="ar-LB"/>
        </w:rPr>
        <w:t>ب</w:t>
      </w:r>
      <w:r w:rsidR="004627E2">
        <w:rPr>
          <w:rFonts w:hint="cs"/>
          <w:rtl/>
          <w:lang w:bidi="ar-LB"/>
        </w:rPr>
        <w:t xml:space="preserve">الوضع القانوني للبراءات. وعُيّن المكتب الدولي مشرفاً على فرقة العمل. (انظر الفقرتين 50 و53 من الوثيقة </w:t>
      </w:r>
      <w:r w:rsidR="004627E2">
        <w:rPr>
          <w:lang w:bidi="ar-LB"/>
        </w:rPr>
        <w:t>CWS/5/22</w:t>
      </w:r>
      <w:r w:rsidR="004627E2">
        <w:rPr>
          <w:rFonts w:hint="cs"/>
          <w:rtl/>
          <w:lang w:bidi="ar-LB"/>
        </w:rPr>
        <w:t>).</w:t>
      </w:r>
    </w:p>
    <w:p w:rsidR="004627E2" w:rsidRDefault="004627E2" w:rsidP="004627E2">
      <w:pPr>
        <w:pStyle w:val="BodyText"/>
        <w:numPr>
          <w:ilvl w:val="0"/>
          <w:numId w:val="47"/>
        </w:numPr>
      </w:pPr>
      <w:r>
        <w:rPr>
          <w:rFonts w:hint="cs"/>
          <w:rtl/>
          <w:lang w:bidi="ar-LB"/>
        </w:rPr>
        <w:lastRenderedPageBreak/>
        <w:t xml:space="preserve">ويندرج هذا العمل في إطار المهمة رقم 47 التي تنص على: "إعداد اقتراحين لمراجعة معياري الويبو </w:t>
      </w:r>
      <w:r>
        <w:rPr>
          <w:lang w:bidi="ar-LB"/>
        </w:rPr>
        <w:t>ST.27</w:t>
      </w:r>
      <w:r>
        <w:rPr>
          <w:rFonts w:hint="cs"/>
          <w:rtl/>
          <w:lang w:bidi="ar-LB"/>
        </w:rPr>
        <w:t xml:space="preserve"> و</w:t>
      </w:r>
      <w:r>
        <w:rPr>
          <w:lang w:bidi="ar-LB"/>
        </w:rPr>
        <w:t>ST.87</w:t>
      </w:r>
      <w:r>
        <w:rPr>
          <w:rFonts w:hint="cs"/>
          <w:rtl/>
          <w:lang w:bidi="ar-LB"/>
        </w:rPr>
        <w:t xml:space="preserve"> حسب الاقتضاء؛ واقتراح وثيقة إرشادية بشأن بيانات الوضع القانوني للتصاميم الصناعية؛ وإعداد توصية بشأن تبادل مكاتب الملكية الصناعية لبيانات الوضع القانوني للعلامات التجارية؛ ودعم فرقة عمل </w:t>
      </w:r>
      <w:r>
        <w:rPr>
          <w:lang w:bidi="ar-LB"/>
        </w:rPr>
        <w:t>XML4IP</w:t>
      </w:r>
      <w:r>
        <w:rPr>
          <w:rFonts w:hint="cs"/>
          <w:rtl/>
          <w:lang w:bidi="ar-LB"/>
        </w:rPr>
        <w:t xml:space="preserve"> لتطوير مكونات </w:t>
      </w:r>
      <w:r>
        <w:rPr>
          <w:lang w:bidi="ar-LB"/>
        </w:rPr>
        <w:t>XML</w:t>
      </w:r>
      <w:r>
        <w:rPr>
          <w:rFonts w:hint="cs"/>
          <w:rtl/>
          <w:lang w:bidi="ar-LB"/>
        </w:rPr>
        <w:t xml:space="preserve"> فيما يتعلق ببيانات أحداث الوضع القانوني". (انظر الفقرة 114 من الوثيقة </w:t>
      </w:r>
      <w:r>
        <w:rPr>
          <w:lang w:bidi="ar-LB"/>
        </w:rPr>
        <w:t>CWS/7/29</w:t>
      </w:r>
      <w:r>
        <w:rPr>
          <w:rFonts w:hint="cs"/>
          <w:rtl/>
          <w:lang w:bidi="ar-LB"/>
        </w:rPr>
        <w:t xml:space="preserve">). </w:t>
      </w:r>
    </w:p>
    <w:p w:rsidR="008F10D7" w:rsidRDefault="008F10D7" w:rsidP="008F10D7">
      <w:pPr>
        <w:pStyle w:val="BodyText"/>
        <w:ind w:left="720"/>
        <w:rPr>
          <w:rtl/>
          <w:lang w:bidi="ar-LB"/>
        </w:rPr>
      </w:pPr>
      <w:r>
        <w:rPr>
          <w:rFonts w:hint="cs"/>
          <w:rtl/>
          <w:lang w:bidi="ar-LB"/>
        </w:rPr>
        <w:t xml:space="preserve">المراجعة المقترحة لمعيار الويبو </w:t>
      </w:r>
      <w:r>
        <w:rPr>
          <w:lang w:bidi="ar-LB"/>
        </w:rPr>
        <w:t>ST.27</w:t>
      </w:r>
    </w:p>
    <w:p w:rsidR="008F10D7" w:rsidRDefault="008F10D7" w:rsidP="004C5318">
      <w:pPr>
        <w:pStyle w:val="BodyText"/>
        <w:numPr>
          <w:ilvl w:val="0"/>
          <w:numId w:val="47"/>
        </w:numPr>
      </w:pPr>
      <w:r>
        <w:rPr>
          <w:rFonts w:hint="cs"/>
          <w:rtl/>
          <w:lang w:bidi="ar-LB"/>
        </w:rPr>
        <w:t xml:space="preserve">خلال العمل على تطوير مكونات مخطط بلغة </w:t>
      </w:r>
      <w:r>
        <w:rPr>
          <w:lang w:bidi="ar-LB"/>
        </w:rPr>
        <w:t>XML</w:t>
      </w:r>
      <w:r>
        <w:rPr>
          <w:rFonts w:hint="cs"/>
          <w:rtl/>
          <w:lang w:bidi="ar-LB"/>
        </w:rPr>
        <w:t xml:space="preserve"> ل</w:t>
      </w:r>
      <w:r w:rsidR="00E42D4C">
        <w:rPr>
          <w:rFonts w:hint="cs"/>
          <w:rtl/>
          <w:lang w:bidi="ar-LB"/>
        </w:rPr>
        <w:t>ل</w:t>
      </w:r>
      <w:r>
        <w:rPr>
          <w:rFonts w:hint="cs"/>
          <w:rtl/>
          <w:lang w:bidi="ar-LB"/>
        </w:rPr>
        <w:t>بيانات</w:t>
      </w:r>
      <w:r w:rsidR="00E42D4C">
        <w:rPr>
          <w:rFonts w:hint="cs"/>
          <w:rtl/>
          <w:lang w:bidi="ar-LB"/>
        </w:rPr>
        <w:t xml:space="preserve"> الخاصة</w:t>
      </w:r>
      <w:r>
        <w:rPr>
          <w:rFonts w:hint="cs"/>
          <w:rtl/>
          <w:lang w:bidi="ar-LB"/>
        </w:rPr>
        <w:t xml:space="preserve"> </w:t>
      </w:r>
      <w:r w:rsidR="00E42D4C">
        <w:rPr>
          <w:rFonts w:hint="cs"/>
          <w:rtl/>
          <w:lang w:bidi="ar-LB"/>
        </w:rPr>
        <w:t>ب</w:t>
      </w:r>
      <w:r>
        <w:rPr>
          <w:rFonts w:hint="cs"/>
          <w:rtl/>
          <w:lang w:bidi="ar-LB"/>
        </w:rPr>
        <w:t>الوضع القانوني للبراءات</w:t>
      </w:r>
      <w:r w:rsidR="00E7434A">
        <w:rPr>
          <w:rFonts w:hint="cs"/>
          <w:rtl/>
          <w:lang w:bidi="ar-LB"/>
        </w:rPr>
        <w:t xml:space="preserve">، اكتشفت </w:t>
      </w:r>
      <w:r w:rsidR="0001344A">
        <w:rPr>
          <w:rFonts w:hint="cs"/>
          <w:rtl/>
        </w:rPr>
        <w:t xml:space="preserve">فرقة عمل </w:t>
      </w:r>
      <w:r w:rsidR="0001344A">
        <w:t>XML4IP</w:t>
      </w:r>
      <w:r w:rsidR="0001344A">
        <w:rPr>
          <w:rFonts w:hint="cs"/>
          <w:rtl/>
          <w:lang w:bidi="ar-LB"/>
        </w:rPr>
        <w:t xml:space="preserve"> أن هناك حاجة لتخزين المزيد من المعلومات في حقول البيانات </w:t>
      </w:r>
      <w:r w:rsidR="004B20F1">
        <w:rPr>
          <w:rFonts w:hint="cs"/>
          <w:rtl/>
          <w:lang w:bidi="ar-LB"/>
        </w:rPr>
        <w:t>التكميلية</w:t>
      </w:r>
      <w:r w:rsidR="0001344A">
        <w:rPr>
          <w:rFonts w:hint="cs"/>
          <w:rtl/>
          <w:lang w:bidi="ar-LB"/>
        </w:rPr>
        <w:t xml:space="preserve"> لمعيار </w:t>
      </w:r>
      <w:r w:rsidR="0001344A">
        <w:rPr>
          <w:lang w:bidi="ar-LB"/>
        </w:rPr>
        <w:t>ST.27</w:t>
      </w:r>
      <w:r w:rsidR="0001344A">
        <w:rPr>
          <w:rFonts w:hint="cs"/>
          <w:rtl/>
          <w:lang w:bidi="ar-LB"/>
        </w:rPr>
        <w:t xml:space="preserve">. </w:t>
      </w:r>
      <w:r w:rsidR="006D6E1D">
        <w:rPr>
          <w:rFonts w:hint="cs"/>
          <w:rtl/>
          <w:lang w:bidi="ar-LB"/>
        </w:rPr>
        <w:t xml:space="preserve">وبعد إجراء المناقشات، </w:t>
      </w:r>
      <w:r w:rsidR="004C5318">
        <w:rPr>
          <w:rFonts w:hint="cs"/>
          <w:rtl/>
          <w:lang w:bidi="ar-LB"/>
        </w:rPr>
        <w:t>أوصت</w:t>
      </w:r>
      <w:r w:rsidR="006D6E1D">
        <w:rPr>
          <w:rFonts w:hint="cs"/>
          <w:rtl/>
          <w:lang w:bidi="ar-LB"/>
        </w:rPr>
        <w:t xml:space="preserve"> فرقة العمل المعنية بالوضع القانوني بإجراء مراجعات للمرفق الثاني للمعيار </w:t>
      </w:r>
      <w:r w:rsidR="006D6E1D">
        <w:rPr>
          <w:lang w:bidi="ar-LB"/>
        </w:rPr>
        <w:t>St.27</w:t>
      </w:r>
      <w:r w:rsidR="006D6E1D">
        <w:rPr>
          <w:rFonts w:hint="cs"/>
          <w:rtl/>
          <w:lang w:bidi="ar-LB"/>
        </w:rPr>
        <w:t xml:space="preserve"> حتى يعكس المعلومات الجديدة بشكل أفضل وحرصاً على التوافق مع مكونات </w:t>
      </w:r>
      <w:r w:rsidR="006D6E1D">
        <w:rPr>
          <w:lang w:bidi="ar-LB"/>
        </w:rPr>
        <w:t>XML</w:t>
      </w:r>
      <w:r w:rsidR="006D6E1D">
        <w:rPr>
          <w:rFonts w:hint="cs"/>
          <w:rtl/>
          <w:lang w:bidi="ar-LB"/>
        </w:rPr>
        <w:t xml:space="preserve"> في معيار </w:t>
      </w:r>
      <w:r w:rsidR="006D6E1D">
        <w:rPr>
          <w:lang w:bidi="ar-LB"/>
        </w:rPr>
        <w:t>ST.96</w:t>
      </w:r>
      <w:r w:rsidR="006D6E1D">
        <w:rPr>
          <w:rFonts w:hint="cs"/>
          <w:rtl/>
          <w:lang w:bidi="ar-LB"/>
        </w:rPr>
        <w:t xml:space="preserve"> ذات الصلة، التي أدمجت في إصدار </w:t>
      </w:r>
      <w:r w:rsidR="006D6E1D">
        <w:rPr>
          <w:lang w:bidi="ar-LB"/>
        </w:rPr>
        <w:t>4.0</w:t>
      </w:r>
      <w:r w:rsidR="006D6E1D">
        <w:rPr>
          <w:rFonts w:hint="cs"/>
          <w:rtl/>
          <w:lang w:bidi="ar-LB"/>
        </w:rPr>
        <w:t xml:space="preserve"> الجديد. ويرد وصف بالتغيير المقترح على المرفق الثاني لمعيار </w:t>
      </w:r>
      <w:r w:rsidR="006D6E1D">
        <w:rPr>
          <w:lang w:bidi="ar-LB"/>
        </w:rPr>
        <w:t>ST.27</w:t>
      </w:r>
      <w:r w:rsidR="006D6E1D">
        <w:rPr>
          <w:rFonts w:hint="cs"/>
          <w:rtl/>
          <w:lang w:bidi="ar-LB"/>
        </w:rPr>
        <w:t xml:space="preserve"> في مرفق هذه الوثيقة. </w:t>
      </w:r>
    </w:p>
    <w:p w:rsidR="0019005A" w:rsidRDefault="006D6E1D" w:rsidP="004C5318">
      <w:pPr>
        <w:pStyle w:val="BodyText"/>
        <w:numPr>
          <w:ilvl w:val="0"/>
          <w:numId w:val="47"/>
        </w:numPr>
      </w:pPr>
      <w:r>
        <w:rPr>
          <w:rFonts w:hint="cs"/>
          <w:rtl/>
          <w:lang w:bidi="ar-LB"/>
        </w:rPr>
        <w:t xml:space="preserve">واقتُرحت الأنواع التالية من البيانات </w:t>
      </w:r>
      <w:r w:rsidR="004B20F1">
        <w:rPr>
          <w:rFonts w:hint="cs"/>
          <w:rtl/>
          <w:lang w:bidi="ar-LB"/>
        </w:rPr>
        <w:t>التكميلية</w:t>
      </w:r>
      <w:r>
        <w:rPr>
          <w:rFonts w:hint="cs"/>
          <w:rtl/>
          <w:lang w:bidi="ar-LB"/>
        </w:rPr>
        <w:t xml:space="preserve"> لمراجعة المرفق الثاني للمعيار </w:t>
      </w:r>
      <w:r>
        <w:rPr>
          <w:lang w:bidi="ar-LB"/>
        </w:rPr>
        <w:t>ST.27</w:t>
      </w:r>
      <w:r>
        <w:rPr>
          <w:rFonts w:hint="cs"/>
          <w:rtl/>
          <w:lang w:bidi="ar-LB"/>
        </w:rPr>
        <w:t xml:space="preserve">. </w:t>
      </w:r>
      <w:r w:rsidR="0019005A">
        <w:rPr>
          <w:rFonts w:hint="cs"/>
          <w:rtl/>
          <w:lang w:bidi="ar-LB"/>
        </w:rPr>
        <w:t xml:space="preserve">وستكون جميع البيانات </w:t>
      </w:r>
      <w:r w:rsidR="004B20F1">
        <w:rPr>
          <w:rFonts w:hint="cs"/>
          <w:rtl/>
          <w:lang w:bidi="ar-LB"/>
        </w:rPr>
        <w:t>التكميلية</w:t>
      </w:r>
      <w:r w:rsidR="0019005A">
        <w:rPr>
          <w:rFonts w:hint="cs"/>
          <w:rtl/>
          <w:lang w:bidi="ar-LB"/>
        </w:rPr>
        <w:t xml:space="preserve"> اختيارية، شأنها شأن حقول البيانات </w:t>
      </w:r>
      <w:r w:rsidR="004B20F1">
        <w:rPr>
          <w:rFonts w:hint="cs"/>
          <w:rtl/>
          <w:lang w:bidi="ar-LB"/>
        </w:rPr>
        <w:t>التكميلية</w:t>
      </w:r>
      <w:r w:rsidR="0019005A">
        <w:rPr>
          <w:rFonts w:hint="cs"/>
          <w:rtl/>
          <w:lang w:bidi="ar-LB"/>
        </w:rPr>
        <w:t xml:space="preserve"> الموجودة بالفعل. ويمكن لكل مكتب من مكاتب الملكية </w:t>
      </w:r>
      <w:r w:rsidR="00FD0058">
        <w:rPr>
          <w:rFonts w:hint="cs"/>
          <w:rtl/>
          <w:lang w:bidi="ar-LB"/>
        </w:rPr>
        <w:t>الفكرية</w:t>
      </w:r>
      <w:r w:rsidR="0019005A">
        <w:rPr>
          <w:rFonts w:hint="cs"/>
          <w:rtl/>
          <w:lang w:bidi="ar-LB"/>
        </w:rPr>
        <w:t xml:space="preserve"> أن يختار البيانات </w:t>
      </w:r>
      <w:r w:rsidR="004B20F1">
        <w:rPr>
          <w:rFonts w:hint="cs"/>
          <w:rtl/>
          <w:lang w:bidi="ar-LB"/>
        </w:rPr>
        <w:t>التكميلية</w:t>
      </w:r>
      <w:r w:rsidR="0019005A">
        <w:rPr>
          <w:rFonts w:hint="cs"/>
          <w:rtl/>
          <w:lang w:bidi="ar-LB"/>
        </w:rPr>
        <w:t xml:space="preserve"> التي يقدمها إذا ما أراد تقديم </w:t>
      </w:r>
      <w:r w:rsidR="004C5318">
        <w:rPr>
          <w:rFonts w:hint="cs"/>
          <w:rtl/>
          <w:lang w:bidi="ar-LB"/>
        </w:rPr>
        <w:t xml:space="preserve">أي </w:t>
      </w:r>
      <w:r w:rsidR="0019005A">
        <w:rPr>
          <w:rFonts w:hint="cs"/>
          <w:rtl/>
          <w:lang w:bidi="ar-LB"/>
        </w:rPr>
        <w:t xml:space="preserve">بيانات </w:t>
      </w:r>
      <w:r w:rsidR="004C5318">
        <w:rPr>
          <w:rFonts w:hint="cs"/>
          <w:rtl/>
          <w:lang w:bidi="ar-LB"/>
        </w:rPr>
        <w:t>تكميلية</w:t>
      </w:r>
      <w:r w:rsidR="0019005A">
        <w:rPr>
          <w:rFonts w:hint="cs"/>
          <w:rtl/>
          <w:lang w:bidi="ar-LB"/>
        </w:rPr>
        <w:t>. أما عناصر البيانات الجديدة فهي التالية:</w:t>
      </w:r>
    </w:p>
    <w:p w:rsidR="0019005A" w:rsidRDefault="0019005A" w:rsidP="0019005A">
      <w:pPr>
        <w:pStyle w:val="BodyText"/>
        <w:numPr>
          <w:ilvl w:val="0"/>
          <w:numId w:val="48"/>
        </w:numPr>
      </w:pPr>
      <w:r>
        <w:rPr>
          <w:rFonts w:hint="cs"/>
          <w:rtl/>
          <w:lang w:bidi="ar-LB"/>
        </w:rPr>
        <w:t xml:space="preserve">تاريخ حدث سابق متصل </w:t>
      </w:r>
      <w:r w:rsidR="004C5318">
        <w:rPr>
          <w:rFonts w:hint="cs"/>
          <w:rtl/>
          <w:lang w:bidi="ar-LB"/>
        </w:rPr>
        <w:t>بالح</w:t>
      </w:r>
      <w:r>
        <w:rPr>
          <w:rFonts w:hint="cs"/>
          <w:rtl/>
          <w:lang w:bidi="ar-LB"/>
        </w:rPr>
        <w:t>دث الذي يجري تسجيله؛</w:t>
      </w:r>
    </w:p>
    <w:p w:rsidR="006D6E1D" w:rsidRDefault="004E3186" w:rsidP="0019005A">
      <w:pPr>
        <w:pStyle w:val="BodyText"/>
        <w:numPr>
          <w:ilvl w:val="0"/>
          <w:numId w:val="48"/>
        </w:numPr>
      </w:pPr>
      <w:r>
        <w:rPr>
          <w:rFonts w:hint="cs"/>
          <w:rtl/>
          <w:lang w:bidi="ar-LB"/>
        </w:rPr>
        <w:t xml:space="preserve"> </w:t>
      </w:r>
      <w:r w:rsidR="0019005A">
        <w:rPr>
          <w:rFonts w:hint="cs"/>
          <w:rtl/>
          <w:lang w:bidi="ar-LB"/>
        </w:rPr>
        <w:t>اقتباس لقاعدة أو لائحة تنظيمية أو نظام أساسي أو حكم قانوني أو غير ذلك من الأسس التي يُتخذ عليها القرار؛</w:t>
      </w:r>
    </w:p>
    <w:p w:rsidR="00FD0058" w:rsidRDefault="0019005A" w:rsidP="00FD0058">
      <w:pPr>
        <w:pStyle w:val="BodyText"/>
        <w:numPr>
          <w:ilvl w:val="0"/>
          <w:numId w:val="48"/>
        </w:numPr>
      </w:pPr>
      <w:r>
        <w:rPr>
          <w:rFonts w:hint="cs"/>
          <w:rtl/>
          <w:lang w:bidi="ar-LB"/>
        </w:rPr>
        <w:t xml:space="preserve">سبب عدم سريان تطبيق الملكية </w:t>
      </w:r>
      <w:r w:rsidR="004C5318">
        <w:rPr>
          <w:rFonts w:hint="cs"/>
          <w:rtl/>
          <w:lang w:bidi="ar-LB"/>
        </w:rPr>
        <w:t>الف</w:t>
      </w:r>
      <w:r w:rsidR="00FD0058">
        <w:rPr>
          <w:rFonts w:hint="cs"/>
          <w:rtl/>
          <w:lang w:bidi="ar-LB"/>
        </w:rPr>
        <w:t>كرية</w:t>
      </w:r>
      <w:r>
        <w:rPr>
          <w:rFonts w:hint="cs"/>
          <w:rtl/>
          <w:lang w:bidi="ar-LB"/>
        </w:rPr>
        <w:t xml:space="preserve"> (مثلاً، مسحوبة، أو متروكة، أو ساقطة)</w:t>
      </w:r>
      <w:r w:rsidR="00FD0058">
        <w:rPr>
          <w:rFonts w:hint="cs"/>
          <w:rtl/>
          <w:lang w:bidi="ar-LB"/>
        </w:rPr>
        <w:t>؛</w:t>
      </w:r>
    </w:p>
    <w:p w:rsidR="00FD0058" w:rsidRDefault="00FD0058" w:rsidP="00FD0058">
      <w:pPr>
        <w:pStyle w:val="BodyText"/>
        <w:numPr>
          <w:ilvl w:val="0"/>
          <w:numId w:val="48"/>
        </w:numPr>
      </w:pPr>
      <w:r>
        <w:rPr>
          <w:rFonts w:hint="cs"/>
          <w:rtl/>
          <w:lang w:bidi="ar-LB"/>
        </w:rPr>
        <w:t xml:space="preserve">مؤشر بأن </w:t>
      </w:r>
      <w:r w:rsidR="004C5318">
        <w:rPr>
          <w:rFonts w:hint="cs"/>
          <w:rtl/>
          <w:lang w:bidi="ar-LB"/>
        </w:rPr>
        <w:t xml:space="preserve">هناك </w:t>
      </w:r>
      <w:r>
        <w:rPr>
          <w:rFonts w:hint="cs"/>
          <w:rtl/>
          <w:lang w:bidi="ar-LB"/>
        </w:rPr>
        <w:t>حقوق استخدام سابقة متصلة، أو قد تكون متصلة، بطلب حق الملكية الفكرية هذا، إذا كانت هذه البيانات متاحة في مكتب الملكية الفكرية؛</w:t>
      </w:r>
    </w:p>
    <w:p w:rsidR="00FD0058" w:rsidRDefault="00FD0058" w:rsidP="00FD0058">
      <w:pPr>
        <w:pStyle w:val="BodyText"/>
        <w:numPr>
          <w:ilvl w:val="0"/>
          <w:numId w:val="48"/>
        </w:numPr>
      </w:pPr>
      <w:r>
        <w:rPr>
          <w:rFonts w:hint="cs"/>
          <w:rtl/>
          <w:lang w:bidi="ar-LB"/>
        </w:rPr>
        <w:t>بيانات عن النشر، أو وثائق الأولوية، أو غيرها من الوثائق ذات الصلة؛</w:t>
      </w:r>
    </w:p>
    <w:p w:rsidR="00FD0058" w:rsidRDefault="00FD0058" w:rsidP="00FD0058">
      <w:pPr>
        <w:pStyle w:val="BodyText"/>
        <w:numPr>
          <w:ilvl w:val="0"/>
          <w:numId w:val="48"/>
        </w:numPr>
      </w:pPr>
      <w:r>
        <w:rPr>
          <w:rFonts w:hint="cs"/>
          <w:rtl/>
          <w:lang w:bidi="ar-LB"/>
        </w:rPr>
        <w:t xml:space="preserve">بيانات عن عملية مراجعة تمت (مثلاً، تاريخ الاعتراض، اللغة، </w:t>
      </w:r>
      <w:r w:rsidR="004C5318">
        <w:rPr>
          <w:rFonts w:hint="cs"/>
          <w:rtl/>
          <w:lang w:bidi="ar-LB"/>
        </w:rPr>
        <w:t>رقم المرجع</w:t>
      </w:r>
      <w:r>
        <w:rPr>
          <w:rFonts w:hint="cs"/>
          <w:rtl/>
          <w:lang w:bidi="ar-LB"/>
        </w:rPr>
        <w:t>)؛</w:t>
      </w:r>
    </w:p>
    <w:p w:rsidR="00FD0058" w:rsidRDefault="00FD0058" w:rsidP="00FD0058">
      <w:pPr>
        <w:pStyle w:val="BodyText"/>
        <w:numPr>
          <w:ilvl w:val="0"/>
          <w:numId w:val="48"/>
        </w:numPr>
      </w:pPr>
      <w:r>
        <w:rPr>
          <w:rFonts w:hint="cs"/>
          <w:rtl/>
          <w:lang w:bidi="ar-LB"/>
        </w:rPr>
        <w:t>بيانات متصلة بالطلب: عنوان الاختراع، بيانات الأولوية، بيانات التصنيف؛</w:t>
      </w:r>
    </w:p>
    <w:p w:rsidR="0019005A" w:rsidRDefault="00FD0058" w:rsidP="00FD0058">
      <w:pPr>
        <w:pStyle w:val="BodyText"/>
        <w:numPr>
          <w:ilvl w:val="0"/>
          <w:numId w:val="48"/>
        </w:numPr>
      </w:pPr>
      <w:r>
        <w:rPr>
          <w:rFonts w:hint="cs"/>
          <w:rtl/>
          <w:lang w:bidi="ar-LB"/>
        </w:rPr>
        <w:t>بيانات عن المخترع (مثلاً، الاسم، المكان، صاحب العمل)؛</w:t>
      </w:r>
    </w:p>
    <w:p w:rsidR="00FD0058" w:rsidRDefault="00FD0058" w:rsidP="00FD0058">
      <w:pPr>
        <w:pStyle w:val="BodyText"/>
        <w:numPr>
          <w:ilvl w:val="0"/>
          <w:numId w:val="48"/>
        </w:numPr>
      </w:pPr>
      <w:r>
        <w:rPr>
          <w:rFonts w:hint="cs"/>
          <w:rtl/>
          <w:lang w:bidi="ar-LB"/>
        </w:rPr>
        <w:t>بيانات عن عمليات نقل الملكية، مثل رقم سجل المهمة؛</w:t>
      </w:r>
    </w:p>
    <w:p w:rsidR="00FD0058" w:rsidRDefault="00FD0058" w:rsidP="00FD0058">
      <w:pPr>
        <w:pStyle w:val="BodyText"/>
        <w:numPr>
          <w:ilvl w:val="0"/>
          <w:numId w:val="48"/>
        </w:numPr>
      </w:pPr>
      <w:r>
        <w:rPr>
          <w:rFonts w:hint="cs"/>
          <w:rtl/>
          <w:lang w:bidi="ar-LB"/>
        </w:rPr>
        <w:t>بيانات الترخيص الممدّد، بما في ذلك تاريخ البداية وتاريخ النهاية؛</w:t>
      </w:r>
    </w:p>
    <w:p w:rsidR="00FD0058" w:rsidRDefault="00FD0058" w:rsidP="00FD0058">
      <w:pPr>
        <w:pStyle w:val="BodyText"/>
        <w:numPr>
          <w:ilvl w:val="0"/>
          <w:numId w:val="48"/>
        </w:numPr>
      </w:pPr>
      <w:r>
        <w:rPr>
          <w:rFonts w:hint="cs"/>
          <w:rtl/>
          <w:lang w:bidi="ar-LB"/>
        </w:rPr>
        <w:lastRenderedPageBreak/>
        <w:t>وتفاصيل بشأن دفع الرسوم، مثل</w:t>
      </w:r>
      <w:r w:rsidR="0047606E">
        <w:rPr>
          <w:rFonts w:hint="cs"/>
          <w:rtl/>
          <w:lang w:bidi="ar-LB"/>
        </w:rPr>
        <w:t xml:space="preserve"> سنة الدفع ووضع الدفع</w:t>
      </w:r>
      <w:r w:rsidR="004C5318">
        <w:rPr>
          <w:rFonts w:hint="cs"/>
          <w:rtl/>
          <w:lang w:bidi="ar-LB"/>
        </w:rPr>
        <w:t xml:space="preserve"> (مثلاً، مستكمل، جارٍ، لم يبدأ).</w:t>
      </w:r>
    </w:p>
    <w:p w:rsidR="0047606E" w:rsidRDefault="0047606E" w:rsidP="0047606E">
      <w:pPr>
        <w:pStyle w:val="BodyText"/>
        <w:ind w:left="720"/>
        <w:rPr>
          <w:rtl/>
          <w:lang w:bidi="ar-LB"/>
        </w:rPr>
      </w:pPr>
    </w:p>
    <w:p w:rsidR="0047606E" w:rsidRDefault="0047606E" w:rsidP="004B20F1">
      <w:pPr>
        <w:pStyle w:val="BodyText"/>
        <w:numPr>
          <w:ilvl w:val="0"/>
          <w:numId w:val="47"/>
        </w:numPr>
      </w:pPr>
      <w:r>
        <w:rPr>
          <w:rFonts w:hint="cs"/>
          <w:rtl/>
          <w:lang w:bidi="ar-LB"/>
        </w:rPr>
        <w:t xml:space="preserve">لا يقدّم المعيار </w:t>
      </w:r>
      <w:r>
        <w:rPr>
          <w:lang w:bidi="ar-LB"/>
        </w:rPr>
        <w:t>ST.27</w:t>
      </w:r>
      <w:r>
        <w:rPr>
          <w:rFonts w:hint="cs"/>
          <w:rtl/>
          <w:lang w:bidi="ar-LB"/>
        </w:rPr>
        <w:t xml:space="preserve"> سوى مؤشراً عاماً عن أنواع المعلومات المخزنة بوصفها بيانات </w:t>
      </w:r>
      <w:r w:rsidR="004B20F1">
        <w:rPr>
          <w:rFonts w:hint="cs"/>
          <w:rtl/>
          <w:lang w:bidi="ar-LB"/>
        </w:rPr>
        <w:t>تكميلية</w:t>
      </w:r>
      <w:r>
        <w:rPr>
          <w:rFonts w:hint="cs"/>
          <w:rtl/>
          <w:lang w:bidi="ar-LB"/>
        </w:rPr>
        <w:t xml:space="preserve">. أما التفاصيل الكاملة للمعلومات التي ستُخزّن فهي متاحة في مكونات مخطط </w:t>
      </w:r>
      <w:r>
        <w:rPr>
          <w:lang w:bidi="ar-LB"/>
        </w:rPr>
        <w:t>XML</w:t>
      </w:r>
      <w:r>
        <w:rPr>
          <w:rFonts w:hint="cs"/>
          <w:rtl/>
          <w:lang w:bidi="ar-LB"/>
        </w:rPr>
        <w:t xml:space="preserve"> لمعيار </w:t>
      </w:r>
      <w:r>
        <w:rPr>
          <w:lang w:bidi="ar-LB"/>
        </w:rPr>
        <w:t>ST.96</w:t>
      </w:r>
      <w:r>
        <w:rPr>
          <w:rFonts w:hint="cs"/>
          <w:rtl/>
          <w:lang w:bidi="ar-LB"/>
        </w:rPr>
        <w:t xml:space="preserve"> بإصدار </w:t>
      </w:r>
      <w:r>
        <w:rPr>
          <w:lang w:bidi="ar-LB"/>
        </w:rPr>
        <w:t>4.0</w:t>
      </w:r>
      <w:r>
        <w:rPr>
          <w:rFonts w:hint="cs"/>
          <w:rtl/>
          <w:lang w:bidi="ar-LB"/>
        </w:rPr>
        <w:t xml:space="preserve"> المنشورة على الموقع الإلكتروني للويبو.</w:t>
      </w:r>
    </w:p>
    <w:p w:rsidR="004B20F1" w:rsidRDefault="004B20F1" w:rsidP="004B20F1">
      <w:pPr>
        <w:pStyle w:val="BodyText"/>
        <w:numPr>
          <w:ilvl w:val="0"/>
          <w:numId w:val="47"/>
        </w:numPr>
      </w:pPr>
      <w:r>
        <w:rPr>
          <w:rFonts w:hint="cs"/>
          <w:rtl/>
          <w:lang w:bidi="ar-LB"/>
        </w:rPr>
        <w:t>وقد أدخلت تحسينات عديدة على عناصر البيانات التكميلية الموجودة:</w:t>
      </w:r>
    </w:p>
    <w:p w:rsidR="004B20F1" w:rsidRDefault="004B20F1" w:rsidP="004B20F1">
      <w:pPr>
        <w:pStyle w:val="BodyText"/>
        <w:numPr>
          <w:ilvl w:val="0"/>
          <w:numId w:val="48"/>
        </w:numPr>
      </w:pPr>
      <w:r>
        <w:rPr>
          <w:rFonts w:hint="cs"/>
          <w:rtl/>
        </w:rPr>
        <w:t>تُدرج عناصر البيانات المشتركة بين جميع الفئات في خانة منفصلة في بداية الجدول، بدلاً من أن تعاد بعد كل فئة؛</w:t>
      </w:r>
    </w:p>
    <w:p w:rsidR="004B20F1" w:rsidRDefault="004B20F1" w:rsidP="00941A86">
      <w:pPr>
        <w:pStyle w:val="BodyText"/>
        <w:numPr>
          <w:ilvl w:val="0"/>
          <w:numId w:val="48"/>
        </w:numPr>
      </w:pPr>
      <w:r>
        <w:rPr>
          <w:rFonts w:hint="cs"/>
          <w:rtl/>
        </w:rPr>
        <w:t>أصبحت المعلومات عن الأسماء و/أو معلومات الاتصال عامةً ومجمّعة. فعلى سبيل المثال، استعيض عن "اسم مودع الطلب" بـ "بيانات مودع الطلب"، واستعيض عن "اسم المرخص له" و"رمز بلد المرخص له" بـ "بيانات المرخص له"؛</w:t>
      </w:r>
    </w:p>
    <w:p w:rsidR="00941A86" w:rsidRDefault="00941A86" w:rsidP="00941A86">
      <w:pPr>
        <w:pStyle w:val="BodyText"/>
        <w:numPr>
          <w:ilvl w:val="0"/>
          <w:numId w:val="48"/>
        </w:numPr>
      </w:pPr>
      <w:r>
        <w:rPr>
          <w:rFonts w:hint="cs"/>
          <w:rtl/>
          <w:lang w:bidi="ar-LB"/>
        </w:rPr>
        <w:t>أعيدت تسمية المؤشر "منذ ذلك الحين" أو "من الآن" ليصبح "وقت بدء الأثر القانوني"؛</w:t>
      </w:r>
    </w:p>
    <w:p w:rsidR="00941A86" w:rsidRDefault="004C5318" w:rsidP="00941A86">
      <w:pPr>
        <w:pStyle w:val="BodyText"/>
        <w:numPr>
          <w:ilvl w:val="0"/>
          <w:numId w:val="48"/>
        </w:numPr>
      </w:pPr>
      <w:r>
        <w:rPr>
          <w:rFonts w:hint="cs"/>
          <w:rtl/>
          <w:lang w:bidi="ar-LB"/>
        </w:rPr>
        <w:t>دُ</w:t>
      </w:r>
      <w:r w:rsidR="00941A86">
        <w:rPr>
          <w:rFonts w:hint="cs"/>
          <w:rtl/>
          <w:lang w:bidi="ar-LB"/>
        </w:rPr>
        <w:t xml:space="preserve">مج عمودا العنوان والوصف، وأصبح الجدول الناتج عن ذلك أسهل للقراءة وبات يملأ عدداً أقل من الصفحات بنسبة 33 في المائة مقارنة بما كان عليه قبل التغييرات. </w:t>
      </w:r>
    </w:p>
    <w:p w:rsidR="0047606E" w:rsidRDefault="00941A86" w:rsidP="0047606E">
      <w:pPr>
        <w:pStyle w:val="BodyText"/>
        <w:numPr>
          <w:ilvl w:val="0"/>
          <w:numId w:val="47"/>
        </w:numPr>
      </w:pPr>
      <w:r>
        <w:rPr>
          <w:rFonts w:hint="cs"/>
          <w:rtl/>
        </w:rPr>
        <w:t xml:space="preserve">وعُدّل متن المعيار </w:t>
      </w:r>
      <w:r>
        <w:t>ST.27</w:t>
      </w:r>
      <w:r>
        <w:rPr>
          <w:rFonts w:hint="cs"/>
          <w:rtl/>
          <w:lang w:bidi="ar-LB"/>
        </w:rPr>
        <w:t xml:space="preserve"> على النحو التالي ليعكس هذه التغييرات:</w:t>
      </w:r>
    </w:p>
    <w:p w:rsidR="00941A86" w:rsidRDefault="00941A86" w:rsidP="00941A86">
      <w:pPr>
        <w:pStyle w:val="BodyText"/>
        <w:ind w:left="720"/>
        <w:rPr>
          <w:rtl/>
          <w:lang w:bidi="ar-LB"/>
        </w:rPr>
      </w:pPr>
      <w:r>
        <w:rPr>
          <w:rFonts w:hint="cs"/>
          <w:rtl/>
          <w:lang w:bidi="ar-LB"/>
        </w:rPr>
        <w:t>"49. يرد الحد الأدنى من بيانات الأحداث التكميلية المتصلة بفئة ما في المرفق الثاني. وهناك مجموعتان من البيانات: البيانات الواردة في الصف الأول من الجدول هي بيانات أحداث تكميلية مشتركة يمكن أن يقدمها مكتب ملكية فكرية لأي حدث وطني/ إقليمي/ دولي بغض النظر عن الفئة التي يندرج فيها؛ أما البيانات الواردة في الصف الخ</w:t>
      </w:r>
      <w:r w:rsidR="0001313D">
        <w:rPr>
          <w:rFonts w:hint="cs"/>
          <w:rtl/>
          <w:lang w:bidi="ar-LB"/>
        </w:rPr>
        <w:t>اص بفئة ما فهي</w:t>
      </w:r>
      <w:r>
        <w:rPr>
          <w:rFonts w:hint="cs"/>
          <w:rtl/>
          <w:lang w:bidi="ar-LB"/>
        </w:rPr>
        <w:t xml:space="preserve"> مخصص لهذه الفئة". </w:t>
      </w:r>
    </w:p>
    <w:p w:rsidR="00941A86" w:rsidRDefault="00941A86" w:rsidP="00941A86">
      <w:pPr>
        <w:pStyle w:val="BodyText"/>
        <w:ind w:left="720"/>
        <w:rPr>
          <w:rtl/>
          <w:lang w:bidi="ar-LB"/>
        </w:rPr>
      </w:pPr>
      <w:r>
        <w:rPr>
          <w:rFonts w:hint="cs"/>
          <w:rtl/>
          <w:lang w:bidi="ar-LB"/>
        </w:rPr>
        <w:t>خطة العمل</w:t>
      </w:r>
    </w:p>
    <w:p w:rsidR="00941A86" w:rsidRDefault="00941A86" w:rsidP="00941A86">
      <w:pPr>
        <w:pStyle w:val="BodyText"/>
        <w:numPr>
          <w:ilvl w:val="0"/>
          <w:numId w:val="47"/>
        </w:numPr>
      </w:pPr>
      <w:r>
        <w:rPr>
          <w:rFonts w:hint="cs"/>
          <w:rtl/>
          <w:lang w:bidi="ar-LB"/>
        </w:rPr>
        <w:t xml:space="preserve">إذا وافقت لجنة المعايير على التعديل المقترح في المرفق الثاني لمعيار الويبو </w:t>
      </w:r>
      <w:r>
        <w:rPr>
          <w:lang w:bidi="ar-LB"/>
        </w:rPr>
        <w:t>ST.27</w:t>
      </w:r>
      <w:r>
        <w:rPr>
          <w:rFonts w:hint="cs"/>
          <w:rtl/>
          <w:lang w:bidi="ar-LB"/>
        </w:rPr>
        <w:t xml:space="preserve">، تقترح فرقة العمل مراجعة المرفق الثاني للمعيار </w:t>
      </w:r>
      <w:r>
        <w:rPr>
          <w:lang w:bidi="ar-LB"/>
        </w:rPr>
        <w:t>ST.87</w:t>
      </w:r>
      <w:r>
        <w:rPr>
          <w:rFonts w:hint="cs"/>
          <w:rtl/>
          <w:lang w:bidi="ar-LB"/>
        </w:rPr>
        <w:t xml:space="preserve"> والمرفق الثاني للمعيار الجديد بشأن الوضع القانوني للعلامات التجارية (انظر الوثيقة </w:t>
      </w:r>
      <w:r>
        <w:rPr>
          <w:lang w:bidi="ar-LB"/>
        </w:rPr>
        <w:t>CWS/8/8</w:t>
      </w:r>
      <w:r>
        <w:rPr>
          <w:rFonts w:hint="cs"/>
          <w:rtl/>
          <w:lang w:bidi="ar-LB"/>
        </w:rPr>
        <w:t xml:space="preserve">) بالتعاون مع فرقة عمل </w:t>
      </w:r>
      <w:r>
        <w:rPr>
          <w:lang w:bidi="ar-LB"/>
        </w:rPr>
        <w:t>XML4IP</w:t>
      </w:r>
      <w:r>
        <w:rPr>
          <w:rFonts w:hint="cs"/>
          <w:rtl/>
          <w:lang w:bidi="ar-LB"/>
        </w:rPr>
        <w:t xml:space="preserve"> لمواءمة ال</w:t>
      </w:r>
      <w:r w:rsidR="00816899">
        <w:rPr>
          <w:rFonts w:hint="cs"/>
          <w:rtl/>
          <w:lang w:bidi="ar-LB"/>
        </w:rPr>
        <w:t xml:space="preserve">نتائج. </w:t>
      </w:r>
    </w:p>
    <w:p w:rsidR="00816899" w:rsidRPr="0001313D" w:rsidRDefault="00816899" w:rsidP="00E42D4C">
      <w:pPr>
        <w:pStyle w:val="BodyText"/>
        <w:numPr>
          <w:ilvl w:val="0"/>
          <w:numId w:val="47"/>
        </w:numPr>
        <w:ind w:left="4945" w:hanging="540"/>
        <w:rPr>
          <w:b/>
          <w:bCs/>
          <w:i/>
          <w:iCs/>
        </w:rPr>
      </w:pPr>
      <w:r w:rsidRPr="0001313D">
        <w:rPr>
          <w:rFonts w:hint="cs"/>
          <w:b/>
          <w:bCs/>
          <w:i/>
          <w:iCs/>
          <w:rtl/>
          <w:lang w:bidi="ar-LB"/>
        </w:rPr>
        <w:t>إن لجنة المعايير مدعوة إلى ما يلي:</w:t>
      </w:r>
    </w:p>
    <w:p w:rsidR="00816899" w:rsidRPr="0001313D" w:rsidRDefault="00816899" w:rsidP="00E42D4C">
      <w:pPr>
        <w:pStyle w:val="BodyText"/>
        <w:numPr>
          <w:ilvl w:val="0"/>
          <w:numId w:val="49"/>
        </w:numPr>
        <w:ind w:left="4945" w:hanging="540"/>
        <w:rPr>
          <w:b/>
          <w:bCs/>
          <w:i/>
          <w:iCs/>
        </w:rPr>
      </w:pPr>
      <w:r w:rsidRPr="0001313D">
        <w:rPr>
          <w:rFonts w:hint="cs"/>
          <w:b/>
          <w:bCs/>
          <w:i/>
          <w:iCs/>
          <w:rtl/>
        </w:rPr>
        <w:t>الإحاطة علماً بمضمون هذه الوثيقة؛</w:t>
      </w:r>
    </w:p>
    <w:p w:rsidR="00816899" w:rsidRPr="0001313D" w:rsidRDefault="00816899" w:rsidP="0001313D">
      <w:pPr>
        <w:pStyle w:val="BodyText"/>
        <w:numPr>
          <w:ilvl w:val="0"/>
          <w:numId w:val="49"/>
        </w:numPr>
        <w:ind w:left="4945" w:hanging="540"/>
        <w:rPr>
          <w:b/>
          <w:bCs/>
          <w:i/>
          <w:iCs/>
        </w:rPr>
      </w:pPr>
      <w:r w:rsidRPr="0001313D">
        <w:rPr>
          <w:rFonts w:hint="cs"/>
          <w:b/>
          <w:bCs/>
          <w:i/>
          <w:iCs/>
          <w:rtl/>
        </w:rPr>
        <w:t xml:space="preserve">والنظر في المراجعة المقترحة لـ "معيار الويبو </w:t>
      </w:r>
      <w:r w:rsidRPr="0001313D">
        <w:rPr>
          <w:b/>
          <w:bCs/>
          <w:i/>
          <w:iCs/>
        </w:rPr>
        <w:t>ST.27</w:t>
      </w:r>
      <w:r w:rsidRPr="0001313D">
        <w:rPr>
          <w:rFonts w:hint="cs"/>
          <w:b/>
          <w:bCs/>
          <w:i/>
          <w:iCs/>
          <w:rtl/>
          <w:lang w:bidi="ar-LB"/>
        </w:rPr>
        <w:t xml:space="preserve">: تبادل البيانات الخاصة بالوضع القانوني للبراءات" كما هو </w:t>
      </w:r>
      <w:r w:rsidRPr="0001313D">
        <w:rPr>
          <w:rFonts w:hint="cs"/>
          <w:b/>
          <w:bCs/>
          <w:i/>
          <w:iCs/>
          <w:rtl/>
          <w:lang w:bidi="ar-LB"/>
        </w:rPr>
        <w:lastRenderedPageBreak/>
        <w:t>مفسر في الفقرات من 3 إلى 7</w:t>
      </w:r>
      <w:r w:rsidR="0001313D">
        <w:rPr>
          <w:rFonts w:hint="cs"/>
          <w:b/>
          <w:bCs/>
          <w:i/>
          <w:iCs/>
          <w:rtl/>
          <w:lang w:bidi="ar-LB"/>
        </w:rPr>
        <w:t xml:space="preserve"> ومستنسخ في</w:t>
      </w:r>
      <w:r w:rsidRPr="0001313D">
        <w:rPr>
          <w:rFonts w:hint="cs"/>
          <w:b/>
          <w:bCs/>
          <w:i/>
          <w:iCs/>
          <w:rtl/>
          <w:lang w:bidi="ar-LB"/>
        </w:rPr>
        <w:t xml:space="preserve"> مرفق هذه الوثيقة، والموافقة عليه</w:t>
      </w:r>
      <w:r w:rsidR="0001313D">
        <w:rPr>
          <w:rFonts w:hint="cs"/>
          <w:b/>
          <w:bCs/>
          <w:i/>
          <w:iCs/>
          <w:rtl/>
          <w:lang w:bidi="ar-LB"/>
        </w:rPr>
        <w:t>ا</w:t>
      </w:r>
      <w:r w:rsidRPr="0001313D">
        <w:rPr>
          <w:rFonts w:hint="cs"/>
          <w:b/>
          <w:bCs/>
          <w:i/>
          <w:iCs/>
          <w:rtl/>
          <w:lang w:bidi="ar-LB"/>
        </w:rPr>
        <w:t>؛</w:t>
      </w:r>
    </w:p>
    <w:p w:rsidR="00816899" w:rsidRPr="0001313D" w:rsidRDefault="00816899" w:rsidP="00E42D4C">
      <w:pPr>
        <w:pStyle w:val="BodyText"/>
        <w:numPr>
          <w:ilvl w:val="0"/>
          <w:numId w:val="49"/>
        </w:numPr>
        <w:ind w:left="4945" w:hanging="540"/>
        <w:rPr>
          <w:b/>
          <w:bCs/>
          <w:i/>
          <w:iCs/>
        </w:rPr>
      </w:pPr>
      <w:r w:rsidRPr="0001313D">
        <w:rPr>
          <w:rFonts w:hint="cs"/>
          <w:b/>
          <w:bCs/>
          <w:i/>
          <w:iCs/>
          <w:rtl/>
          <w:lang w:bidi="ar-LB"/>
        </w:rPr>
        <w:t>والنظر في اقتراح فرقة العمل المعنية بالوضع القانوني المبين في الفقرة 8 أعلاه، والموافقة عليه.</w:t>
      </w:r>
    </w:p>
    <w:p w:rsidR="00816899" w:rsidRPr="00C41AE0" w:rsidRDefault="00816899" w:rsidP="00816899">
      <w:pPr>
        <w:pStyle w:val="BodyText"/>
        <w:ind w:left="1080"/>
        <w:jc w:val="right"/>
        <w:rPr>
          <w:rtl/>
        </w:rPr>
      </w:pPr>
      <w:r>
        <w:rPr>
          <w:rFonts w:hint="cs"/>
          <w:rtl/>
          <w:lang w:bidi="ar-LB"/>
        </w:rPr>
        <w:t>[يلي ذلك المرفق]</w:t>
      </w:r>
    </w:p>
    <w:sectPr w:rsidR="00816899" w:rsidRPr="00C41AE0" w:rsidSect="00F97D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31" w:rsidRDefault="00F07131">
      <w:r>
        <w:separator/>
      </w:r>
    </w:p>
  </w:endnote>
  <w:endnote w:type="continuationSeparator" w:id="0">
    <w:p w:rsidR="00F07131" w:rsidRDefault="00F0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D6F" w:rsidRDefault="00F97D6F" w:rsidP="00F97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D6F" w:rsidRDefault="00F97D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D6F" w:rsidRDefault="00F97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31" w:rsidRDefault="00F0713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07131" w:rsidRDefault="00F07131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D6F" w:rsidRDefault="00F97D6F" w:rsidP="00F97D6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CWS/8/7</w:t>
    </w:r>
  </w:p>
  <w:p w:rsidR="00F97D6F" w:rsidRPr="00C50A61" w:rsidRDefault="00F97D6F" w:rsidP="00F97D6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F97D6F" w:rsidRPr="00C50A61" w:rsidRDefault="00F97D6F" w:rsidP="00F97D6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5C5" w:rsidRDefault="00516D84" w:rsidP="001245C5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</w:t>
    </w:r>
    <w:r w:rsidR="00E42D4C">
      <w:rPr>
        <w:rFonts w:ascii="Arial" w:hAnsi="Arial" w:cs="Arial"/>
        <w:sz w:val="22"/>
        <w:szCs w:val="22"/>
      </w:rPr>
      <w:t>WS/8/7</w:t>
    </w:r>
  </w:p>
  <w:p w:rsidR="004C495B" w:rsidRPr="00C50A61" w:rsidRDefault="004C495B" w:rsidP="001245C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F97D6F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D6F" w:rsidRDefault="00F97D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193B48"/>
    <w:multiLevelType w:val="hybridMultilevel"/>
    <w:tmpl w:val="40F68A18"/>
    <w:lvl w:ilvl="0" w:tplc="CAE41098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394C6E"/>
    <w:multiLevelType w:val="hybridMultilevel"/>
    <w:tmpl w:val="7E920444"/>
    <w:lvl w:ilvl="0" w:tplc="F99C970E">
      <w:start w:val="3"/>
      <w:numFmt w:val="bullet"/>
      <w:lvlText w:val="-"/>
      <w:lvlJc w:val="left"/>
      <w:pPr>
        <w:ind w:left="108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5D185D"/>
    <w:multiLevelType w:val="hybridMultilevel"/>
    <w:tmpl w:val="9A6A6644"/>
    <w:lvl w:ilvl="0" w:tplc="CAE41098">
      <w:start w:val="1"/>
      <w:numFmt w:val="arabicAbjad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5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9" w15:restartNumberingAfterBreak="0">
    <w:nsid w:val="45923D07"/>
    <w:multiLevelType w:val="hybridMultilevel"/>
    <w:tmpl w:val="7EF27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1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3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4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5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7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8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9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1" w15:restartNumberingAfterBreak="0">
    <w:nsid w:val="77A13C4D"/>
    <w:multiLevelType w:val="hybridMultilevel"/>
    <w:tmpl w:val="F014B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7"/>
  </w:num>
  <w:num w:numId="3">
    <w:abstractNumId w:val="14"/>
  </w:num>
  <w:num w:numId="4">
    <w:abstractNumId w:val="40"/>
  </w:num>
  <w:num w:numId="5">
    <w:abstractNumId w:val="8"/>
  </w:num>
  <w:num w:numId="6">
    <w:abstractNumId w:val="42"/>
  </w:num>
  <w:num w:numId="7">
    <w:abstractNumId w:val="23"/>
  </w:num>
  <w:num w:numId="8">
    <w:abstractNumId w:val="39"/>
  </w:num>
  <w:num w:numId="9">
    <w:abstractNumId w:val="35"/>
  </w:num>
  <w:num w:numId="10">
    <w:abstractNumId w:val="43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6"/>
  </w:num>
  <w:num w:numId="22">
    <w:abstractNumId w:val="26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3"/>
  </w:num>
  <w:num w:numId="31">
    <w:abstractNumId w:val="24"/>
  </w:num>
  <w:num w:numId="32">
    <w:abstractNumId w:val="30"/>
  </w:num>
  <w:num w:numId="33">
    <w:abstractNumId w:val="38"/>
  </w:num>
  <w:num w:numId="34">
    <w:abstractNumId w:val="13"/>
  </w:num>
  <w:num w:numId="35">
    <w:abstractNumId w:val="37"/>
  </w:num>
  <w:num w:numId="36">
    <w:abstractNumId w:val="28"/>
  </w:num>
  <w:num w:numId="37">
    <w:abstractNumId w:val="36"/>
  </w:num>
  <w:num w:numId="38">
    <w:abstractNumId w:val="16"/>
  </w:num>
  <w:num w:numId="39">
    <w:abstractNumId w:val="32"/>
  </w:num>
  <w:num w:numId="40">
    <w:abstractNumId w:val="31"/>
  </w:num>
  <w:num w:numId="41">
    <w:abstractNumId w:val="18"/>
  </w:num>
  <w:num w:numId="42">
    <w:abstractNumId w:val="10"/>
  </w:num>
  <w:num w:numId="43">
    <w:abstractNumId w:val="25"/>
  </w:num>
  <w:num w:numId="44">
    <w:abstractNumId w:val="34"/>
  </w:num>
  <w:num w:numId="45">
    <w:abstractNumId w:val="41"/>
  </w:num>
  <w:num w:numId="46">
    <w:abstractNumId w:val="20"/>
  </w:num>
  <w:num w:numId="47">
    <w:abstractNumId w:val="29"/>
  </w:num>
  <w:num w:numId="48">
    <w:abstractNumId w:val="21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E3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13D"/>
    <w:rsid w:val="00013347"/>
    <w:rsid w:val="0001344A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77248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357F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45C5"/>
    <w:rsid w:val="001252B1"/>
    <w:rsid w:val="00126897"/>
    <w:rsid w:val="0012696D"/>
    <w:rsid w:val="001306B4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29C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05A"/>
    <w:rsid w:val="00190B6D"/>
    <w:rsid w:val="00191E75"/>
    <w:rsid w:val="00192022"/>
    <w:rsid w:val="0019231C"/>
    <w:rsid w:val="0019301D"/>
    <w:rsid w:val="0019454F"/>
    <w:rsid w:val="00194719"/>
    <w:rsid w:val="00194774"/>
    <w:rsid w:val="00195CE0"/>
    <w:rsid w:val="00197292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BF8"/>
    <w:rsid w:val="001D2DC4"/>
    <w:rsid w:val="001D346A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119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34A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614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AFF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37E76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623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6C0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47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18B9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7E2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06E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4F8F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0F1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5318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186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6D84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AE3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0C8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C4B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E1E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1D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220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3AA3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40DF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99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9A2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4917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10D7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6D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1A86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1BD8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0CF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545B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2D98"/>
    <w:rsid w:val="00A433B6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085E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4808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CB2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6154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939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179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692E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0A61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2D4C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34A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4A86"/>
    <w:rsid w:val="00E96226"/>
    <w:rsid w:val="00E96DDE"/>
    <w:rsid w:val="00EA04AE"/>
    <w:rsid w:val="00EA062F"/>
    <w:rsid w:val="00EA1266"/>
    <w:rsid w:val="00EA17A9"/>
    <w:rsid w:val="00EA2663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4C67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7131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8CB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986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97D6F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12C7"/>
    <w:rsid w:val="00FC3387"/>
    <w:rsid w:val="00FC382F"/>
    <w:rsid w:val="00FC4236"/>
    <w:rsid w:val="00FC615D"/>
    <w:rsid w:val="00FD0058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7419649-DBBA-4063-9460-7B399809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73C4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\Desktop\arabic%20monda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657C-ED48-4D4B-893B-8D50FD3C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arabic monday</Template>
  <TotalTime>0</TotalTime>
  <Pages>4</Pages>
  <Words>769</Words>
  <Characters>3892</Characters>
  <Application>Microsoft Office Word</Application>
  <DocSecurity>0</DocSecurity>
  <Lines>76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SCCR/40/ (Arabic)</vt:lpstr>
      <vt:lpstr>SCCR/40/ (Arabic)</vt:lpstr>
    </vt:vector>
  </TitlesOfParts>
  <Company>World Intellectual Property Organization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CWS/8/7</dc:title>
  <dc:creator>WIPO</dc:creator>
  <cp:keywords>FOR OFFICIAL USE ONLY</cp:keywords>
  <cp:lastModifiedBy>CHAVAS Louison</cp:lastModifiedBy>
  <cp:revision>2</cp:revision>
  <cp:lastPrinted>2020-10-29T08:45:00Z</cp:lastPrinted>
  <dcterms:created xsi:type="dcterms:W3CDTF">2020-11-20T10:33:00Z</dcterms:created>
  <dcterms:modified xsi:type="dcterms:W3CDTF">2020-11-20T10:33:00Z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92cb7b57-bcf6-476d-a1bf-06c0278a8b81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