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E722E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E722E9">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A4008D">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D3542B">
        <w:rPr>
          <w:rFonts w:hint="cs"/>
          <w:b/>
          <w:bCs/>
          <w:sz w:val="30"/>
          <w:szCs w:val="30"/>
          <w:rtl/>
        </w:rPr>
        <w:t>بالإنكليزي</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D3542B">
        <w:rPr>
          <w:rFonts w:hint="cs"/>
          <w:b/>
          <w:bCs/>
          <w:sz w:val="30"/>
          <w:szCs w:val="30"/>
          <w:rtl/>
        </w:rPr>
        <w:t>23 أكتوبر 2020</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E722E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722E9">
        <w:rPr>
          <w:rFonts w:ascii="Arial Black" w:hAnsi="Arial Black" w:cs="PT Bold Heading" w:hint="cs"/>
          <w:sz w:val="30"/>
          <w:szCs w:val="30"/>
          <w:rtl/>
        </w:rPr>
        <w:t>الثامنة</w:t>
      </w:r>
    </w:p>
    <w:p w:rsidR="002E7810" w:rsidRPr="002E7810" w:rsidRDefault="00561BC4" w:rsidP="009A4436">
      <w:pPr>
        <w:spacing w:line="600" w:lineRule="auto"/>
        <w:rPr>
          <w:b/>
          <w:bCs/>
          <w:rtl/>
        </w:rPr>
      </w:pPr>
      <w:bookmarkStart w:id="8" w:name="Place"/>
      <w:bookmarkEnd w:id="8"/>
      <w:r>
        <w:rPr>
          <w:b/>
          <w:bCs/>
          <w:rtl/>
        </w:rPr>
        <w:t xml:space="preserve">جنيف، من </w:t>
      </w:r>
      <w:r w:rsidR="009A4436">
        <w:rPr>
          <w:rFonts w:hint="cs"/>
          <w:b/>
          <w:bCs/>
          <w:rtl/>
        </w:rPr>
        <w:t>30 نوفمبر</w:t>
      </w:r>
      <w:r>
        <w:rPr>
          <w:b/>
          <w:bCs/>
          <w:rtl/>
        </w:rPr>
        <w:t xml:space="preserve"> إلى </w:t>
      </w:r>
      <w:r w:rsidR="009A4436">
        <w:rPr>
          <w:rFonts w:hint="cs"/>
          <w:b/>
          <w:bCs/>
          <w:rtl/>
        </w:rPr>
        <w:t>4</w:t>
      </w:r>
      <w:r>
        <w:rPr>
          <w:b/>
          <w:bCs/>
          <w:rtl/>
        </w:rPr>
        <w:t xml:space="preserve"> </w:t>
      </w:r>
      <w:r w:rsidR="009A4436">
        <w:rPr>
          <w:rFonts w:hint="cs"/>
          <w:b/>
          <w:bCs/>
          <w:rtl/>
        </w:rPr>
        <w:t>ديسمبر</w:t>
      </w:r>
      <w:r w:rsidR="00211039">
        <w:rPr>
          <w:rFonts w:hint="cs"/>
          <w:b/>
          <w:bCs/>
          <w:rtl/>
        </w:rPr>
        <w:t xml:space="preserve"> </w:t>
      </w:r>
      <w:r w:rsidR="00E722E9">
        <w:rPr>
          <w:rFonts w:hint="cs"/>
          <w:b/>
          <w:bCs/>
          <w:rtl/>
        </w:rPr>
        <w:t>2020</w:t>
      </w:r>
    </w:p>
    <w:p w:rsidR="002E7810" w:rsidRPr="002E7810" w:rsidRDefault="003C24A9" w:rsidP="003C24A9">
      <w:pPr>
        <w:rPr>
          <w:rFonts w:ascii="Arial Black" w:hAnsi="Arial Black" w:cs="PT Bold Heading"/>
          <w:sz w:val="26"/>
          <w:szCs w:val="26"/>
          <w:rtl/>
        </w:rPr>
      </w:pPr>
      <w:bookmarkStart w:id="9" w:name="TitleOfDoc"/>
      <w:bookmarkEnd w:id="9"/>
      <w:r w:rsidRPr="003C24A9">
        <w:rPr>
          <w:rFonts w:ascii="Arial Black" w:hAnsi="Arial Black" w:cs="PT Bold Heading"/>
          <w:sz w:val="26"/>
          <w:szCs w:val="26"/>
          <w:rtl/>
        </w:rPr>
        <w:t>اقتراح معيار جديد بشأن علامات الوسائط المتعددة</w:t>
      </w:r>
    </w:p>
    <w:p w:rsidR="003F7284" w:rsidRPr="00BB6440" w:rsidRDefault="003C24A9" w:rsidP="003C24A9">
      <w:pPr>
        <w:spacing w:before="200" w:after="960"/>
        <w:rPr>
          <w:i/>
          <w:iCs/>
          <w:rtl/>
        </w:rPr>
      </w:pPr>
      <w:bookmarkStart w:id="10" w:name="Doc"/>
      <w:bookmarkEnd w:id="10"/>
      <w:r>
        <w:rPr>
          <w:rFonts w:hint="cs"/>
          <w:i/>
          <w:iCs/>
          <w:rtl/>
        </w:rPr>
        <w:t xml:space="preserve">وثيقة </w:t>
      </w:r>
      <w:r w:rsidR="003F7284" w:rsidRPr="00BB6440">
        <w:rPr>
          <w:i/>
          <w:iCs/>
          <w:rtl/>
        </w:rPr>
        <w:t>من إعداد</w:t>
      </w:r>
      <w:bookmarkStart w:id="11" w:name="Prepared"/>
      <w:bookmarkEnd w:id="11"/>
      <w:r>
        <w:rPr>
          <w:rFonts w:hint="cs"/>
          <w:i/>
          <w:iCs/>
          <w:rtl/>
        </w:rPr>
        <w:t xml:space="preserve"> المشرف على </w:t>
      </w:r>
      <w:r w:rsidRPr="003C24A9">
        <w:rPr>
          <w:i/>
          <w:iCs/>
          <w:rtl/>
        </w:rPr>
        <w:t>فرقة العمل المعنية بتوحيد العلامات التجارية</w:t>
      </w:r>
    </w:p>
    <w:p w:rsidR="00E3612C" w:rsidRPr="00FD6D15" w:rsidRDefault="00E24892" w:rsidP="00E24892">
      <w:pPr>
        <w:pStyle w:val="Heading2"/>
        <w:rPr>
          <w:rtl/>
        </w:rPr>
      </w:pPr>
      <w:r>
        <w:rPr>
          <w:rFonts w:hint="cs"/>
          <w:rtl/>
        </w:rPr>
        <w:t xml:space="preserve">مقدمة </w:t>
      </w:r>
    </w:p>
    <w:p w:rsidR="00C41AE0" w:rsidRDefault="009649D0" w:rsidP="009B37E6">
      <w:pPr>
        <w:pStyle w:val="ONUMA"/>
      </w:pPr>
      <w:r>
        <w:rPr>
          <w:rFonts w:hint="cs"/>
          <w:rtl/>
        </w:rPr>
        <w:t xml:space="preserve">وافقت اللجنة المعنية بمعايير الويبو (لجنة المعايير)، في دورتها السابعة المعقودة في عام 2019، </w:t>
      </w:r>
      <w:r w:rsidRPr="009649D0">
        <w:rPr>
          <w:rtl/>
        </w:rPr>
        <w:t xml:space="preserve">على استئناف العمل </w:t>
      </w:r>
      <w:r w:rsidR="00F0320B">
        <w:rPr>
          <w:rFonts w:hint="cs"/>
          <w:rtl/>
        </w:rPr>
        <w:t>على</w:t>
      </w:r>
      <w:r w:rsidRPr="009649D0">
        <w:rPr>
          <w:rtl/>
        </w:rPr>
        <w:t xml:space="preserve"> المهمة رقم 49</w:t>
      </w:r>
      <w:r>
        <w:rPr>
          <w:rFonts w:hint="cs"/>
          <w:rtl/>
        </w:rPr>
        <w:t xml:space="preserve"> "</w:t>
      </w:r>
      <w:r w:rsidRPr="009649D0">
        <w:rPr>
          <w:rtl/>
        </w:rPr>
        <w:t>إعداد توصية بشأن الإدارة الإلكترونية لعلامات الحركة أو الوسائط المتعددة لتُعتمد معياراً من معايير الويبو.</w:t>
      </w:r>
      <w:r>
        <w:rPr>
          <w:rFonts w:hint="cs"/>
          <w:rtl/>
        </w:rPr>
        <w:t xml:space="preserve">" </w:t>
      </w:r>
      <w:r w:rsidRPr="009649D0">
        <w:rPr>
          <w:rtl/>
        </w:rPr>
        <w:t>وعل</w:t>
      </w:r>
      <w:r>
        <w:rPr>
          <w:rFonts w:hint="cs"/>
          <w:rtl/>
        </w:rPr>
        <w:t>ُ</w:t>
      </w:r>
      <w:r w:rsidRPr="009649D0">
        <w:rPr>
          <w:rtl/>
        </w:rPr>
        <w:t xml:space="preserve">ّق العمل على المهمة رقم 49 في الدورة الخامسة للجنة في انتظار </w:t>
      </w:r>
      <w:r>
        <w:rPr>
          <w:rFonts w:hint="cs"/>
          <w:rtl/>
        </w:rPr>
        <w:t>أن تنفذ الدول الأعضاء في الاتحاد الأوروبي</w:t>
      </w:r>
      <w:r w:rsidRPr="009649D0">
        <w:rPr>
          <w:rtl/>
        </w:rPr>
        <w:t xml:space="preserve"> التوجيه</w:t>
      </w:r>
      <w:r w:rsidR="00EB1AD7">
        <w:rPr>
          <w:rFonts w:hint="cs"/>
          <w:rtl/>
        </w:rPr>
        <w:t xml:space="preserve"> </w:t>
      </w:r>
      <w:r w:rsidR="00EB1AD7" w:rsidRPr="00EB1AD7">
        <w:rPr>
          <w:rtl/>
        </w:rPr>
        <w:t>2008/95/</w:t>
      </w:r>
      <w:r w:rsidR="00EB1AD7" w:rsidRPr="00EB1AD7">
        <w:t>EC</w:t>
      </w:r>
      <w:r w:rsidR="00EB1AD7">
        <w:rPr>
          <w:rFonts w:hint="cs"/>
          <w:rtl/>
        </w:rPr>
        <w:t xml:space="preserve">. </w:t>
      </w:r>
      <w:r w:rsidR="00EB1AD7" w:rsidRPr="00EB1AD7">
        <w:rPr>
          <w:rtl/>
        </w:rPr>
        <w:t>وأحاطت لجنة المعايير علما</w:t>
      </w:r>
      <w:r w:rsidR="00F0320B">
        <w:rPr>
          <w:rFonts w:hint="cs"/>
          <w:rtl/>
        </w:rPr>
        <w:t>ً</w:t>
      </w:r>
      <w:r w:rsidR="00EB1AD7" w:rsidRPr="00EB1AD7">
        <w:rPr>
          <w:rtl/>
        </w:rPr>
        <w:t xml:space="preserve"> بأن العديد من بلدان الاتحاد الأوروبي</w:t>
      </w:r>
      <w:r w:rsidR="00F0320B">
        <w:rPr>
          <w:rFonts w:hint="cs"/>
          <w:rtl/>
        </w:rPr>
        <w:t xml:space="preserve"> كانت بالفعل </w:t>
      </w:r>
      <w:r w:rsidR="00EB1AD7" w:rsidRPr="00EB1AD7">
        <w:rPr>
          <w:rtl/>
        </w:rPr>
        <w:t>بصدد تنفيذ توجيه الاتحاد الأوروبي رقم 2008/95/</w:t>
      </w:r>
      <w:r w:rsidR="00EB1AD7" w:rsidRPr="00EB1AD7">
        <w:t>EC</w:t>
      </w:r>
      <w:r w:rsidR="00EB1AD7" w:rsidRPr="00EB1AD7">
        <w:rPr>
          <w:rtl/>
        </w:rPr>
        <w:t xml:space="preserve"> بشأن أنواع جديدة من العلامات التجارية، بما في ذلك علامات الوسائط المتعددة، مما يتيح فرصة مواتية لاستئناف العمل.</w:t>
      </w:r>
      <w:r w:rsidR="0027747D">
        <w:rPr>
          <w:rFonts w:hint="cs"/>
          <w:rtl/>
        </w:rPr>
        <w:t xml:space="preserve"> وعُيّن المكتب الدولي مشرفاً على فرقة العمل.</w:t>
      </w:r>
      <w:r w:rsidR="009B37E6">
        <w:rPr>
          <w:rFonts w:hint="cs"/>
          <w:rtl/>
        </w:rPr>
        <w:t xml:space="preserve"> (انظر الفقرات 163 إلى 164 من الوثيقة </w:t>
      </w:r>
      <w:hyperlink r:id="rId9" w:history="1">
        <w:r w:rsidR="009B37E6" w:rsidRPr="009B37E6">
          <w:rPr>
            <w:rStyle w:val="Hyperlink"/>
          </w:rPr>
          <w:t>CWS/7/29</w:t>
        </w:r>
      </w:hyperlink>
      <w:r w:rsidR="009B37E6">
        <w:rPr>
          <w:rFonts w:hint="cs"/>
          <w:rtl/>
        </w:rPr>
        <w:t>).</w:t>
      </w:r>
    </w:p>
    <w:p w:rsidR="00D1097C" w:rsidRDefault="00D1097C" w:rsidP="00D1097C">
      <w:pPr>
        <w:pStyle w:val="Heading2"/>
      </w:pPr>
      <w:r>
        <w:rPr>
          <w:rFonts w:hint="cs"/>
          <w:rtl/>
        </w:rPr>
        <w:t>معيار الويبو الجديد المقترح</w:t>
      </w:r>
    </w:p>
    <w:p w:rsidR="00D1097C" w:rsidRDefault="00D3542B" w:rsidP="00115514">
      <w:pPr>
        <w:pStyle w:val="ONUMA"/>
      </w:pPr>
      <w:r>
        <w:rPr>
          <w:rFonts w:hint="cs"/>
          <w:rtl/>
        </w:rPr>
        <w:t>وأعدت فرقة العمل</w:t>
      </w:r>
      <w:r w:rsidR="002B25FA">
        <w:rPr>
          <w:rFonts w:hint="cs"/>
          <w:rtl/>
        </w:rPr>
        <w:t xml:space="preserve"> مشروعاً نهائياً لمعيار الويبو الجديد المتعلق ب</w:t>
      </w:r>
      <w:r w:rsidR="0093380A" w:rsidRPr="0093380A">
        <w:rPr>
          <w:rtl/>
        </w:rPr>
        <w:t>توصية بشأن الإدارة الإلكترونية لعلامات الحركة أو الوسائط المتعددة</w:t>
      </w:r>
      <w:r w:rsidR="002B25FA">
        <w:rPr>
          <w:rFonts w:hint="cs"/>
          <w:rtl/>
        </w:rPr>
        <w:t>، كي تنظر فيه لجنة المعايير وتعتمده.</w:t>
      </w:r>
      <w:r w:rsidR="00DC7E16">
        <w:rPr>
          <w:rFonts w:hint="cs"/>
          <w:rtl/>
        </w:rPr>
        <w:t xml:space="preserve"> ويرد المقترح في مرفق هذه الوثيقة. ويقترح المكتب الدولي تعيين </w:t>
      </w:r>
      <w:r w:rsidR="00E22E3F">
        <w:rPr>
          <w:rFonts w:hint="cs"/>
          <w:rtl/>
        </w:rPr>
        <w:t>المعيار</w:t>
      </w:r>
      <w:r w:rsidR="00DC7E16">
        <w:rPr>
          <w:rFonts w:hint="cs"/>
          <w:rtl/>
        </w:rPr>
        <w:t xml:space="preserve"> </w:t>
      </w:r>
      <w:r w:rsidR="00DC7E16">
        <w:rPr>
          <w:rFonts w:hint="cs"/>
          <w:rtl/>
        </w:rPr>
        <w:lastRenderedPageBreak/>
        <w:t xml:space="preserve">الجديد بوصفه المعيار </w:t>
      </w:r>
      <w:r w:rsidR="00DC7E16" w:rsidRPr="00DC7E16">
        <w:t>ST.69</w:t>
      </w:r>
      <w:r w:rsidR="00DC7E16">
        <w:rPr>
          <w:rFonts w:hint="cs"/>
          <w:rtl/>
        </w:rPr>
        <w:t xml:space="preserve"> </w:t>
      </w:r>
      <w:r w:rsidR="008B3105">
        <w:rPr>
          <w:rFonts w:hint="cs"/>
          <w:rtl/>
        </w:rPr>
        <w:t xml:space="preserve">من أجل </w:t>
      </w:r>
      <w:r w:rsidR="00DC7E16">
        <w:rPr>
          <w:rFonts w:hint="cs"/>
          <w:rtl/>
        </w:rPr>
        <w:t xml:space="preserve">ضمان الاتساق مع المعيارين </w:t>
      </w:r>
      <w:r w:rsidR="00E22E3F">
        <w:rPr>
          <w:rFonts w:hint="cs"/>
          <w:rtl/>
        </w:rPr>
        <w:t>ذوي الصلة</w:t>
      </w:r>
      <w:r w:rsidR="008B3105">
        <w:rPr>
          <w:rFonts w:hint="cs"/>
          <w:rtl/>
        </w:rPr>
        <w:t xml:space="preserve"> </w:t>
      </w:r>
      <w:r w:rsidR="00DC7E16" w:rsidRPr="00DC7E16">
        <w:t>ST.67</w:t>
      </w:r>
      <w:r w:rsidR="00DC7E16" w:rsidRPr="00DC7E16">
        <w:rPr>
          <w:rFonts w:hint="cs"/>
          <w:rtl/>
        </w:rPr>
        <w:t xml:space="preserve"> </w:t>
      </w:r>
      <w:r w:rsidR="00DC7E16">
        <w:rPr>
          <w:rFonts w:hint="cs"/>
          <w:rtl/>
        </w:rPr>
        <w:t>ا</w:t>
      </w:r>
      <w:r w:rsidR="00DC7E16" w:rsidRPr="00DC7E16">
        <w:rPr>
          <w:rtl/>
        </w:rPr>
        <w:t>لإدارة الإلكترونية للعناصر التصويرية للعلامات التجارية</w:t>
      </w:r>
      <w:r w:rsidR="00115514">
        <w:rPr>
          <w:rFonts w:hint="cs"/>
          <w:rtl/>
        </w:rPr>
        <w:t>، و</w:t>
      </w:r>
      <w:r w:rsidR="00115514" w:rsidRPr="00115514">
        <w:t>ST.68</w:t>
      </w:r>
      <w:r w:rsidR="00115514">
        <w:rPr>
          <w:rFonts w:hint="cs"/>
          <w:rtl/>
        </w:rPr>
        <w:t xml:space="preserve"> ا</w:t>
      </w:r>
      <w:r w:rsidR="00115514" w:rsidRPr="00115514">
        <w:rPr>
          <w:rtl/>
        </w:rPr>
        <w:t>لإدارة الإلكترونية للعلامات الصوتية</w:t>
      </w:r>
      <w:r w:rsidR="00115514">
        <w:rPr>
          <w:rFonts w:hint="cs"/>
          <w:rtl/>
        </w:rPr>
        <w:t>.</w:t>
      </w:r>
    </w:p>
    <w:p w:rsidR="00115514" w:rsidRDefault="00D509E2" w:rsidP="006130B0">
      <w:pPr>
        <w:pStyle w:val="ONUMA"/>
      </w:pPr>
      <w:r>
        <w:rPr>
          <w:rFonts w:hint="cs"/>
          <w:rtl/>
        </w:rPr>
        <w:t>وينطوي</w:t>
      </w:r>
      <w:r w:rsidR="00160B0B">
        <w:rPr>
          <w:rFonts w:hint="cs"/>
          <w:rtl/>
        </w:rPr>
        <w:t xml:space="preserve"> المعيار المقترح </w:t>
      </w:r>
      <w:r>
        <w:rPr>
          <w:rFonts w:hint="cs"/>
          <w:rtl/>
        </w:rPr>
        <w:t xml:space="preserve">على </w:t>
      </w:r>
      <w:r w:rsidR="00160B0B">
        <w:rPr>
          <w:rFonts w:hint="cs"/>
          <w:rtl/>
        </w:rPr>
        <w:t xml:space="preserve">توصيات بشأن </w:t>
      </w:r>
      <w:r w:rsidR="000F75BB">
        <w:rPr>
          <w:rFonts w:hint="cs"/>
          <w:rtl/>
        </w:rPr>
        <w:t xml:space="preserve">تقديم الطلبات </w:t>
      </w:r>
      <w:r w:rsidR="00160B0B">
        <w:rPr>
          <w:rFonts w:hint="cs"/>
          <w:rtl/>
        </w:rPr>
        <w:t>من أجل حماية علامات الحركة والوسائط المتعددة</w:t>
      </w:r>
      <w:r w:rsidR="00AC7EFC">
        <w:rPr>
          <w:rFonts w:hint="cs"/>
          <w:rtl/>
        </w:rPr>
        <w:t>، المقدمة إلكترونياً أو بشكل ورقي، ومعالج</w:t>
      </w:r>
      <w:r w:rsidR="009C125F">
        <w:rPr>
          <w:rFonts w:hint="cs"/>
          <w:rtl/>
        </w:rPr>
        <w:t>تها</w:t>
      </w:r>
      <w:r w:rsidR="004B66F0">
        <w:rPr>
          <w:rFonts w:hint="cs"/>
          <w:rtl/>
        </w:rPr>
        <w:t xml:space="preserve"> بشكل </w:t>
      </w:r>
      <w:r w:rsidR="00AC7EFC">
        <w:rPr>
          <w:rFonts w:hint="cs"/>
          <w:rtl/>
        </w:rPr>
        <w:t>إلكتروني</w:t>
      </w:r>
      <w:r w:rsidR="004B66F0">
        <w:rPr>
          <w:rFonts w:hint="cs"/>
          <w:rtl/>
        </w:rPr>
        <w:t xml:space="preserve"> </w:t>
      </w:r>
      <w:r w:rsidR="00AC7EFC">
        <w:rPr>
          <w:rFonts w:hint="cs"/>
          <w:rtl/>
        </w:rPr>
        <w:t>ونشرها.</w:t>
      </w:r>
      <w:r w:rsidR="00F27D56">
        <w:rPr>
          <w:rFonts w:hint="cs"/>
          <w:rtl/>
        </w:rPr>
        <w:t xml:space="preserve"> ويهدف المعيار إلى تسهيل معالجة البيانات وتبادل المعلومات بشأن علامات الحركة أو </w:t>
      </w:r>
      <w:r w:rsidR="009C125F">
        <w:rPr>
          <w:rFonts w:hint="cs"/>
          <w:rtl/>
        </w:rPr>
        <w:t xml:space="preserve">الوسائط المتعددة </w:t>
      </w:r>
      <w:r w:rsidR="00F27D56">
        <w:rPr>
          <w:rFonts w:hint="cs"/>
          <w:rtl/>
        </w:rPr>
        <w:t xml:space="preserve">بين مكاتب الملكية الصناعية، </w:t>
      </w:r>
      <w:r w:rsidR="00F11FDF">
        <w:rPr>
          <w:rFonts w:hint="cs"/>
          <w:rtl/>
        </w:rPr>
        <w:t xml:space="preserve">وذلك </w:t>
      </w:r>
      <w:r w:rsidR="00F27D56">
        <w:rPr>
          <w:rFonts w:hint="cs"/>
          <w:rtl/>
        </w:rPr>
        <w:t>عن طريق توفير توجيه بشأن الإدارة الإلكترونية</w:t>
      </w:r>
      <w:r w:rsidR="006130B0" w:rsidRPr="006130B0">
        <w:t> </w:t>
      </w:r>
      <w:r w:rsidR="006130B0" w:rsidRPr="006130B0">
        <w:rPr>
          <w:rtl/>
        </w:rPr>
        <w:t>لتسجيل الحركة أو الوسائط المتعددة التي تشكل العلامة، إضافةً إلى الرسم التصويري والوصف النصي</w:t>
      </w:r>
      <w:r w:rsidR="006130B0" w:rsidRPr="006130B0">
        <w:t>.</w:t>
      </w:r>
    </w:p>
    <w:p w:rsidR="00E23C0B" w:rsidRPr="00B53073" w:rsidRDefault="00D47D55" w:rsidP="006130B0">
      <w:pPr>
        <w:pStyle w:val="ONUMA"/>
      </w:pPr>
      <w:r>
        <w:rPr>
          <w:rFonts w:hint="cs"/>
          <w:rtl/>
        </w:rPr>
        <w:t xml:space="preserve">وتقبل المكاتب حالياً علامات الحركة أو الوسائط المتعددة </w:t>
      </w:r>
      <w:r w:rsidR="00B27F74">
        <w:rPr>
          <w:rFonts w:hint="cs"/>
          <w:rtl/>
        </w:rPr>
        <w:t>بأنساق</w:t>
      </w:r>
      <w:r>
        <w:rPr>
          <w:rFonts w:hint="cs"/>
          <w:rtl/>
        </w:rPr>
        <w:t xml:space="preserve"> مختلفة. وتقبل بعض المكاتب سلسلة من صور ثنائية الأبعاد تظهر الحركة، التي يمكن أن تكون مصحوبة بوصف نصي للحركة.</w:t>
      </w:r>
      <w:r w:rsidR="00B6195F">
        <w:rPr>
          <w:rFonts w:hint="cs"/>
          <w:rtl/>
        </w:rPr>
        <w:t xml:space="preserve"> وتقبل مكاتب أخرى ملفات الفيديو بعدد من الأنساق المختلفة. ويتماشى المعيار المقترح مع توصيات الشبكة الأوروبية للعلامات التجارية والتصاميم</w:t>
      </w:r>
      <w:r w:rsidR="00B53073">
        <w:rPr>
          <w:rStyle w:val="FootnoteReference"/>
          <w:rtl/>
        </w:rPr>
        <w:footnoteReference w:id="1"/>
      </w:r>
      <w:r w:rsidR="00B6195F">
        <w:rPr>
          <w:rFonts w:hint="cs"/>
          <w:rtl/>
        </w:rPr>
        <w:t xml:space="preserve"> التي توصي بنسق </w:t>
      </w:r>
      <w:r w:rsidR="00B6195F">
        <w:t>MP4</w:t>
      </w:r>
      <w:r w:rsidR="00B6195F">
        <w:rPr>
          <w:rFonts w:hint="cs"/>
          <w:rtl/>
          <w:lang w:val="fr-CH"/>
        </w:rPr>
        <w:t xml:space="preserve"> بوصفه النسق الافتراضي للملف</w:t>
      </w:r>
      <w:r w:rsidR="002D2102">
        <w:rPr>
          <w:rFonts w:hint="cs"/>
          <w:rtl/>
          <w:lang w:val="fr-CH"/>
        </w:rPr>
        <w:t>ات</w:t>
      </w:r>
      <w:r w:rsidR="00B6195F">
        <w:rPr>
          <w:rFonts w:hint="cs"/>
          <w:rtl/>
          <w:lang w:val="fr-CH"/>
        </w:rPr>
        <w:t xml:space="preserve"> </w:t>
      </w:r>
      <w:r w:rsidR="002D2102">
        <w:rPr>
          <w:rFonts w:hint="cs"/>
          <w:rtl/>
          <w:lang w:val="fr-CH"/>
        </w:rPr>
        <w:t xml:space="preserve">فيما يخص </w:t>
      </w:r>
      <w:r w:rsidR="00B6195F">
        <w:rPr>
          <w:rFonts w:hint="cs"/>
          <w:rtl/>
          <w:lang w:val="fr-CH"/>
        </w:rPr>
        <w:t>تقديم ملفات الفيديو.</w:t>
      </w:r>
    </w:p>
    <w:p w:rsidR="00B53073" w:rsidRDefault="00225E66" w:rsidP="006130B0">
      <w:pPr>
        <w:pStyle w:val="ONUMA"/>
      </w:pPr>
      <w:r>
        <w:rPr>
          <w:rFonts w:hint="cs"/>
          <w:rtl/>
        </w:rPr>
        <w:t>وتقترح فرقة العمل التوقف عن أداء المهمة رقم 49 إذا اعت</w:t>
      </w:r>
      <w:r w:rsidR="00293667">
        <w:rPr>
          <w:rFonts w:hint="cs"/>
          <w:rtl/>
        </w:rPr>
        <w:t>ُ</w:t>
      </w:r>
      <w:r>
        <w:rPr>
          <w:rFonts w:hint="cs"/>
          <w:rtl/>
        </w:rPr>
        <w:t xml:space="preserve">مد </w:t>
      </w:r>
      <w:r w:rsidR="00293667">
        <w:rPr>
          <w:rFonts w:hint="cs"/>
          <w:rtl/>
        </w:rPr>
        <w:t>المعيار</w:t>
      </w:r>
      <w:r>
        <w:rPr>
          <w:rFonts w:hint="cs"/>
          <w:rtl/>
        </w:rPr>
        <w:t xml:space="preserve"> الجديد المقترح في الدورة الحالية للجنة المعايير</w:t>
      </w:r>
      <w:r w:rsidR="008C7802">
        <w:rPr>
          <w:rFonts w:hint="cs"/>
          <w:rtl/>
        </w:rPr>
        <w:t>.</w:t>
      </w:r>
      <w:bookmarkStart w:id="12" w:name="_GoBack"/>
      <w:bookmarkEnd w:id="12"/>
    </w:p>
    <w:p w:rsidR="003B655A" w:rsidRDefault="003B655A" w:rsidP="003B655A">
      <w:pPr>
        <w:pStyle w:val="Heading2"/>
      </w:pPr>
      <w:r>
        <w:rPr>
          <w:rFonts w:hint="cs"/>
          <w:rtl/>
        </w:rPr>
        <w:t>المسائل المتعلقة بأنساق الفيديو</w:t>
      </w:r>
    </w:p>
    <w:p w:rsidR="00225E66" w:rsidRDefault="006A1487" w:rsidP="003205FF">
      <w:pPr>
        <w:pStyle w:val="ONUMA"/>
      </w:pPr>
      <w:r w:rsidRPr="006A1487">
        <w:rPr>
          <w:rFonts w:hint="cs"/>
          <w:rtl/>
        </w:rPr>
        <w:t>بينما كان هذا المعيار قيد الإعداد</w:t>
      </w:r>
      <w:r>
        <w:rPr>
          <w:rFonts w:hint="cs"/>
          <w:rtl/>
        </w:rPr>
        <w:t xml:space="preserve">، أثار المكتب الدولي مجموعة من </w:t>
      </w:r>
      <w:r w:rsidR="004C59F0">
        <w:rPr>
          <w:rFonts w:hint="cs"/>
          <w:rtl/>
        </w:rPr>
        <w:t>المسائل</w:t>
      </w:r>
      <w:r>
        <w:rPr>
          <w:rFonts w:hint="cs"/>
          <w:rtl/>
        </w:rPr>
        <w:t xml:space="preserve"> المتعلقة بأنساق ملفات الوسائط المتعددة.</w:t>
      </w:r>
      <w:r w:rsidR="003205FF">
        <w:rPr>
          <w:rFonts w:hint="cs"/>
          <w:rtl/>
        </w:rPr>
        <w:t xml:space="preserve"> و</w:t>
      </w:r>
      <w:r w:rsidR="003205FF" w:rsidRPr="003205FF">
        <w:rPr>
          <w:rFonts w:hint="cs"/>
          <w:rtl/>
        </w:rPr>
        <w:t xml:space="preserve">يخضع </w:t>
      </w:r>
      <w:r w:rsidR="003205FF">
        <w:rPr>
          <w:rFonts w:hint="cs"/>
          <w:rtl/>
        </w:rPr>
        <w:t>بعض أكثر أنساق الوسائط المتعددة استخداماً لمجموعة من تراخيص البراءات المتعلقة بأجهزة أو برمجيات القراءة.</w:t>
      </w:r>
      <w:r w:rsidR="00BF6FC0">
        <w:rPr>
          <w:rFonts w:hint="cs"/>
          <w:rtl/>
        </w:rPr>
        <w:t xml:space="preserve"> وناقشت فرقة العمل هذه الشواغل </w:t>
      </w:r>
      <w:r w:rsidR="00D860C7">
        <w:rPr>
          <w:rFonts w:hint="cs"/>
          <w:rtl/>
        </w:rPr>
        <w:t>والمسائل</w:t>
      </w:r>
      <w:r w:rsidR="00BF6FC0">
        <w:rPr>
          <w:rFonts w:hint="cs"/>
          <w:rtl/>
        </w:rPr>
        <w:t xml:space="preserve"> المرتبطة بقابلية التوافق والاستخدام والنفاذ والتوفر على المدى الطويل فيما يخص </w:t>
      </w:r>
      <w:r w:rsidR="00D860C7">
        <w:rPr>
          <w:rFonts w:hint="cs"/>
          <w:rtl/>
        </w:rPr>
        <w:t xml:space="preserve">مختلف </w:t>
      </w:r>
      <w:r w:rsidR="00BF6FC0">
        <w:rPr>
          <w:rFonts w:hint="cs"/>
          <w:rtl/>
        </w:rPr>
        <w:t>الأنساق.</w:t>
      </w:r>
      <w:r w:rsidR="005964E0">
        <w:rPr>
          <w:rFonts w:hint="cs"/>
          <w:rtl/>
        </w:rPr>
        <w:t xml:space="preserve"> وعلى العموم، تتجنب معايير الويبو التكنولوجيات المحمية بالبراءات.</w:t>
      </w:r>
      <w:r w:rsidR="00E370FC">
        <w:rPr>
          <w:rFonts w:hint="cs"/>
          <w:rtl/>
        </w:rPr>
        <w:t xml:space="preserve"> </w:t>
      </w:r>
      <w:r w:rsidR="00E925F4">
        <w:rPr>
          <w:rFonts w:hint="cs"/>
          <w:rtl/>
        </w:rPr>
        <w:t xml:space="preserve">ومع ذلك، </w:t>
      </w:r>
      <w:r w:rsidR="00F24F56">
        <w:rPr>
          <w:rFonts w:hint="cs"/>
          <w:rtl/>
        </w:rPr>
        <w:t>في</w:t>
      </w:r>
      <w:r w:rsidR="00E925F4">
        <w:rPr>
          <w:rFonts w:hint="cs"/>
          <w:rtl/>
        </w:rPr>
        <w:t xml:space="preserve"> هذه ال</w:t>
      </w:r>
      <w:r w:rsidR="00E370FC">
        <w:rPr>
          <w:rFonts w:hint="cs"/>
          <w:rtl/>
        </w:rPr>
        <w:t>حالة</w:t>
      </w:r>
      <w:r w:rsidR="00E925F4">
        <w:rPr>
          <w:rFonts w:hint="cs"/>
          <w:rtl/>
        </w:rPr>
        <w:t>،</w:t>
      </w:r>
      <w:r w:rsidR="00E370FC">
        <w:rPr>
          <w:rFonts w:hint="cs"/>
          <w:rtl/>
        </w:rPr>
        <w:t xml:space="preserve"> </w:t>
      </w:r>
      <w:r w:rsidR="007930C5">
        <w:rPr>
          <w:rFonts w:hint="cs"/>
          <w:rtl/>
        </w:rPr>
        <w:t xml:space="preserve">فإن </w:t>
      </w:r>
      <w:r w:rsidR="00E370FC">
        <w:rPr>
          <w:rFonts w:hint="cs"/>
          <w:rtl/>
        </w:rPr>
        <w:t>الأنساق الأكثر استخدام</w:t>
      </w:r>
      <w:r w:rsidR="00CF7721">
        <w:rPr>
          <w:rFonts w:hint="cs"/>
          <w:rtl/>
        </w:rPr>
        <w:t>اً</w:t>
      </w:r>
      <w:r w:rsidR="00E370FC">
        <w:rPr>
          <w:rFonts w:hint="cs"/>
          <w:rtl/>
        </w:rPr>
        <w:t xml:space="preserve"> </w:t>
      </w:r>
      <w:r w:rsidR="0045128A">
        <w:rPr>
          <w:rFonts w:hint="cs"/>
          <w:rtl/>
        </w:rPr>
        <w:t xml:space="preserve">والأوسع دعماً </w:t>
      </w:r>
      <w:r w:rsidR="00E925F4">
        <w:rPr>
          <w:rFonts w:hint="cs"/>
          <w:rtl/>
        </w:rPr>
        <w:t>في شتى المنصات</w:t>
      </w:r>
      <w:r w:rsidR="00E370FC">
        <w:rPr>
          <w:rFonts w:hint="cs"/>
          <w:rtl/>
        </w:rPr>
        <w:t xml:space="preserve"> </w:t>
      </w:r>
      <w:r w:rsidR="00664809">
        <w:rPr>
          <w:rFonts w:hint="cs"/>
          <w:rtl/>
        </w:rPr>
        <w:t xml:space="preserve">تحظى </w:t>
      </w:r>
      <w:r w:rsidR="00CF7721">
        <w:rPr>
          <w:rFonts w:hint="cs"/>
          <w:rtl/>
        </w:rPr>
        <w:t xml:space="preserve">بالحماية بموجب مجموعة من البراءات، بينما لا تستخدم الصناعة أو مودعو الطلبات الأنساق البديلة على </w:t>
      </w:r>
      <w:r w:rsidR="00911716">
        <w:rPr>
          <w:rFonts w:hint="cs"/>
          <w:rtl/>
        </w:rPr>
        <w:t xml:space="preserve">نطاق </w:t>
      </w:r>
      <w:r w:rsidR="00CF7721">
        <w:rPr>
          <w:rFonts w:hint="cs"/>
          <w:rtl/>
        </w:rPr>
        <w:t>واسع.</w:t>
      </w:r>
    </w:p>
    <w:p w:rsidR="00225E66" w:rsidRDefault="003C4073" w:rsidP="001B31A2">
      <w:pPr>
        <w:pStyle w:val="ONUMA"/>
      </w:pPr>
      <w:r>
        <w:rPr>
          <w:rFonts w:hint="cs"/>
          <w:rtl/>
        </w:rPr>
        <w:t xml:space="preserve">وأجرى المكتب الدولي بحثاً بشأن استخدامات مختلف أنساق الوسائط المتعددة </w:t>
      </w:r>
      <w:r w:rsidR="00A15B5C">
        <w:rPr>
          <w:rFonts w:hint="cs"/>
          <w:rtl/>
        </w:rPr>
        <w:t>والمشاكل</w:t>
      </w:r>
      <w:r>
        <w:rPr>
          <w:rFonts w:hint="cs"/>
          <w:rtl/>
        </w:rPr>
        <w:t xml:space="preserve"> المحتملة بالنسبة إلى معيار الويبو، وأعد </w:t>
      </w:r>
      <w:r w:rsidR="000F12AA">
        <w:rPr>
          <w:rFonts w:hint="cs"/>
          <w:rtl/>
        </w:rPr>
        <w:t xml:space="preserve">كذلك </w:t>
      </w:r>
      <w:r>
        <w:rPr>
          <w:rFonts w:hint="cs"/>
          <w:rtl/>
        </w:rPr>
        <w:t>ورقة لتناقشها فرقة العمل التابعة للجنة المعايير.</w:t>
      </w:r>
      <w:r>
        <w:rPr>
          <w:rStyle w:val="FootnoteReference"/>
          <w:rtl/>
        </w:rPr>
        <w:footnoteReference w:id="2"/>
      </w:r>
      <w:r w:rsidR="001B31A2">
        <w:rPr>
          <w:rFonts w:hint="cs"/>
          <w:rtl/>
        </w:rPr>
        <w:t xml:space="preserve"> </w:t>
      </w:r>
      <w:r w:rsidR="001F13AD">
        <w:rPr>
          <w:rFonts w:hint="cs"/>
          <w:rtl/>
        </w:rPr>
        <w:t xml:space="preserve">ولا تؤثر </w:t>
      </w:r>
      <w:r w:rsidR="00B0435E">
        <w:rPr>
          <w:rFonts w:hint="cs"/>
          <w:rtl/>
        </w:rPr>
        <w:t xml:space="preserve">المسائل </w:t>
      </w:r>
      <w:r w:rsidR="001F13AD">
        <w:rPr>
          <w:rFonts w:hint="cs"/>
          <w:rtl/>
        </w:rPr>
        <w:t xml:space="preserve">المطروحة على معيار الوسائط المتعددة المقترح فحسب، بل تؤثر كذلك على </w:t>
      </w:r>
      <w:r w:rsidR="00231179">
        <w:rPr>
          <w:rFonts w:hint="cs"/>
          <w:rtl/>
        </w:rPr>
        <w:t>معيار</w:t>
      </w:r>
      <w:r w:rsidR="001F13AD">
        <w:rPr>
          <w:rFonts w:hint="cs"/>
          <w:rtl/>
        </w:rPr>
        <w:t xml:space="preserve"> </w:t>
      </w:r>
      <w:r w:rsidR="00231179">
        <w:rPr>
          <w:rFonts w:hint="cs"/>
          <w:rtl/>
        </w:rPr>
        <w:t>تصوير</w:t>
      </w:r>
      <w:r w:rsidR="001F13AD">
        <w:rPr>
          <w:rFonts w:hint="cs"/>
          <w:rtl/>
        </w:rPr>
        <w:t xml:space="preserve"> التصاميم المقترح، وربما على المعايير الأخرى في المستقبل. وعقد المكتب الدولي اجتماعاً لعدد من فرق العمل المعنية التابعة للجنة المعايير، بما في ذلك فرقة العمل المعنية بتوحيد العلامات التجارية وفرقة العمل المعنية بتصاوير التصاميم، من أجل مناقشة الوضع واقتراح توصيات.</w:t>
      </w:r>
    </w:p>
    <w:p w:rsidR="00695D6B" w:rsidRDefault="00A263E0" w:rsidP="003A2330">
      <w:pPr>
        <w:pStyle w:val="ONUMA"/>
      </w:pPr>
      <w:r>
        <w:rPr>
          <w:rFonts w:hint="cs"/>
          <w:rtl/>
        </w:rPr>
        <w:t>و</w:t>
      </w:r>
      <w:r w:rsidRPr="00A263E0">
        <w:rPr>
          <w:rtl/>
        </w:rPr>
        <w:t xml:space="preserve">بناءً على هذه المناقشات، تم اختيار مجموعتين من </w:t>
      </w:r>
      <w:r w:rsidR="00BC731A">
        <w:rPr>
          <w:rFonts w:hint="cs"/>
          <w:rtl/>
        </w:rPr>
        <w:t xml:space="preserve">أنساق </w:t>
      </w:r>
      <w:r w:rsidRPr="00A263E0">
        <w:rPr>
          <w:rtl/>
        </w:rPr>
        <w:t xml:space="preserve">ملفات الوسائط المتعددة للاستخدام الموصى به. </w:t>
      </w:r>
      <w:r w:rsidR="00BC731A">
        <w:rPr>
          <w:rFonts w:hint="cs"/>
          <w:rtl/>
        </w:rPr>
        <w:t>و</w:t>
      </w:r>
      <w:r w:rsidRPr="00A263E0">
        <w:rPr>
          <w:rtl/>
        </w:rPr>
        <w:t xml:space="preserve">تحتوي المجموعة الأولى على </w:t>
      </w:r>
      <w:r w:rsidR="00BC731A">
        <w:rPr>
          <w:rFonts w:hint="cs"/>
          <w:rtl/>
        </w:rPr>
        <w:t xml:space="preserve">أنساق </w:t>
      </w:r>
      <w:r w:rsidR="00FF35CE">
        <w:rPr>
          <w:rFonts w:hint="cs"/>
          <w:rtl/>
        </w:rPr>
        <w:t>وح</w:t>
      </w:r>
      <w:r w:rsidR="008A5088">
        <w:rPr>
          <w:rFonts w:hint="cs"/>
          <w:rtl/>
        </w:rPr>
        <w:t>ّ</w:t>
      </w:r>
      <w:r w:rsidR="00FF35CE">
        <w:rPr>
          <w:rFonts w:hint="cs"/>
          <w:rtl/>
        </w:rPr>
        <w:t xml:space="preserve">دتها </w:t>
      </w:r>
      <w:r w:rsidRPr="00A263E0">
        <w:rPr>
          <w:rtl/>
        </w:rPr>
        <w:t>المنظمة الدولية للتوحيد القياسي</w:t>
      </w:r>
      <w:r w:rsidR="00BC731A">
        <w:rPr>
          <w:rFonts w:hint="cs"/>
          <w:rtl/>
        </w:rPr>
        <w:t xml:space="preserve">، </w:t>
      </w:r>
      <w:r w:rsidR="004607E6">
        <w:rPr>
          <w:rFonts w:hint="cs"/>
          <w:rtl/>
        </w:rPr>
        <w:t xml:space="preserve">وهي الأنساق </w:t>
      </w:r>
      <w:r w:rsidR="00BC731A">
        <w:rPr>
          <w:rFonts w:hint="cs"/>
          <w:rtl/>
        </w:rPr>
        <w:t>ذات الا</w:t>
      </w:r>
      <w:r w:rsidRPr="00A263E0">
        <w:rPr>
          <w:rtl/>
        </w:rPr>
        <w:t xml:space="preserve">ستخدام </w:t>
      </w:r>
      <w:r w:rsidR="004607E6">
        <w:rPr>
          <w:rFonts w:hint="cs"/>
          <w:rtl/>
        </w:rPr>
        <w:t xml:space="preserve">الأوسع نطاقاً ودعماً </w:t>
      </w:r>
      <w:r w:rsidRPr="00A263E0">
        <w:rPr>
          <w:rtl/>
        </w:rPr>
        <w:t xml:space="preserve">في </w:t>
      </w:r>
      <w:r w:rsidR="004607E6">
        <w:rPr>
          <w:rFonts w:hint="cs"/>
          <w:rtl/>
        </w:rPr>
        <w:t xml:space="preserve">شتى </w:t>
      </w:r>
      <w:r w:rsidR="00BC731A">
        <w:rPr>
          <w:rFonts w:hint="cs"/>
          <w:rtl/>
        </w:rPr>
        <w:t xml:space="preserve">المنصات والأجهزة، </w:t>
      </w:r>
      <w:r w:rsidR="00ED396F">
        <w:rPr>
          <w:rFonts w:hint="cs"/>
          <w:rtl/>
        </w:rPr>
        <w:t>بيد أن</w:t>
      </w:r>
      <w:r w:rsidRPr="00A263E0">
        <w:rPr>
          <w:rtl/>
        </w:rPr>
        <w:t xml:space="preserve"> </w:t>
      </w:r>
      <w:r w:rsidR="00ED1A18">
        <w:rPr>
          <w:rFonts w:hint="cs"/>
          <w:rtl/>
        </w:rPr>
        <w:t xml:space="preserve">هذه الأنساق تخضع </w:t>
      </w:r>
      <w:r w:rsidRPr="00A263E0">
        <w:rPr>
          <w:rtl/>
        </w:rPr>
        <w:t>لمجموع</w:t>
      </w:r>
      <w:r w:rsidR="00BC731A">
        <w:rPr>
          <w:rFonts w:hint="cs"/>
          <w:rtl/>
        </w:rPr>
        <w:t xml:space="preserve">ة من </w:t>
      </w:r>
      <w:r w:rsidRPr="00A263E0">
        <w:rPr>
          <w:rtl/>
        </w:rPr>
        <w:t>تر</w:t>
      </w:r>
      <w:r w:rsidR="00BC731A">
        <w:rPr>
          <w:rFonts w:hint="cs"/>
          <w:rtl/>
        </w:rPr>
        <w:t>ا</w:t>
      </w:r>
      <w:r w:rsidRPr="00A263E0">
        <w:rPr>
          <w:rtl/>
        </w:rPr>
        <w:t xml:space="preserve">خيص </w:t>
      </w:r>
      <w:r w:rsidR="00BC731A">
        <w:rPr>
          <w:rFonts w:hint="cs"/>
          <w:rtl/>
        </w:rPr>
        <w:t>ال</w:t>
      </w:r>
      <w:r w:rsidRPr="00A263E0">
        <w:rPr>
          <w:rtl/>
        </w:rPr>
        <w:t xml:space="preserve">براءات التي تديرها إدارة ترخيص </w:t>
      </w:r>
      <w:r w:rsidR="00BC731A">
        <w:rPr>
          <w:rFonts w:hint="cs"/>
          <w:rtl/>
        </w:rPr>
        <w:t>الن</w:t>
      </w:r>
      <w:r w:rsidR="003A2330">
        <w:rPr>
          <w:rFonts w:hint="cs"/>
          <w:rtl/>
        </w:rPr>
        <w:t xml:space="preserve">سق </w:t>
      </w:r>
      <w:r w:rsidR="003A2330" w:rsidRPr="003A2330">
        <w:lastRenderedPageBreak/>
        <w:t>MPEG</w:t>
      </w:r>
      <w:r w:rsidR="003A2330" w:rsidRPr="003A2330">
        <w:rPr>
          <w:rFonts w:hint="cs"/>
          <w:rtl/>
        </w:rPr>
        <w:t xml:space="preserve"> </w:t>
      </w:r>
      <w:r w:rsidR="00BC731A">
        <w:rPr>
          <w:rFonts w:hint="cs"/>
          <w:rtl/>
        </w:rPr>
        <w:t>(</w:t>
      </w:r>
      <w:r w:rsidR="00BC731A" w:rsidRPr="00BC731A">
        <w:t>MPEG-LA</w:t>
      </w:r>
      <w:r w:rsidR="00BC731A">
        <w:rPr>
          <w:rFonts w:hint="cs"/>
          <w:rtl/>
        </w:rPr>
        <w:t>)</w:t>
      </w:r>
      <w:r w:rsidRPr="00A263E0">
        <w:rPr>
          <w:rtl/>
        </w:rPr>
        <w:t xml:space="preserve">. </w:t>
      </w:r>
      <w:r w:rsidR="004053ED">
        <w:rPr>
          <w:rFonts w:hint="cs"/>
          <w:rtl/>
        </w:rPr>
        <w:t>و</w:t>
      </w:r>
      <w:r w:rsidRPr="00A263E0">
        <w:rPr>
          <w:rtl/>
        </w:rPr>
        <w:t xml:space="preserve">بالنسبة </w:t>
      </w:r>
      <w:r w:rsidR="004053ED">
        <w:rPr>
          <w:rFonts w:hint="cs"/>
          <w:rtl/>
        </w:rPr>
        <w:t xml:space="preserve">إلى المنصات الشائعة </w:t>
      </w:r>
      <w:r w:rsidRPr="00A263E0">
        <w:rPr>
          <w:rtl/>
        </w:rPr>
        <w:t xml:space="preserve">مثل </w:t>
      </w:r>
      <w:r w:rsidRPr="00A263E0">
        <w:t>Microsoft Windows</w:t>
      </w:r>
      <w:r w:rsidRPr="00A263E0">
        <w:rPr>
          <w:rtl/>
        </w:rPr>
        <w:t xml:space="preserve"> و</w:t>
      </w:r>
      <w:r w:rsidRPr="00A263E0">
        <w:t>Apple Mac</w:t>
      </w:r>
      <w:r w:rsidRPr="00A263E0">
        <w:rPr>
          <w:rtl/>
        </w:rPr>
        <w:t xml:space="preserve"> وأجهزة </w:t>
      </w:r>
      <w:r w:rsidRPr="00A263E0">
        <w:t>Android</w:t>
      </w:r>
      <w:r w:rsidRPr="00A263E0">
        <w:rPr>
          <w:rtl/>
        </w:rPr>
        <w:t xml:space="preserve"> وأجهزة </w:t>
      </w:r>
      <w:r w:rsidRPr="00A263E0">
        <w:t>Apple iOS</w:t>
      </w:r>
      <w:r w:rsidRPr="00A263E0">
        <w:rPr>
          <w:rtl/>
        </w:rPr>
        <w:t>،</w:t>
      </w:r>
      <w:r w:rsidR="00ED396F">
        <w:rPr>
          <w:rFonts w:hint="cs"/>
          <w:rtl/>
        </w:rPr>
        <w:t xml:space="preserve"> يقوم</w:t>
      </w:r>
      <w:r w:rsidRPr="00A263E0">
        <w:rPr>
          <w:rtl/>
        </w:rPr>
        <w:t xml:space="preserve"> </w:t>
      </w:r>
      <w:r w:rsidR="001D3EA8">
        <w:rPr>
          <w:rFonts w:hint="cs"/>
          <w:rtl/>
        </w:rPr>
        <w:t xml:space="preserve">مقدمو الخدمة </w:t>
      </w:r>
      <w:r w:rsidR="00082F7B">
        <w:rPr>
          <w:rFonts w:hint="cs"/>
          <w:rtl/>
        </w:rPr>
        <w:t>ب</w:t>
      </w:r>
      <w:r w:rsidRPr="00A263E0">
        <w:rPr>
          <w:rtl/>
        </w:rPr>
        <w:t xml:space="preserve">دفع رسوم الترخيص. </w:t>
      </w:r>
      <w:r w:rsidR="00E20438">
        <w:rPr>
          <w:rFonts w:hint="cs"/>
          <w:rtl/>
        </w:rPr>
        <w:t>و</w:t>
      </w:r>
      <w:r w:rsidRPr="00A263E0">
        <w:rPr>
          <w:rtl/>
        </w:rPr>
        <w:t xml:space="preserve">توصي المجموعة الأولى بملفات </w:t>
      </w:r>
      <w:r w:rsidRPr="00A263E0">
        <w:t>MP4</w:t>
      </w:r>
      <w:r w:rsidRPr="00A263E0">
        <w:rPr>
          <w:rtl/>
        </w:rPr>
        <w:t xml:space="preserve"> مع </w:t>
      </w:r>
      <w:r w:rsidR="007F43B9">
        <w:rPr>
          <w:rFonts w:hint="cs"/>
          <w:rtl/>
        </w:rPr>
        <w:t>ترميزي</w:t>
      </w:r>
      <w:r w:rsidRPr="00A263E0">
        <w:rPr>
          <w:rtl/>
        </w:rPr>
        <w:t xml:space="preserve"> الفيديو </w:t>
      </w:r>
      <w:r w:rsidRPr="00A263E0">
        <w:t>MPEG-2</w:t>
      </w:r>
      <w:r w:rsidRPr="00A263E0">
        <w:rPr>
          <w:rtl/>
        </w:rPr>
        <w:t xml:space="preserve"> أو </w:t>
      </w:r>
      <w:r w:rsidR="00E20438" w:rsidRPr="00E20438">
        <w:t>H.264/AVC</w:t>
      </w:r>
      <w:r w:rsidRPr="00A263E0">
        <w:rPr>
          <w:rtl/>
        </w:rPr>
        <w:t>.</w:t>
      </w:r>
    </w:p>
    <w:p w:rsidR="001D4A38" w:rsidRDefault="00705372" w:rsidP="00E20438">
      <w:pPr>
        <w:pStyle w:val="ONUMA"/>
      </w:pPr>
      <w:r>
        <w:rPr>
          <w:rFonts w:hint="cs"/>
          <w:rtl/>
        </w:rPr>
        <w:t>و</w:t>
      </w:r>
      <w:r w:rsidRPr="00705372">
        <w:rPr>
          <w:rtl/>
        </w:rPr>
        <w:t xml:space="preserve">تم اختيار المجموعة الثانية من </w:t>
      </w:r>
      <w:r>
        <w:rPr>
          <w:rFonts w:hint="cs"/>
          <w:rtl/>
        </w:rPr>
        <w:t>الأنساق</w:t>
      </w:r>
      <w:r w:rsidRPr="00705372">
        <w:rPr>
          <w:rtl/>
        </w:rPr>
        <w:t xml:space="preserve"> </w:t>
      </w:r>
      <w:r>
        <w:rPr>
          <w:rFonts w:hint="cs"/>
          <w:rtl/>
        </w:rPr>
        <w:t xml:space="preserve">بغية </w:t>
      </w:r>
      <w:r w:rsidRPr="00705372">
        <w:rPr>
          <w:rtl/>
        </w:rPr>
        <w:t xml:space="preserve">تجنب مشاكل ترخيص البراءات. </w:t>
      </w:r>
      <w:r>
        <w:rPr>
          <w:rFonts w:hint="cs"/>
          <w:rtl/>
        </w:rPr>
        <w:t>وطور</w:t>
      </w:r>
      <w:r w:rsidR="00CA1B08">
        <w:rPr>
          <w:rFonts w:hint="cs"/>
          <w:rtl/>
        </w:rPr>
        <w:t>ت</w:t>
      </w:r>
      <w:r>
        <w:rPr>
          <w:rFonts w:hint="cs"/>
          <w:rtl/>
        </w:rPr>
        <w:t xml:space="preserve"> صناعة البرمجيات والإنترنت هذه الأنساق كمواصفات مفتوحة</w:t>
      </w:r>
      <w:r w:rsidRPr="00705372">
        <w:rPr>
          <w:rtl/>
        </w:rPr>
        <w:t xml:space="preserve"> وتستخدمها العديد من منصات الفيديو على الإنترنت، وهي مدعومة للتشغيل </w:t>
      </w:r>
      <w:r w:rsidR="007B0B37">
        <w:rPr>
          <w:rFonts w:hint="cs"/>
          <w:rtl/>
        </w:rPr>
        <w:t xml:space="preserve">في </w:t>
      </w:r>
      <w:r w:rsidRPr="00705372">
        <w:rPr>
          <w:rtl/>
        </w:rPr>
        <w:t xml:space="preserve">معظم متصفحات </w:t>
      </w:r>
      <w:r>
        <w:rPr>
          <w:rFonts w:hint="cs"/>
          <w:rtl/>
        </w:rPr>
        <w:t xml:space="preserve">الإنترنت </w:t>
      </w:r>
      <w:r w:rsidRPr="00705372">
        <w:rPr>
          <w:rtl/>
        </w:rPr>
        <w:t xml:space="preserve">الشائعة بما في ذلك </w:t>
      </w:r>
      <w:r w:rsidRPr="00705372">
        <w:t>Chrome</w:t>
      </w:r>
      <w:r w:rsidRPr="00705372">
        <w:rPr>
          <w:rtl/>
        </w:rPr>
        <w:t xml:space="preserve"> و</w:t>
      </w:r>
      <w:r w:rsidRPr="00705372">
        <w:t>Firefox</w:t>
      </w:r>
      <w:r w:rsidRPr="00705372">
        <w:rPr>
          <w:rtl/>
        </w:rPr>
        <w:t xml:space="preserve"> و</w:t>
      </w:r>
      <w:r w:rsidRPr="00705372">
        <w:t>Safari</w:t>
      </w:r>
      <w:r w:rsidRPr="00705372">
        <w:rPr>
          <w:rtl/>
        </w:rPr>
        <w:t xml:space="preserve"> و</w:t>
      </w:r>
      <w:r w:rsidRPr="00705372">
        <w:t>Edge</w:t>
      </w:r>
      <w:r w:rsidRPr="00705372">
        <w:rPr>
          <w:rtl/>
        </w:rPr>
        <w:t xml:space="preserve">. </w:t>
      </w:r>
      <w:r w:rsidR="00501568">
        <w:rPr>
          <w:rFonts w:hint="cs"/>
          <w:rtl/>
        </w:rPr>
        <w:t>و</w:t>
      </w:r>
      <w:r w:rsidRPr="00705372">
        <w:rPr>
          <w:rtl/>
        </w:rPr>
        <w:t xml:space="preserve">توصي هذه المجموعة بملفات </w:t>
      </w:r>
      <w:r w:rsidRPr="00705372">
        <w:t>WebM</w:t>
      </w:r>
      <w:r w:rsidRPr="00705372">
        <w:rPr>
          <w:rtl/>
        </w:rPr>
        <w:t xml:space="preserve"> مع ترميز</w:t>
      </w:r>
      <w:r w:rsidR="00501568">
        <w:rPr>
          <w:rFonts w:hint="cs"/>
          <w:rtl/>
        </w:rPr>
        <w:t>ي</w:t>
      </w:r>
      <w:r w:rsidRPr="00705372">
        <w:rPr>
          <w:rtl/>
        </w:rPr>
        <w:t xml:space="preserve"> الفيديو </w:t>
      </w:r>
      <w:r w:rsidRPr="00705372">
        <w:t>VP9</w:t>
      </w:r>
      <w:r w:rsidRPr="00705372">
        <w:rPr>
          <w:rtl/>
        </w:rPr>
        <w:t xml:space="preserve"> أو </w:t>
      </w:r>
      <w:r w:rsidRPr="00705372">
        <w:t>AV1</w:t>
      </w:r>
      <w:r w:rsidRPr="00705372">
        <w:rPr>
          <w:rtl/>
        </w:rPr>
        <w:t>.</w:t>
      </w:r>
    </w:p>
    <w:p w:rsidR="00691C74" w:rsidRDefault="00691C74" w:rsidP="00E20438">
      <w:pPr>
        <w:pStyle w:val="ONUMA"/>
      </w:pPr>
      <w:r>
        <w:rPr>
          <w:rFonts w:hint="cs"/>
          <w:rtl/>
        </w:rPr>
        <w:t xml:space="preserve">ويوصي </w:t>
      </w:r>
      <w:r w:rsidR="00BB21EE">
        <w:rPr>
          <w:rFonts w:hint="cs"/>
          <w:rtl/>
        </w:rPr>
        <w:t>المعيار</w:t>
      </w:r>
      <w:r>
        <w:rPr>
          <w:rFonts w:hint="cs"/>
          <w:rtl/>
        </w:rPr>
        <w:t xml:space="preserve"> </w:t>
      </w:r>
      <w:r w:rsidR="001D787F">
        <w:rPr>
          <w:rFonts w:hint="cs"/>
          <w:rtl/>
        </w:rPr>
        <w:t>ب</w:t>
      </w:r>
      <w:r>
        <w:rPr>
          <w:rFonts w:hint="cs"/>
          <w:rtl/>
        </w:rPr>
        <w:t>أن تقبل المكاتب على الأقل واحداً من هذه الأنساق من أجل الإيداع، مع مراعاة عوامل من قبيل اللوائح الوطنية والمشاورات مع أصحاب المصلحة.</w:t>
      </w:r>
      <w:r w:rsidR="00187828">
        <w:rPr>
          <w:rFonts w:hint="cs"/>
          <w:rtl/>
        </w:rPr>
        <w:t xml:space="preserve"> ولدعم كل مكتب في اختيار ال</w:t>
      </w:r>
      <w:r w:rsidR="008751B4">
        <w:rPr>
          <w:rFonts w:hint="cs"/>
          <w:rtl/>
        </w:rPr>
        <w:t>أنساق الأنسب بالنسبة إليه ولأصحاب المصلحة لديه، ينبغي أن تقبل المكاتب جميع هذه الأنساق في تبادل البيانات مع المكاتب الأخرى.</w:t>
      </w:r>
      <w:r w:rsidR="009F5C5E">
        <w:rPr>
          <w:rFonts w:hint="cs"/>
          <w:rtl/>
        </w:rPr>
        <w:t xml:space="preserve"> وتحويل ملفات الوسائط المتعددة إلى نسق مختلف </w:t>
      </w:r>
      <w:r w:rsidR="001D787F">
        <w:rPr>
          <w:rFonts w:hint="cs"/>
          <w:rtl/>
        </w:rPr>
        <w:t xml:space="preserve">هو </w:t>
      </w:r>
      <w:r w:rsidR="009F5C5E">
        <w:rPr>
          <w:rFonts w:hint="cs"/>
          <w:rtl/>
        </w:rPr>
        <w:t>عرضة للخطأ، ولا يوصى به.</w:t>
      </w:r>
    </w:p>
    <w:p w:rsidR="00471E99" w:rsidRDefault="00471E99" w:rsidP="00E20438">
      <w:pPr>
        <w:pStyle w:val="ONUMA"/>
      </w:pPr>
      <w:r>
        <w:rPr>
          <w:rFonts w:hint="cs"/>
          <w:rtl/>
        </w:rPr>
        <w:t>و</w:t>
      </w:r>
      <w:r w:rsidRPr="00471E99">
        <w:rPr>
          <w:rtl/>
        </w:rPr>
        <w:t>نظر</w:t>
      </w:r>
      <w:r>
        <w:rPr>
          <w:rFonts w:hint="cs"/>
          <w:rtl/>
        </w:rPr>
        <w:t>ت</w:t>
      </w:r>
      <w:r w:rsidRPr="00471E99">
        <w:rPr>
          <w:rtl/>
        </w:rPr>
        <w:t xml:space="preserve"> </w:t>
      </w:r>
      <w:r>
        <w:rPr>
          <w:rFonts w:hint="cs"/>
          <w:rtl/>
        </w:rPr>
        <w:t xml:space="preserve">فرقة </w:t>
      </w:r>
      <w:r w:rsidRPr="00471E99">
        <w:rPr>
          <w:rtl/>
        </w:rPr>
        <w:t xml:space="preserve">العمل في عدد من </w:t>
      </w:r>
      <w:r w:rsidR="001D787F">
        <w:rPr>
          <w:rFonts w:hint="cs"/>
          <w:rtl/>
        </w:rPr>
        <w:t>الأنساق</w:t>
      </w:r>
      <w:r w:rsidRPr="00471E99">
        <w:rPr>
          <w:rtl/>
        </w:rPr>
        <w:t xml:space="preserve"> الأخرى، بما في ذلك </w:t>
      </w:r>
      <w:r w:rsidR="005E71D9">
        <w:rPr>
          <w:rFonts w:hint="cs"/>
          <w:rtl/>
        </w:rPr>
        <w:t>النسقين الحاويين للفيديو</w:t>
      </w:r>
      <w:r w:rsidRPr="00471E99">
        <w:rPr>
          <w:rtl/>
        </w:rPr>
        <w:t xml:space="preserve"> </w:t>
      </w:r>
      <w:r w:rsidRPr="00471E99">
        <w:t>MKV</w:t>
      </w:r>
      <w:r w:rsidRPr="00471E99">
        <w:rPr>
          <w:rtl/>
        </w:rPr>
        <w:t xml:space="preserve"> و</w:t>
      </w:r>
      <w:r w:rsidRPr="00471E99">
        <w:t>Ogg</w:t>
      </w:r>
      <w:r w:rsidRPr="00471E99">
        <w:rPr>
          <w:rtl/>
        </w:rPr>
        <w:t xml:space="preserve">؛ </w:t>
      </w:r>
      <w:r w:rsidR="005E71D9">
        <w:rPr>
          <w:rFonts w:hint="cs"/>
          <w:rtl/>
        </w:rPr>
        <w:t>وترميزات</w:t>
      </w:r>
      <w:r w:rsidRPr="00471E99">
        <w:rPr>
          <w:rtl/>
        </w:rPr>
        <w:t xml:space="preserve"> </w:t>
      </w:r>
      <w:r w:rsidRPr="00471E99">
        <w:t>MPEG-1</w:t>
      </w:r>
      <w:r w:rsidRPr="00471E99">
        <w:rPr>
          <w:rtl/>
        </w:rPr>
        <w:t xml:space="preserve"> و</w:t>
      </w:r>
      <w:r w:rsidRPr="00471E99">
        <w:t>WMV</w:t>
      </w:r>
      <w:r w:rsidRPr="00471E99">
        <w:rPr>
          <w:rtl/>
        </w:rPr>
        <w:t xml:space="preserve"> و</w:t>
      </w:r>
      <w:r w:rsidRPr="00471E99">
        <w:t>H.263</w:t>
      </w:r>
      <w:r w:rsidRPr="00471E99">
        <w:rPr>
          <w:rtl/>
        </w:rPr>
        <w:t xml:space="preserve"> و</w:t>
      </w:r>
      <w:r w:rsidRPr="00471E99">
        <w:t>Theora</w:t>
      </w:r>
      <w:r w:rsidRPr="00471E99">
        <w:rPr>
          <w:rtl/>
        </w:rPr>
        <w:t xml:space="preserve"> و</w:t>
      </w:r>
      <w:r w:rsidRPr="00471E99">
        <w:t>H.265/HEVC</w:t>
      </w:r>
      <w:r w:rsidRPr="00471E99">
        <w:rPr>
          <w:rtl/>
        </w:rPr>
        <w:t xml:space="preserve"> و</w:t>
      </w:r>
      <w:r w:rsidRPr="00471E99">
        <w:t>Dirac</w:t>
      </w:r>
      <w:r w:rsidRPr="00471E99">
        <w:rPr>
          <w:rtl/>
        </w:rPr>
        <w:t xml:space="preserve">. </w:t>
      </w:r>
      <w:r w:rsidR="005F68D6">
        <w:rPr>
          <w:rFonts w:hint="cs"/>
          <w:rtl/>
        </w:rPr>
        <w:t xml:space="preserve">ولم يُوص </w:t>
      </w:r>
      <w:r w:rsidRPr="00471E99">
        <w:rPr>
          <w:rtl/>
        </w:rPr>
        <w:t xml:space="preserve">بهذه </w:t>
      </w:r>
      <w:r w:rsidR="005F68D6">
        <w:rPr>
          <w:rFonts w:hint="cs"/>
          <w:rtl/>
        </w:rPr>
        <w:t xml:space="preserve">الأنساق </w:t>
      </w:r>
      <w:r w:rsidRPr="00471E99">
        <w:rPr>
          <w:rtl/>
        </w:rPr>
        <w:t xml:space="preserve">لأسباب مختلفة، </w:t>
      </w:r>
      <w:r w:rsidR="0083544D">
        <w:rPr>
          <w:rFonts w:hint="cs"/>
          <w:rtl/>
        </w:rPr>
        <w:t xml:space="preserve">ومنها </w:t>
      </w:r>
      <w:r w:rsidR="004A13AF">
        <w:rPr>
          <w:rFonts w:hint="cs"/>
          <w:rtl/>
        </w:rPr>
        <w:t xml:space="preserve">أن </w:t>
      </w:r>
      <w:r w:rsidRPr="00471E99">
        <w:rPr>
          <w:rtl/>
        </w:rPr>
        <w:t xml:space="preserve">بعض </w:t>
      </w:r>
      <w:r w:rsidR="00B85AC1">
        <w:rPr>
          <w:rFonts w:hint="cs"/>
          <w:rtl/>
        </w:rPr>
        <w:t>الأنساق</w:t>
      </w:r>
      <w:r w:rsidRPr="00471E99">
        <w:rPr>
          <w:rtl/>
        </w:rPr>
        <w:t xml:space="preserve"> </w:t>
      </w:r>
      <w:r w:rsidR="004A13AF">
        <w:rPr>
          <w:rFonts w:hint="cs"/>
          <w:rtl/>
        </w:rPr>
        <w:t xml:space="preserve">مملوكة أو </w:t>
      </w:r>
      <w:r w:rsidRPr="00471E99">
        <w:rPr>
          <w:rtl/>
        </w:rPr>
        <w:t>قديمة أو غير مدعومة على نطاق واسع و/أو تخضع لمجموع</w:t>
      </w:r>
      <w:r w:rsidR="004A13AF">
        <w:rPr>
          <w:rFonts w:hint="cs"/>
          <w:rtl/>
        </w:rPr>
        <w:t>ة</w:t>
      </w:r>
      <w:r w:rsidR="007E12D4">
        <w:rPr>
          <w:rFonts w:hint="cs"/>
          <w:rtl/>
        </w:rPr>
        <w:t xml:space="preserve"> من ال</w:t>
      </w:r>
      <w:r w:rsidRPr="00471E99">
        <w:rPr>
          <w:rtl/>
        </w:rPr>
        <w:t xml:space="preserve">براءات </w:t>
      </w:r>
      <w:r w:rsidR="007E12D4">
        <w:rPr>
          <w:rFonts w:hint="cs"/>
          <w:rtl/>
        </w:rPr>
        <w:t>ال</w:t>
      </w:r>
      <w:r w:rsidRPr="00471E99">
        <w:rPr>
          <w:rtl/>
        </w:rPr>
        <w:t xml:space="preserve">متعددة </w:t>
      </w:r>
      <w:r w:rsidR="007E12D4">
        <w:rPr>
          <w:rFonts w:hint="cs"/>
          <w:rtl/>
        </w:rPr>
        <w:t>ل</w:t>
      </w:r>
      <w:r w:rsidRPr="00471E99">
        <w:rPr>
          <w:rtl/>
        </w:rPr>
        <w:t>هيئة منافسة</w:t>
      </w:r>
      <w:r w:rsidR="007E12D4">
        <w:rPr>
          <w:rFonts w:hint="cs"/>
          <w:rtl/>
        </w:rPr>
        <w:t>.</w:t>
      </w:r>
    </w:p>
    <w:p w:rsidR="0081517D" w:rsidRDefault="0081517D" w:rsidP="0081517D">
      <w:pPr>
        <w:pStyle w:val="Decision"/>
      </w:pPr>
      <w:r>
        <w:rPr>
          <w:rFonts w:hint="cs"/>
          <w:rtl/>
        </w:rPr>
        <w:t>إن لجنة المعايير مدعوة إلى ما يلي:</w:t>
      </w:r>
    </w:p>
    <w:p w:rsidR="0081517D" w:rsidRDefault="00C80219" w:rsidP="00C80219">
      <w:pPr>
        <w:pStyle w:val="Decision"/>
        <w:numPr>
          <w:ilvl w:val="0"/>
          <w:numId w:val="46"/>
        </w:numPr>
      </w:pPr>
      <w:r>
        <w:rPr>
          <w:rFonts w:hint="cs"/>
          <w:rtl/>
        </w:rPr>
        <w:t>الإحاطة علماً بمضمون هذه الوثيقة؛</w:t>
      </w:r>
    </w:p>
    <w:p w:rsidR="00C80219" w:rsidRDefault="00C80219" w:rsidP="00C80219">
      <w:pPr>
        <w:pStyle w:val="Decision"/>
        <w:numPr>
          <w:ilvl w:val="0"/>
          <w:numId w:val="46"/>
        </w:numPr>
      </w:pPr>
      <w:r w:rsidRPr="00C80219">
        <w:rPr>
          <w:rtl/>
        </w:rPr>
        <w:t>والنظر في الاسم المقترح لمعيار الويبو الجديد</w:t>
      </w:r>
      <w:r>
        <w:rPr>
          <w:rFonts w:hint="cs"/>
          <w:rtl/>
        </w:rPr>
        <w:t xml:space="preserve"> </w:t>
      </w:r>
      <w:r w:rsidRPr="00C80219">
        <w:t>ST. 69</w:t>
      </w:r>
      <w:r>
        <w:rPr>
          <w:rFonts w:hint="cs"/>
          <w:rtl/>
        </w:rPr>
        <w:t xml:space="preserve"> "</w:t>
      </w:r>
      <w:r w:rsidRPr="00C80219">
        <w:rPr>
          <w:rtl/>
        </w:rPr>
        <w:t>توصية بشأن الإدارة الإلكترونية لعلامات الحركة أو الوسائط المتعددة</w:t>
      </w:r>
      <w:r>
        <w:rPr>
          <w:rFonts w:hint="cs"/>
          <w:rtl/>
        </w:rPr>
        <w:t>"؛</w:t>
      </w:r>
    </w:p>
    <w:p w:rsidR="00C80219" w:rsidRDefault="00C80219" w:rsidP="00C80219">
      <w:pPr>
        <w:pStyle w:val="Decision"/>
        <w:numPr>
          <w:ilvl w:val="0"/>
          <w:numId w:val="46"/>
        </w:numPr>
      </w:pPr>
      <w:r w:rsidRPr="00C80219">
        <w:rPr>
          <w:rtl/>
        </w:rPr>
        <w:t>والنظر في معيار الويبو المقترح الجديد</w:t>
      </w:r>
      <w:r>
        <w:rPr>
          <w:rFonts w:hint="cs"/>
          <w:rtl/>
        </w:rPr>
        <w:t xml:space="preserve"> </w:t>
      </w:r>
      <w:r>
        <w:t>ST.69</w:t>
      </w:r>
      <w:r w:rsidRPr="00C80219">
        <w:rPr>
          <w:rtl/>
        </w:rPr>
        <w:t>، كما يرد في مرفق هذه الوثيقة، واعتماده</w:t>
      </w:r>
      <w:r w:rsidRPr="00C80219">
        <w:t>.</w:t>
      </w:r>
    </w:p>
    <w:p w:rsidR="00C80219" w:rsidRDefault="00C80219" w:rsidP="00C80219">
      <w:pPr>
        <w:pStyle w:val="Decision"/>
        <w:numPr>
          <w:ilvl w:val="0"/>
          <w:numId w:val="46"/>
        </w:numPr>
      </w:pPr>
      <w:r>
        <w:rPr>
          <w:rFonts w:hint="cs"/>
          <w:rtl/>
        </w:rPr>
        <w:t>والنظر فيما إذا ينبغي التوقف عن أداء المهمة رقم 49</w:t>
      </w:r>
      <w:r w:rsidR="007C1B10">
        <w:rPr>
          <w:rFonts w:hint="cs"/>
          <w:rtl/>
        </w:rPr>
        <w:t>.</w:t>
      </w:r>
    </w:p>
    <w:p w:rsidR="00217626" w:rsidRPr="00217626" w:rsidRDefault="0081517D" w:rsidP="00217626">
      <w:pPr>
        <w:pStyle w:val="Endofdocument-Annex"/>
      </w:pPr>
      <w:r>
        <w:rPr>
          <w:rFonts w:hint="cs"/>
          <w:rtl/>
        </w:rPr>
        <w:t>[يلي ذلك المرفق]</w:t>
      </w:r>
      <w:bookmarkStart w:id="13" w:name="ExtraPara"/>
      <w:bookmarkEnd w:id="13"/>
    </w:p>
    <w:sectPr w:rsidR="00217626" w:rsidRPr="0021762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7AD" w:rsidRDefault="008637AD">
      <w:r>
        <w:separator/>
      </w:r>
    </w:p>
  </w:endnote>
  <w:endnote w:type="continuationSeparator" w:id="0">
    <w:p w:rsidR="008637AD" w:rsidRDefault="0086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7AD" w:rsidRDefault="008637AD" w:rsidP="009622BF">
      <w:bookmarkStart w:id="0" w:name="OLE_LINK1"/>
      <w:bookmarkStart w:id="1" w:name="OLE_LINK2"/>
      <w:r>
        <w:separator/>
      </w:r>
      <w:bookmarkEnd w:id="0"/>
      <w:bookmarkEnd w:id="1"/>
    </w:p>
  </w:footnote>
  <w:footnote w:type="continuationSeparator" w:id="0">
    <w:p w:rsidR="008637AD" w:rsidRDefault="008637AD" w:rsidP="009622BF">
      <w:r>
        <w:separator/>
      </w:r>
    </w:p>
  </w:footnote>
  <w:footnote w:id="1">
    <w:p w:rsidR="00B53073" w:rsidRDefault="00B53073" w:rsidP="00242D48">
      <w:pPr>
        <w:pStyle w:val="FootnoteText"/>
        <w:rPr>
          <w:lang w:bidi="ar-SA"/>
        </w:rPr>
      </w:pPr>
      <w:r>
        <w:rPr>
          <w:rStyle w:val="FootnoteReference"/>
        </w:rPr>
        <w:footnoteRef/>
      </w:r>
      <w:r>
        <w:rPr>
          <w:rtl/>
        </w:rPr>
        <w:t xml:space="preserve"> </w:t>
      </w:r>
      <w:r>
        <w:rPr>
          <w:rFonts w:hint="cs"/>
          <w:rtl/>
          <w:lang w:bidi="ar-SA"/>
        </w:rPr>
        <w:t xml:space="preserve">البلاغ المشترك بشأن </w:t>
      </w:r>
      <w:r w:rsidR="00B510FD">
        <w:rPr>
          <w:rFonts w:hint="cs"/>
          <w:rtl/>
          <w:lang w:bidi="ar-SA"/>
        </w:rPr>
        <w:t>تمثيل</w:t>
      </w:r>
      <w:r>
        <w:rPr>
          <w:rFonts w:hint="cs"/>
          <w:rtl/>
          <w:lang w:bidi="ar-SA"/>
        </w:rPr>
        <w:t xml:space="preserve"> الأنواع الجديد</w:t>
      </w:r>
      <w:r w:rsidR="00B510FD">
        <w:rPr>
          <w:rFonts w:hint="cs"/>
          <w:rtl/>
          <w:lang w:bidi="ar-SA"/>
        </w:rPr>
        <w:t>ة</w:t>
      </w:r>
      <w:r>
        <w:rPr>
          <w:rFonts w:hint="cs"/>
          <w:rtl/>
          <w:lang w:bidi="ar-SA"/>
        </w:rPr>
        <w:t xml:space="preserve"> من العلامات التجارية. ويمكن الاطلاع على البلاغ في الرابط التالي</w:t>
      </w:r>
      <w:r w:rsidR="00242D48">
        <w:rPr>
          <w:rFonts w:hint="cs"/>
          <w:rtl/>
          <w:lang w:bidi="ar-SA"/>
        </w:rPr>
        <w:t xml:space="preserve"> </w:t>
      </w:r>
      <w:hyperlink r:id="rId1" w:history="1">
        <w:r w:rsidR="00242D48" w:rsidRPr="00242D48">
          <w:rPr>
            <w:rStyle w:val="Hyperlink"/>
            <w:lang w:bidi="ar-SA"/>
          </w:rPr>
          <w:t>https://euipo.europa.eu/ohimportal/en/news/-/action/view/3941045</w:t>
        </w:r>
      </w:hyperlink>
      <w:r>
        <w:rPr>
          <w:rFonts w:hint="cs"/>
          <w:rtl/>
          <w:lang w:bidi="ar-SA"/>
        </w:rPr>
        <w:t xml:space="preserve"> (باللغة الإنكليزية)</w:t>
      </w:r>
      <w:r w:rsidR="00242D48">
        <w:rPr>
          <w:rFonts w:hint="cs"/>
          <w:rtl/>
          <w:lang w:bidi="ar-SA"/>
        </w:rPr>
        <w:t>.</w:t>
      </w:r>
    </w:p>
  </w:footnote>
  <w:footnote w:id="2">
    <w:p w:rsidR="003C4073" w:rsidRDefault="003C4073" w:rsidP="00CB425C">
      <w:pPr>
        <w:pStyle w:val="FootnoteText"/>
        <w:rPr>
          <w:lang w:bidi="ar-SA"/>
        </w:rPr>
      </w:pPr>
      <w:r>
        <w:rPr>
          <w:rStyle w:val="FootnoteReference"/>
        </w:rPr>
        <w:footnoteRef/>
      </w:r>
      <w:r>
        <w:rPr>
          <w:rtl/>
        </w:rPr>
        <w:t xml:space="preserve"> </w:t>
      </w:r>
      <w:r>
        <w:rPr>
          <w:rFonts w:hint="cs"/>
          <w:rtl/>
          <w:lang w:bidi="ar-SA"/>
        </w:rPr>
        <w:t xml:space="preserve">الوثيقة متاحة على الموقع الإلكتروني للويبو في الرابط التالي: </w:t>
      </w:r>
      <w:hyperlink r:id="rId2" w:history="1">
        <w:r w:rsidR="00CB425C" w:rsidRPr="00CB425C">
          <w:rPr>
            <w:rStyle w:val="Hyperlink"/>
            <w:lang w:bidi="ar-SA"/>
          </w:rPr>
          <w:t>https://www.wipo.int/meetings/en/details.jsp?meeting_id=57089</w:t>
        </w:r>
      </w:hyperlink>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E16" w:rsidRDefault="00DC7E16" w:rsidP="0023693F">
    <w:pPr>
      <w:bidi w:val="0"/>
      <w:rPr>
        <w:rFonts w:ascii="Arial" w:hAnsi="Arial" w:cs="Arial"/>
        <w:sz w:val="22"/>
        <w:szCs w:val="22"/>
        <w:rtl/>
      </w:rPr>
    </w:pPr>
    <w:bookmarkStart w:id="14" w:name="Code3"/>
    <w:bookmarkEnd w:id="14"/>
    <w:r w:rsidRPr="00DC7E16">
      <w:rPr>
        <w:rFonts w:ascii="Arial" w:hAnsi="Arial" w:cs="Arial"/>
        <w:sz w:val="22"/>
        <w:szCs w:val="22"/>
      </w:rPr>
      <w:t>CWS/8/3</w:t>
    </w:r>
  </w:p>
  <w:p w:rsidR="004C495B" w:rsidRPr="00C50A61" w:rsidRDefault="004C495B" w:rsidP="00DC7E16">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C780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2F727504"/>
    <w:multiLevelType w:val="hybridMultilevel"/>
    <w:tmpl w:val="4B406424"/>
    <w:lvl w:ilvl="0" w:tplc="CE3A436E">
      <w:start w:val="1"/>
      <w:numFmt w:val="arabicAbjad"/>
      <w:lvlText w:val="(%1)"/>
      <w:lvlJc w:val="left"/>
      <w:pPr>
        <w:ind w:left="6614" w:hanging="360"/>
      </w:pPr>
      <w:rPr>
        <w:rFonts w:hint="default"/>
      </w:rPr>
    </w:lvl>
    <w:lvl w:ilvl="1" w:tplc="20000019" w:tentative="1">
      <w:start w:val="1"/>
      <w:numFmt w:val="lowerLetter"/>
      <w:lvlText w:val="%2."/>
      <w:lvlJc w:val="left"/>
      <w:pPr>
        <w:ind w:left="7334" w:hanging="360"/>
      </w:pPr>
    </w:lvl>
    <w:lvl w:ilvl="2" w:tplc="2000001B" w:tentative="1">
      <w:start w:val="1"/>
      <w:numFmt w:val="lowerRoman"/>
      <w:lvlText w:val="%3."/>
      <w:lvlJc w:val="right"/>
      <w:pPr>
        <w:ind w:left="8054" w:hanging="180"/>
      </w:pPr>
    </w:lvl>
    <w:lvl w:ilvl="3" w:tplc="2000000F" w:tentative="1">
      <w:start w:val="1"/>
      <w:numFmt w:val="decimal"/>
      <w:lvlText w:val="%4."/>
      <w:lvlJc w:val="left"/>
      <w:pPr>
        <w:ind w:left="8774" w:hanging="360"/>
      </w:pPr>
    </w:lvl>
    <w:lvl w:ilvl="4" w:tplc="20000019" w:tentative="1">
      <w:start w:val="1"/>
      <w:numFmt w:val="lowerLetter"/>
      <w:lvlText w:val="%5."/>
      <w:lvlJc w:val="left"/>
      <w:pPr>
        <w:ind w:left="9494" w:hanging="360"/>
      </w:pPr>
    </w:lvl>
    <w:lvl w:ilvl="5" w:tplc="2000001B" w:tentative="1">
      <w:start w:val="1"/>
      <w:numFmt w:val="lowerRoman"/>
      <w:lvlText w:val="%6."/>
      <w:lvlJc w:val="right"/>
      <w:pPr>
        <w:ind w:left="10214" w:hanging="180"/>
      </w:pPr>
    </w:lvl>
    <w:lvl w:ilvl="6" w:tplc="2000000F" w:tentative="1">
      <w:start w:val="1"/>
      <w:numFmt w:val="decimal"/>
      <w:lvlText w:val="%7."/>
      <w:lvlJc w:val="left"/>
      <w:pPr>
        <w:ind w:left="10934" w:hanging="360"/>
      </w:pPr>
    </w:lvl>
    <w:lvl w:ilvl="7" w:tplc="20000019" w:tentative="1">
      <w:start w:val="1"/>
      <w:numFmt w:val="lowerLetter"/>
      <w:lvlText w:val="%8."/>
      <w:lvlJc w:val="left"/>
      <w:pPr>
        <w:ind w:left="11654" w:hanging="360"/>
      </w:pPr>
    </w:lvl>
    <w:lvl w:ilvl="8" w:tplc="2000001B" w:tentative="1">
      <w:start w:val="1"/>
      <w:numFmt w:val="lowerRoman"/>
      <w:lvlText w:val="%9."/>
      <w:lvlJc w:val="right"/>
      <w:pPr>
        <w:ind w:left="12374" w:hanging="180"/>
      </w:pPr>
    </w:lvl>
  </w:abstractNum>
  <w:abstractNum w:abstractNumId="23" w15:restartNumberingAfterBreak="0">
    <w:nsid w:val="334C26CF"/>
    <w:multiLevelType w:val="hybridMultilevel"/>
    <w:tmpl w:val="138A0134"/>
    <w:lvl w:ilvl="0" w:tplc="90EAE9C8">
      <w:start w:val="1"/>
      <w:numFmt w:val="arabicAbjad"/>
      <w:lvlText w:val="(%1("/>
      <w:lvlJc w:val="left"/>
      <w:pPr>
        <w:ind w:left="6254" w:hanging="360"/>
      </w:pPr>
      <w:rPr>
        <w:rFonts w:hint="default"/>
      </w:rPr>
    </w:lvl>
    <w:lvl w:ilvl="1" w:tplc="20000019" w:tentative="1">
      <w:start w:val="1"/>
      <w:numFmt w:val="lowerLetter"/>
      <w:lvlText w:val="%2."/>
      <w:lvlJc w:val="left"/>
      <w:pPr>
        <w:ind w:left="6974" w:hanging="360"/>
      </w:pPr>
    </w:lvl>
    <w:lvl w:ilvl="2" w:tplc="2000001B" w:tentative="1">
      <w:start w:val="1"/>
      <w:numFmt w:val="lowerRoman"/>
      <w:lvlText w:val="%3."/>
      <w:lvlJc w:val="right"/>
      <w:pPr>
        <w:ind w:left="7694" w:hanging="180"/>
      </w:pPr>
    </w:lvl>
    <w:lvl w:ilvl="3" w:tplc="2000000F" w:tentative="1">
      <w:start w:val="1"/>
      <w:numFmt w:val="decimal"/>
      <w:lvlText w:val="%4."/>
      <w:lvlJc w:val="left"/>
      <w:pPr>
        <w:ind w:left="8414" w:hanging="360"/>
      </w:pPr>
    </w:lvl>
    <w:lvl w:ilvl="4" w:tplc="20000019" w:tentative="1">
      <w:start w:val="1"/>
      <w:numFmt w:val="lowerLetter"/>
      <w:lvlText w:val="%5."/>
      <w:lvlJc w:val="left"/>
      <w:pPr>
        <w:ind w:left="9134" w:hanging="360"/>
      </w:pPr>
    </w:lvl>
    <w:lvl w:ilvl="5" w:tplc="2000001B" w:tentative="1">
      <w:start w:val="1"/>
      <w:numFmt w:val="lowerRoman"/>
      <w:lvlText w:val="%6."/>
      <w:lvlJc w:val="right"/>
      <w:pPr>
        <w:ind w:left="9854" w:hanging="180"/>
      </w:pPr>
    </w:lvl>
    <w:lvl w:ilvl="6" w:tplc="2000000F" w:tentative="1">
      <w:start w:val="1"/>
      <w:numFmt w:val="decimal"/>
      <w:lvlText w:val="%7."/>
      <w:lvlJc w:val="left"/>
      <w:pPr>
        <w:ind w:left="10574" w:hanging="360"/>
      </w:pPr>
    </w:lvl>
    <w:lvl w:ilvl="7" w:tplc="20000019" w:tentative="1">
      <w:start w:val="1"/>
      <w:numFmt w:val="lowerLetter"/>
      <w:lvlText w:val="%8."/>
      <w:lvlJc w:val="left"/>
      <w:pPr>
        <w:ind w:left="11294" w:hanging="360"/>
      </w:pPr>
    </w:lvl>
    <w:lvl w:ilvl="8" w:tplc="2000001B" w:tentative="1">
      <w:start w:val="1"/>
      <w:numFmt w:val="lowerRoman"/>
      <w:lvlText w:val="%9."/>
      <w:lvlJc w:val="right"/>
      <w:pPr>
        <w:ind w:left="12014" w:hanging="180"/>
      </w:p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38"/>
  </w:num>
  <w:num w:numId="5">
    <w:abstractNumId w:val="8"/>
  </w:num>
  <w:num w:numId="6">
    <w:abstractNumId w:val="39"/>
  </w:num>
  <w:num w:numId="7">
    <w:abstractNumId w:val="20"/>
  </w:num>
  <w:num w:numId="8">
    <w:abstractNumId w:val="37"/>
  </w:num>
  <w:num w:numId="9">
    <w:abstractNumId w:val="33"/>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1"/>
  </w:num>
  <w:num w:numId="32">
    <w:abstractNumId w:val="28"/>
  </w:num>
  <w:num w:numId="33">
    <w:abstractNumId w:val="36"/>
  </w:num>
  <w:num w:numId="34">
    <w:abstractNumId w:val="13"/>
  </w:num>
  <w:num w:numId="35">
    <w:abstractNumId w:val="35"/>
  </w:num>
  <w:num w:numId="36">
    <w:abstractNumId w:val="27"/>
  </w:num>
  <w:num w:numId="37">
    <w:abstractNumId w:val="34"/>
  </w:num>
  <w:num w:numId="38">
    <w:abstractNumId w:val="16"/>
  </w:num>
  <w:num w:numId="39">
    <w:abstractNumId w:val="30"/>
  </w:num>
  <w:num w:numId="40">
    <w:abstractNumId w:val="29"/>
  </w:num>
  <w:num w:numId="41">
    <w:abstractNumId w:val="18"/>
  </w:num>
  <w:num w:numId="42">
    <w:abstractNumId w:val="10"/>
  </w:num>
  <w:num w:numId="43">
    <w:abstractNumId w:val="24"/>
  </w:num>
  <w:num w:numId="44">
    <w:abstractNumId w:val="32"/>
  </w:num>
  <w:num w:numId="45">
    <w:abstractNumId w:val="2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8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F7B"/>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2AA"/>
    <w:rsid w:val="000F1B52"/>
    <w:rsid w:val="000F1C70"/>
    <w:rsid w:val="000F1EAA"/>
    <w:rsid w:val="000F30D5"/>
    <w:rsid w:val="000F33C5"/>
    <w:rsid w:val="000F3ACF"/>
    <w:rsid w:val="000F49FA"/>
    <w:rsid w:val="000F58C4"/>
    <w:rsid w:val="000F5E56"/>
    <w:rsid w:val="000F70F9"/>
    <w:rsid w:val="000F75BB"/>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514"/>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50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B0B"/>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7828"/>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31A2"/>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3EA8"/>
    <w:rsid w:val="001D4A38"/>
    <w:rsid w:val="001D6A48"/>
    <w:rsid w:val="001D787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3AD"/>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626"/>
    <w:rsid w:val="00217DF4"/>
    <w:rsid w:val="00220227"/>
    <w:rsid w:val="0022176B"/>
    <w:rsid w:val="00222760"/>
    <w:rsid w:val="00222782"/>
    <w:rsid w:val="0022360A"/>
    <w:rsid w:val="00225E66"/>
    <w:rsid w:val="002269E0"/>
    <w:rsid w:val="00226B82"/>
    <w:rsid w:val="00227103"/>
    <w:rsid w:val="00230249"/>
    <w:rsid w:val="0023068C"/>
    <w:rsid w:val="00230D5F"/>
    <w:rsid w:val="00231179"/>
    <w:rsid w:val="00231BE3"/>
    <w:rsid w:val="00232C51"/>
    <w:rsid w:val="00233414"/>
    <w:rsid w:val="00233D69"/>
    <w:rsid w:val="00234E82"/>
    <w:rsid w:val="00235C9D"/>
    <w:rsid w:val="00235DAE"/>
    <w:rsid w:val="0023693F"/>
    <w:rsid w:val="002412D4"/>
    <w:rsid w:val="0024220D"/>
    <w:rsid w:val="00242AD1"/>
    <w:rsid w:val="00242BD3"/>
    <w:rsid w:val="00242C02"/>
    <w:rsid w:val="00242D48"/>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47D"/>
    <w:rsid w:val="002806F8"/>
    <w:rsid w:val="002810B5"/>
    <w:rsid w:val="00281B81"/>
    <w:rsid w:val="00281F4F"/>
    <w:rsid w:val="00286744"/>
    <w:rsid w:val="002909B9"/>
    <w:rsid w:val="00292CEE"/>
    <w:rsid w:val="00292D22"/>
    <w:rsid w:val="00293667"/>
    <w:rsid w:val="0029470D"/>
    <w:rsid w:val="00297B80"/>
    <w:rsid w:val="002A076C"/>
    <w:rsid w:val="002A0B33"/>
    <w:rsid w:val="002A1059"/>
    <w:rsid w:val="002A1407"/>
    <w:rsid w:val="002A3C9D"/>
    <w:rsid w:val="002A5403"/>
    <w:rsid w:val="002A6C9F"/>
    <w:rsid w:val="002A77F3"/>
    <w:rsid w:val="002B14F0"/>
    <w:rsid w:val="002B17FD"/>
    <w:rsid w:val="002B1F0F"/>
    <w:rsid w:val="002B25FA"/>
    <w:rsid w:val="002B53D3"/>
    <w:rsid w:val="002B6202"/>
    <w:rsid w:val="002C014C"/>
    <w:rsid w:val="002C060C"/>
    <w:rsid w:val="002C0BA6"/>
    <w:rsid w:val="002C12A7"/>
    <w:rsid w:val="002C19E2"/>
    <w:rsid w:val="002C2B6F"/>
    <w:rsid w:val="002C314F"/>
    <w:rsid w:val="002C4AD1"/>
    <w:rsid w:val="002C7D29"/>
    <w:rsid w:val="002D0298"/>
    <w:rsid w:val="002D1662"/>
    <w:rsid w:val="002D1DE5"/>
    <w:rsid w:val="002D2102"/>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5FF"/>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330"/>
    <w:rsid w:val="003A26CD"/>
    <w:rsid w:val="003A37F7"/>
    <w:rsid w:val="003A54E9"/>
    <w:rsid w:val="003A5E7C"/>
    <w:rsid w:val="003A78C7"/>
    <w:rsid w:val="003A7E9A"/>
    <w:rsid w:val="003B15FE"/>
    <w:rsid w:val="003B1C41"/>
    <w:rsid w:val="003B37F6"/>
    <w:rsid w:val="003B46AD"/>
    <w:rsid w:val="003B5C96"/>
    <w:rsid w:val="003B655A"/>
    <w:rsid w:val="003B65FB"/>
    <w:rsid w:val="003B6A26"/>
    <w:rsid w:val="003C108F"/>
    <w:rsid w:val="003C218D"/>
    <w:rsid w:val="003C24A9"/>
    <w:rsid w:val="003C29C5"/>
    <w:rsid w:val="003C3D89"/>
    <w:rsid w:val="003C3EE2"/>
    <w:rsid w:val="003C4073"/>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3ED"/>
    <w:rsid w:val="004058B4"/>
    <w:rsid w:val="00405C45"/>
    <w:rsid w:val="00405F87"/>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8A"/>
    <w:rsid w:val="004512B2"/>
    <w:rsid w:val="004528EE"/>
    <w:rsid w:val="00453360"/>
    <w:rsid w:val="00456409"/>
    <w:rsid w:val="004569C6"/>
    <w:rsid w:val="00456ADC"/>
    <w:rsid w:val="0045768F"/>
    <w:rsid w:val="00457769"/>
    <w:rsid w:val="004607E6"/>
    <w:rsid w:val="004627AE"/>
    <w:rsid w:val="0046298E"/>
    <w:rsid w:val="004647BB"/>
    <w:rsid w:val="0046482B"/>
    <w:rsid w:val="004648E0"/>
    <w:rsid w:val="00466020"/>
    <w:rsid w:val="00471E99"/>
    <w:rsid w:val="00472043"/>
    <w:rsid w:val="00472F56"/>
    <w:rsid w:val="0047335E"/>
    <w:rsid w:val="00473CA1"/>
    <w:rsid w:val="0047572C"/>
    <w:rsid w:val="00475BB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3AF"/>
    <w:rsid w:val="004A1DC1"/>
    <w:rsid w:val="004A31A2"/>
    <w:rsid w:val="004A48A7"/>
    <w:rsid w:val="004A655D"/>
    <w:rsid w:val="004B01B1"/>
    <w:rsid w:val="004B08D1"/>
    <w:rsid w:val="004B10E6"/>
    <w:rsid w:val="004B198F"/>
    <w:rsid w:val="004B46D0"/>
    <w:rsid w:val="004B57B0"/>
    <w:rsid w:val="004B60CE"/>
    <w:rsid w:val="004B61C9"/>
    <w:rsid w:val="004B66F0"/>
    <w:rsid w:val="004C0B26"/>
    <w:rsid w:val="004C12FE"/>
    <w:rsid w:val="004C1D57"/>
    <w:rsid w:val="004C2F7C"/>
    <w:rsid w:val="004C34F8"/>
    <w:rsid w:val="004C375F"/>
    <w:rsid w:val="004C482F"/>
    <w:rsid w:val="004C495B"/>
    <w:rsid w:val="004C49C9"/>
    <w:rsid w:val="004C59F0"/>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1568"/>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4E0"/>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5B6"/>
    <w:rsid w:val="005D794C"/>
    <w:rsid w:val="005D79F6"/>
    <w:rsid w:val="005D7A9F"/>
    <w:rsid w:val="005D7AA2"/>
    <w:rsid w:val="005E2154"/>
    <w:rsid w:val="005E2FC7"/>
    <w:rsid w:val="005E37B9"/>
    <w:rsid w:val="005E427F"/>
    <w:rsid w:val="005E4574"/>
    <w:rsid w:val="005E4BBE"/>
    <w:rsid w:val="005E4C97"/>
    <w:rsid w:val="005E5014"/>
    <w:rsid w:val="005E684F"/>
    <w:rsid w:val="005E71D9"/>
    <w:rsid w:val="005E76DF"/>
    <w:rsid w:val="005E77BA"/>
    <w:rsid w:val="005F0112"/>
    <w:rsid w:val="005F03E3"/>
    <w:rsid w:val="005F0829"/>
    <w:rsid w:val="005F32BE"/>
    <w:rsid w:val="005F34FB"/>
    <w:rsid w:val="005F39A0"/>
    <w:rsid w:val="005F68D6"/>
    <w:rsid w:val="005F6B68"/>
    <w:rsid w:val="005F6F2E"/>
    <w:rsid w:val="005F7D85"/>
    <w:rsid w:val="00601A1F"/>
    <w:rsid w:val="00602655"/>
    <w:rsid w:val="00603B68"/>
    <w:rsid w:val="00605297"/>
    <w:rsid w:val="00605CB9"/>
    <w:rsid w:val="006065BF"/>
    <w:rsid w:val="00607C00"/>
    <w:rsid w:val="00610430"/>
    <w:rsid w:val="00611858"/>
    <w:rsid w:val="006130B0"/>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809"/>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C74"/>
    <w:rsid w:val="00692777"/>
    <w:rsid w:val="00692BE0"/>
    <w:rsid w:val="00692C98"/>
    <w:rsid w:val="0069324E"/>
    <w:rsid w:val="00694487"/>
    <w:rsid w:val="00695815"/>
    <w:rsid w:val="0069581B"/>
    <w:rsid w:val="00695D6B"/>
    <w:rsid w:val="00696412"/>
    <w:rsid w:val="00696601"/>
    <w:rsid w:val="006977FA"/>
    <w:rsid w:val="006A0075"/>
    <w:rsid w:val="006A1487"/>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5372"/>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0C5"/>
    <w:rsid w:val="00793AEB"/>
    <w:rsid w:val="00795460"/>
    <w:rsid w:val="00796CF7"/>
    <w:rsid w:val="007A0313"/>
    <w:rsid w:val="007A0A83"/>
    <w:rsid w:val="007A4BB3"/>
    <w:rsid w:val="007A6307"/>
    <w:rsid w:val="007A6822"/>
    <w:rsid w:val="007A724D"/>
    <w:rsid w:val="007A749D"/>
    <w:rsid w:val="007A7B37"/>
    <w:rsid w:val="007B024C"/>
    <w:rsid w:val="007B0B37"/>
    <w:rsid w:val="007B1C4C"/>
    <w:rsid w:val="007B2800"/>
    <w:rsid w:val="007B38F7"/>
    <w:rsid w:val="007B40D4"/>
    <w:rsid w:val="007B4511"/>
    <w:rsid w:val="007B5C86"/>
    <w:rsid w:val="007B6071"/>
    <w:rsid w:val="007B6540"/>
    <w:rsid w:val="007B69A2"/>
    <w:rsid w:val="007C09C4"/>
    <w:rsid w:val="007C0C37"/>
    <w:rsid w:val="007C19E5"/>
    <w:rsid w:val="007C1B10"/>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2D4"/>
    <w:rsid w:val="007E17CD"/>
    <w:rsid w:val="007E24ED"/>
    <w:rsid w:val="007E374B"/>
    <w:rsid w:val="007E39DE"/>
    <w:rsid w:val="007E3F53"/>
    <w:rsid w:val="007E66CF"/>
    <w:rsid w:val="007E7997"/>
    <w:rsid w:val="007E7B47"/>
    <w:rsid w:val="007F04EF"/>
    <w:rsid w:val="007F342F"/>
    <w:rsid w:val="007F38D1"/>
    <w:rsid w:val="007F43B9"/>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17D"/>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44D"/>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7AD"/>
    <w:rsid w:val="00863F67"/>
    <w:rsid w:val="0086483A"/>
    <w:rsid w:val="0087049C"/>
    <w:rsid w:val="00870AAD"/>
    <w:rsid w:val="00870EDE"/>
    <w:rsid w:val="00871DA0"/>
    <w:rsid w:val="00872030"/>
    <w:rsid w:val="00873973"/>
    <w:rsid w:val="00874721"/>
    <w:rsid w:val="008751B4"/>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088"/>
    <w:rsid w:val="008A5234"/>
    <w:rsid w:val="008A5397"/>
    <w:rsid w:val="008A6861"/>
    <w:rsid w:val="008A7522"/>
    <w:rsid w:val="008A7B55"/>
    <w:rsid w:val="008B0578"/>
    <w:rsid w:val="008B170D"/>
    <w:rsid w:val="008B310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802"/>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716"/>
    <w:rsid w:val="00912257"/>
    <w:rsid w:val="00913495"/>
    <w:rsid w:val="00913874"/>
    <w:rsid w:val="00913AB5"/>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80A"/>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9D0"/>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580"/>
    <w:rsid w:val="00995CDC"/>
    <w:rsid w:val="009975CA"/>
    <w:rsid w:val="009A0C15"/>
    <w:rsid w:val="009A1088"/>
    <w:rsid w:val="009A14CB"/>
    <w:rsid w:val="009A1FCA"/>
    <w:rsid w:val="009A27C7"/>
    <w:rsid w:val="009A2961"/>
    <w:rsid w:val="009A344A"/>
    <w:rsid w:val="009A3C35"/>
    <w:rsid w:val="009A41C7"/>
    <w:rsid w:val="009A4436"/>
    <w:rsid w:val="009A4F5A"/>
    <w:rsid w:val="009A5C82"/>
    <w:rsid w:val="009B010D"/>
    <w:rsid w:val="009B0AAB"/>
    <w:rsid w:val="009B0D3E"/>
    <w:rsid w:val="009B2AD1"/>
    <w:rsid w:val="009B3224"/>
    <w:rsid w:val="009B37E6"/>
    <w:rsid w:val="009B3A61"/>
    <w:rsid w:val="009B528E"/>
    <w:rsid w:val="009B54FE"/>
    <w:rsid w:val="009B7572"/>
    <w:rsid w:val="009B77DD"/>
    <w:rsid w:val="009C125F"/>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C5E"/>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5B5C"/>
    <w:rsid w:val="00A1618E"/>
    <w:rsid w:val="00A161A1"/>
    <w:rsid w:val="00A20562"/>
    <w:rsid w:val="00A20F75"/>
    <w:rsid w:val="00A212B1"/>
    <w:rsid w:val="00A263E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08D"/>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767"/>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EFC"/>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35E"/>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27F74"/>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0FD"/>
    <w:rsid w:val="00B51B77"/>
    <w:rsid w:val="00B52081"/>
    <w:rsid w:val="00B52695"/>
    <w:rsid w:val="00B52A82"/>
    <w:rsid w:val="00B53073"/>
    <w:rsid w:val="00B545AF"/>
    <w:rsid w:val="00B55B09"/>
    <w:rsid w:val="00B56711"/>
    <w:rsid w:val="00B57EF2"/>
    <w:rsid w:val="00B604F3"/>
    <w:rsid w:val="00B6101C"/>
    <w:rsid w:val="00B615ED"/>
    <w:rsid w:val="00B6195F"/>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A47"/>
    <w:rsid w:val="00B851D5"/>
    <w:rsid w:val="00B85AC1"/>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1EE"/>
    <w:rsid w:val="00BB2683"/>
    <w:rsid w:val="00BB40DF"/>
    <w:rsid w:val="00BB5E2C"/>
    <w:rsid w:val="00BB6440"/>
    <w:rsid w:val="00BB7D9E"/>
    <w:rsid w:val="00BC16AC"/>
    <w:rsid w:val="00BC2B7B"/>
    <w:rsid w:val="00BC3290"/>
    <w:rsid w:val="00BC3AE8"/>
    <w:rsid w:val="00BC3AF4"/>
    <w:rsid w:val="00BC43A8"/>
    <w:rsid w:val="00BC5C6D"/>
    <w:rsid w:val="00BC7120"/>
    <w:rsid w:val="00BC731A"/>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6FC0"/>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0219"/>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08"/>
    <w:rsid w:val="00CA2A98"/>
    <w:rsid w:val="00CA2BAE"/>
    <w:rsid w:val="00CA34BA"/>
    <w:rsid w:val="00CA4503"/>
    <w:rsid w:val="00CA5A66"/>
    <w:rsid w:val="00CA796A"/>
    <w:rsid w:val="00CB2575"/>
    <w:rsid w:val="00CB3677"/>
    <w:rsid w:val="00CB368F"/>
    <w:rsid w:val="00CB425C"/>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721"/>
    <w:rsid w:val="00D007D6"/>
    <w:rsid w:val="00D01A9F"/>
    <w:rsid w:val="00D01CED"/>
    <w:rsid w:val="00D01E38"/>
    <w:rsid w:val="00D022B5"/>
    <w:rsid w:val="00D039B5"/>
    <w:rsid w:val="00D04AA9"/>
    <w:rsid w:val="00D04F76"/>
    <w:rsid w:val="00D053D2"/>
    <w:rsid w:val="00D07D07"/>
    <w:rsid w:val="00D1097C"/>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790"/>
    <w:rsid w:val="00D3482C"/>
    <w:rsid w:val="00D3542B"/>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47D55"/>
    <w:rsid w:val="00D50332"/>
    <w:rsid w:val="00D509E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0C7"/>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E16"/>
    <w:rsid w:val="00DD0839"/>
    <w:rsid w:val="00DD1957"/>
    <w:rsid w:val="00DD26D0"/>
    <w:rsid w:val="00DD47D5"/>
    <w:rsid w:val="00DD6729"/>
    <w:rsid w:val="00DD74A1"/>
    <w:rsid w:val="00DD7960"/>
    <w:rsid w:val="00DD7B0D"/>
    <w:rsid w:val="00DE1F29"/>
    <w:rsid w:val="00DE37A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581"/>
    <w:rsid w:val="00E17814"/>
    <w:rsid w:val="00E17CEF"/>
    <w:rsid w:val="00E20438"/>
    <w:rsid w:val="00E20FBC"/>
    <w:rsid w:val="00E22E3F"/>
    <w:rsid w:val="00E23C0B"/>
    <w:rsid w:val="00E244CA"/>
    <w:rsid w:val="00E24892"/>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0FC"/>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2E9"/>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5F4"/>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D7"/>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A18"/>
    <w:rsid w:val="00ED247F"/>
    <w:rsid w:val="00ED27E4"/>
    <w:rsid w:val="00ED2F27"/>
    <w:rsid w:val="00ED3370"/>
    <w:rsid w:val="00ED396F"/>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20B"/>
    <w:rsid w:val="00F03369"/>
    <w:rsid w:val="00F04E62"/>
    <w:rsid w:val="00F050AA"/>
    <w:rsid w:val="00F05E6D"/>
    <w:rsid w:val="00F11800"/>
    <w:rsid w:val="00F11B61"/>
    <w:rsid w:val="00F11FDF"/>
    <w:rsid w:val="00F12942"/>
    <w:rsid w:val="00F135D6"/>
    <w:rsid w:val="00F13922"/>
    <w:rsid w:val="00F13DBC"/>
    <w:rsid w:val="00F15FCF"/>
    <w:rsid w:val="00F16613"/>
    <w:rsid w:val="00F20706"/>
    <w:rsid w:val="00F21496"/>
    <w:rsid w:val="00F21E77"/>
    <w:rsid w:val="00F24D27"/>
    <w:rsid w:val="00F24F56"/>
    <w:rsid w:val="00F2520C"/>
    <w:rsid w:val="00F25BCB"/>
    <w:rsid w:val="00F25ECC"/>
    <w:rsid w:val="00F264C1"/>
    <w:rsid w:val="00F26D7F"/>
    <w:rsid w:val="00F27305"/>
    <w:rsid w:val="00F27D56"/>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5C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75E41"/>
  <w15:docId w15:val="{33CDD83D-36E1-49E7-8D45-A9C771E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UnresolvedMention">
    <w:name w:val="Unresolved Mention"/>
    <w:basedOn w:val="DefaultParagraphFont"/>
    <w:uiPriority w:val="99"/>
    <w:semiHidden/>
    <w:unhideWhenUsed/>
    <w:rsid w:val="009B37E6"/>
    <w:rPr>
      <w:color w:val="605E5C"/>
      <w:shd w:val="clear" w:color="auto" w:fill="E1DFDD"/>
    </w:rPr>
  </w:style>
  <w:style w:type="character" w:styleId="FollowedHyperlink">
    <w:name w:val="FollowedHyperlink"/>
    <w:basedOn w:val="DefaultParagraphFont"/>
    <w:semiHidden/>
    <w:unhideWhenUsed/>
    <w:rsid w:val="009B3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ar/doc_details.jsp?doc_id=4521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etails.jsp?meeting_id=57089" TargetMode="External"/><Relationship Id="rId1" Type="http://schemas.openxmlformats.org/officeDocument/2006/relationships/hyperlink" Target="https://euipo.europa.eu/ohimportal/en/news/-/action/view/3941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WS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3B5E-EB92-48F5-8527-102AB8C8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CWS_8_AR</Template>
  <TotalTime>109</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CWS/6/_x000d_ (Arabic)</vt:lpstr>
    </vt:vector>
  </TitlesOfParts>
  <Company>World Intellectual Property Organization</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CWS/8/3_x000d_ (Arabic)</dc:title>
  <dc:creator>ENDANI Ahmad</dc:creator>
  <cp:lastModifiedBy>ENDANI Ahmad</cp:lastModifiedBy>
  <cp:revision>97</cp:revision>
  <cp:lastPrinted>2018-06-12T09:05:00Z</cp:lastPrinted>
  <dcterms:created xsi:type="dcterms:W3CDTF">2020-11-04T21:54:00Z</dcterms:created>
  <dcterms:modified xsi:type="dcterms:W3CDTF">2020-11-05T09:40:00Z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756f40c3-3fd8-40f8-852a-e1ba4676bed2</vt:lpwstr>
  </property>
</Properties>
</file>