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DC1851" w:rsidRPr="00DC1851" w:rsidTr="00B6101C">
        <w:tc>
          <w:tcPr>
            <w:tcW w:w="4843" w:type="dxa"/>
            <w:tcBorders>
              <w:bottom w:val="single" w:sz="4" w:space="0" w:color="auto"/>
            </w:tcBorders>
          </w:tcPr>
          <w:p w:rsidR="001667B6" w:rsidRPr="00DC1851"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Pr="00DC1851" w:rsidRDefault="009C0CED" w:rsidP="00237419">
            <w:pPr>
              <w:bidi/>
              <w:spacing w:after="20"/>
              <w:rPr>
                <w:rFonts w:ascii="Arabic Typesetting" w:hAnsi="Arabic Typesetting" w:cs="Arabic Typesetting"/>
                <w:sz w:val="36"/>
                <w:szCs w:val="36"/>
                <w:rtl/>
              </w:rPr>
            </w:pPr>
            <w:r w:rsidRPr="00DC1851">
              <w:rPr>
                <w:noProof/>
              </w:rPr>
              <w:drawing>
                <wp:inline distT="0" distB="0" distL="0" distR="0" wp14:anchorId="0C00D82D" wp14:editId="1771EBED">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DC1851" w:rsidRDefault="001667B6" w:rsidP="001667B6">
            <w:pPr>
              <w:rPr>
                <w:b/>
                <w:bCs/>
                <w:sz w:val="40"/>
                <w:szCs w:val="40"/>
              </w:rPr>
            </w:pPr>
            <w:r w:rsidRPr="00DC1851">
              <w:rPr>
                <w:b/>
                <w:bCs/>
                <w:sz w:val="40"/>
                <w:szCs w:val="40"/>
              </w:rPr>
              <w:t>A</w:t>
            </w:r>
          </w:p>
        </w:tc>
      </w:tr>
      <w:tr w:rsidR="00DC1851" w:rsidRPr="00DC1851" w:rsidTr="00B6101C">
        <w:trPr>
          <w:trHeight w:val="333"/>
        </w:trPr>
        <w:tc>
          <w:tcPr>
            <w:tcW w:w="9571" w:type="dxa"/>
            <w:gridSpan w:val="3"/>
            <w:tcBorders>
              <w:top w:val="single" w:sz="4" w:space="0" w:color="auto"/>
            </w:tcBorders>
            <w:vAlign w:val="bottom"/>
          </w:tcPr>
          <w:p w:rsidR="00B6101C" w:rsidRPr="00DC1851" w:rsidRDefault="00C2761A" w:rsidP="00F20A12">
            <w:pPr>
              <w:pStyle w:val="DocumentCodeAR"/>
              <w:bidi/>
              <w:rPr>
                <w:rtl/>
              </w:rPr>
            </w:pPr>
            <w:r w:rsidRPr="00DC1851">
              <w:t>CWS</w:t>
            </w:r>
            <w:r w:rsidR="00065ED1" w:rsidRPr="00DC1851">
              <w:t>/</w:t>
            </w:r>
            <w:r w:rsidRPr="00DC1851">
              <w:t>5</w:t>
            </w:r>
            <w:r w:rsidR="00B6101C" w:rsidRPr="00DC1851">
              <w:t>/</w:t>
            </w:r>
            <w:r w:rsidR="00F20A12" w:rsidRPr="00DC1851">
              <w:t>8</w:t>
            </w:r>
            <w:r w:rsidR="00C810A8">
              <w:t>/REV.1</w:t>
            </w:r>
          </w:p>
        </w:tc>
      </w:tr>
      <w:tr w:rsidR="00DC1851" w:rsidRPr="00DC1851" w:rsidTr="00BF164F">
        <w:tc>
          <w:tcPr>
            <w:tcW w:w="9571" w:type="dxa"/>
            <w:gridSpan w:val="3"/>
          </w:tcPr>
          <w:p w:rsidR="001667B6" w:rsidRPr="00DC1851" w:rsidRDefault="00F27A7C" w:rsidP="000E4718">
            <w:pPr>
              <w:pStyle w:val="DocumentLanguageAR"/>
              <w:bidi/>
              <w:rPr>
                <w:rtl/>
              </w:rPr>
            </w:pPr>
            <w:r w:rsidRPr="00DC1851">
              <w:rPr>
                <w:rFonts w:hint="cs"/>
                <w:rtl/>
              </w:rPr>
              <w:t xml:space="preserve">الأصل: </w:t>
            </w:r>
            <w:r w:rsidR="00F20A12" w:rsidRPr="00DC1851">
              <w:rPr>
                <w:rFonts w:hint="cs"/>
                <w:rtl/>
              </w:rPr>
              <w:t>بالإنكليزية</w:t>
            </w:r>
          </w:p>
        </w:tc>
      </w:tr>
      <w:tr w:rsidR="001667B6" w:rsidRPr="00DC1851" w:rsidTr="00BF164F">
        <w:tc>
          <w:tcPr>
            <w:tcW w:w="9571" w:type="dxa"/>
            <w:gridSpan w:val="3"/>
          </w:tcPr>
          <w:p w:rsidR="001667B6" w:rsidRPr="00DC1851" w:rsidRDefault="00B6101C" w:rsidP="00C810A8">
            <w:pPr>
              <w:pStyle w:val="DocumentDateAR"/>
              <w:bidi/>
              <w:rPr>
                <w:rtl/>
              </w:rPr>
            </w:pPr>
            <w:r w:rsidRPr="00DC1851">
              <w:rPr>
                <w:rFonts w:hint="cs"/>
                <w:rtl/>
              </w:rPr>
              <w:t xml:space="preserve">التاريخ: </w:t>
            </w:r>
            <w:r w:rsidR="00C810A8">
              <w:rPr>
                <w:rFonts w:hint="cs"/>
                <w:rtl/>
              </w:rPr>
              <w:t>2</w:t>
            </w:r>
            <w:r w:rsidR="0024328E" w:rsidRPr="00DC1851">
              <w:rPr>
                <w:rFonts w:hint="cs"/>
                <w:rtl/>
              </w:rPr>
              <w:t xml:space="preserve"> </w:t>
            </w:r>
            <w:r w:rsidR="00C810A8">
              <w:rPr>
                <w:rFonts w:hint="cs"/>
                <w:rtl/>
              </w:rPr>
              <w:t>مايو</w:t>
            </w:r>
            <w:r w:rsidR="0024328E" w:rsidRPr="00DC1851">
              <w:rPr>
                <w:rFonts w:hint="cs"/>
                <w:rtl/>
              </w:rPr>
              <w:t xml:space="preserve"> </w:t>
            </w:r>
            <w:r w:rsidR="008D5779" w:rsidRPr="00DC1851">
              <w:rPr>
                <w:rFonts w:hint="cs"/>
                <w:rtl/>
              </w:rPr>
              <w:t>201</w:t>
            </w:r>
            <w:r w:rsidR="006E3DBD" w:rsidRPr="00DC1851">
              <w:rPr>
                <w:rFonts w:hint="cs"/>
                <w:rtl/>
              </w:rPr>
              <w:t>7</w:t>
            </w:r>
          </w:p>
        </w:tc>
      </w:tr>
    </w:tbl>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C2761A" w:rsidP="00C2761A">
      <w:pPr>
        <w:pStyle w:val="MeetingTitleAR"/>
        <w:bidi/>
        <w:ind w:right="550"/>
        <w:rPr>
          <w:rtl/>
        </w:rPr>
      </w:pPr>
      <w:r w:rsidRPr="00DC1851">
        <w:rPr>
          <w:rtl/>
        </w:rPr>
        <w:t>اللجنة المعنية بمعايير الويبو</w:t>
      </w:r>
    </w:p>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C2761A" w:rsidP="00C2761A">
      <w:pPr>
        <w:pStyle w:val="MeetingSessionAR"/>
        <w:bidi/>
        <w:rPr>
          <w:rFonts w:ascii="Cambria Math" w:hAnsi="Cambria Math"/>
          <w:rtl/>
        </w:rPr>
      </w:pPr>
      <w:r w:rsidRPr="00DC1851">
        <w:rPr>
          <w:rFonts w:ascii="Cambria Math" w:hAnsi="Cambria Math"/>
          <w:rtl/>
        </w:rPr>
        <w:t xml:space="preserve">الدورة </w:t>
      </w:r>
      <w:r w:rsidRPr="00DC1851">
        <w:rPr>
          <w:rFonts w:ascii="Cambria Math" w:hAnsi="Cambria Math" w:hint="cs"/>
          <w:rtl/>
        </w:rPr>
        <w:t>الخامسة</w:t>
      </w:r>
    </w:p>
    <w:p w:rsidR="00C2761A" w:rsidRPr="00DC1851" w:rsidRDefault="00C2761A" w:rsidP="00C2761A">
      <w:pPr>
        <w:pStyle w:val="MeetingDatesAR"/>
        <w:bidi/>
        <w:rPr>
          <w:rtl/>
        </w:rPr>
      </w:pPr>
      <w:r w:rsidRPr="00DC1851">
        <w:rPr>
          <w:rFonts w:hint="cs"/>
          <w:rtl/>
        </w:rPr>
        <w:t>جنيف، من 29 مايو إلى 2 يونيو 2017</w:t>
      </w:r>
    </w:p>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C2761A" w:rsidP="00C2761A">
      <w:pPr>
        <w:bidi/>
        <w:spacing w:line="360" w:lineRule="exact"/>
        <w:rPr>
          <w:rFonts w:ascii="Arabic Typesetting" w:hAnsi="Arabic Typesetting" w:cs="Arabic Typesetting"/>
          <w:sz w:val="36"/>
          <w:szCs w:val="36"/>
          <w:rtl/>
        </w:rPr>
      </w:pPr>
    </w:p>
    <w:p w:rsidR="00C2761A" w:rsidRPr="00DC1851" w:rsidRDefault="0037158B" w:rsidP="000613A1">
      <w:pPr>
        <w:pStyle w:val="DocumentTitleAR"/>
        <w:bidi/>
        <w:rPr>
          <w:rtl/>
        </w:rPr>
      </w:pPr>
      <w:r w:rsidRPr="00DC1851">
        <w:rPr>
          <w:rFonts w:hint="cs"/>
          <w:rtl/>
        </w:rPr>
        <w:t>مع</w:t>
      </w:r>
      <w:r w:rsidR="000613A1" w:rsidRPr="00DC1851">
        <w:rPr>
          <w:rFonts w:hint="cs"/>
          <w:rtl/>
        </w:rPr>
        <w:t xml:space="preserve">يار الويبو الجديد بشأن تبادل بيانات الوضع القانوني للبراءات بين مكاتب الملكية الصناعية </w:t>
      </w:r>
    </w:p>
    <w:p w:rsidR="00C2761A" w:rsidRPr="00DC1851" w:rsidRDefault="000613A1" w:rsidP="00C2761A">
      <w:pPr>
        <w:pStyle w:val="PreparedbyAR"/>
        <w:bidi/>
        <w:rPr>
          <w:rtl/>
        </w:rPr>
      </w:pPr>
      <w:r w:rsidRPr="00DC1851">
        <w:rPr>
          <w:rFonts w:hint="cs"/>
          <w:rtl/>
        </w:rPr>
        <w:t xml:space="preserve">وثيقة </w:t>
      </w:r>
      <w:r w:rsidR="00C2761A" w:rsidRPr="00DC1851">
        <w:rPr>
          <w:rFonts w:hint="cs"/>
          <w:rtl/>
        </w:rPr>
        <w:t>من إعداد</w:t>
      </w:r>
      <w:r w:rsidRPr="00DC1851">
        <w:rPr>
          <w:rFonts w:hint="cs"/>
          <w:rtl/>
        </w:rPr>
        <w:t xml:space="preserve"> الأمانة</w:t>
      </w:r>
    </w:p>
    <w:p w:rsidR="000613A1" w:rsidRPr="00AC60E1" w:rsidRDefault="000613A1" w:rsidP="00A46BC3">
      <w:pPr>
        <w:pStyle w:val="NumberedParaAR"/>
        <w:numPr>
          <w:ilvl w:val="0"/>
          <w:numId w:val="0"/>
        </w:numPr>
        <w:spacing w:after="60"/>
        <w:rPr>
          <w:sz w:val="40"/>
          <w:szCs w:val="40"/>
          <w:rtl/>
        </w:rPr>
      </w:pPr>
      <w:r w:rsidRPr="00AC60E1">
        <w:rPr>
          <w:rFonts w:hint="cs"/>
          <w:sz w:val="40"/>
          <w:szCs w:val="40"/>
          <w:rtl/>
        </w:rPr>
        <w:t>مقدمة</w:t>
      </w:r>
    </w:p>
    <w:p w:rsidR="00C2761A" w:rsidRPr="00DC1851" w:rsidRDefault="0037158B" w:rsidP="00355029">
      <w:pPr>
        <w:pStyle w:val="NumberedParaAR"/>
        <w:spacing w:after="60"/>
      </w:pPr>
      <w:r w:rsidRPr="00DC1851">
        <w:rPr>
          <w:rFonts w:hint="cs"/>
          <w:rtl/>
        </w:rPr>
        <w:t xml:space="preserve">اتفقت اللجنة المعنية بمعايير الويبو </w:t>
      </w:r>
      <w:r w:rsidR="00BF204A" w:rsidRPr="00DC1851">
        <w:rPr>
          <w:rFonts w:hint="cs"/>
          <w:rtl/>
        </w:rPr>
        <w:t xml:space="preserve">(لجنة المعايير) </w:t>
      </w:r>
      <w:r w:rsidRPr="00DC1851">
        <w:rPr>
          <w:rFonts w:hint="cs"/>
          <w:rtl/>
        </w:rPr>
        <w:t xml:space="preserve">في دورتها الثالثة المعقودة في أبريل 2013 </w:t>
      </w:r>
      <w:r w:rsidRPr="00DC1851">
        <w:rPr>
          <w:rtl/>
        </w:rPr>
        <w:t>على إنشاء المهمة رقم 47: "إعداد اقتراح من أجل إنشاء معيار جديد للويبو لأغراض</w:t>
      </w:r>
      <w:r w:rsidR="00CF650F" w:rsidRPr="00DC1851">
        <w:rPr>
          <w:rtl/>
        </w:rPr>
        <w:t xml:space="preserve"> تبادل مكاتب الملكية الصناعية ل</w:t>
      </w:r>
      <w:r w:rsidRPr="00DC1851">
        <w:rPr>
          <w:rtl/>
        </w:rPr>
        <w:t>بيانات الوضع القانوني للبراءات</w:t>
      </w:r>
      <w:r w:rsidRPr="00DC1851">
        <w:rPr>
          <w:rFonts w:hint="cs"/>
          <w:rtl/>
        </w:rPr>
        <w:t xml:space="preserve">. </w:t>
      </w:r>
      <w:r w:rsidRPr="00DC1851">
        <w:rPr>
          <w:rtl/>
        </w:rPr>
        <w:t>وحينما تُستكمل هذه المهمة، ينبغي توسيع الاقتراح ليشمل العلامات التجارية والتصاميم الصناعية".</w:t>
      </w:r>
      <w:r w:rsidRPr="00DC1851">
        <w:rPr>
          <w:rFonts w:hint="cs"/>
          <w:rtl/>
        </w:rPr>
        <w:t xml:space="preserve"> </w:t>
      </w:r>
      <w:r w:rsidRPr="00DC1851">
        <w:rPr>
          <w:rtl/>
        </w:rPr>
        <w:t xml:space="preserve">وأنشأت </w:t>
      </w:r>
      <w:r w:rsidR="008530AA" w:rsidRPr="00DC1851">
        <w:rPr>
          <w:rFonts w:hint="cs"/>
          <w:rtl/>
        </w:rPr>
        <w:t>لجنة المعايير</w:t>
      </w:r>
      <w:r w:rsidRPr="00DC1851">
        <w:rPr>
          <w:rtl/>
        </w:rPr>
        <w:t xml:space="preserve"> أيضا فرقة العمل المعنية بالوضع القانوني </w:t>
      </w:r>
      <w:r w:rsidR="00204398" w:rsidRPr="00DC1851">
        <w:rPr>
          <w:rFonts w:hint="cs"/>
          <w:rtl/>
        </w:rPr>
        <w:t>(</w:t>
      </w:r>
      <w:r w:rsidR="00204398" w:rsidRPr="00DC1851">
        <w:rPr>
          <w:rtl/>
        </w:rPr>
        <w:t>فرقة العمل</w:t>
      </w:r>
      <w:r w:rsidR="00204398" w:rsidRPr="00DC1851">
        <w:rPr>
          <w:rFonts w:hint="cs"/>
          <w:rtl/>
        </w:rPr>
        <w:t xml:space="preserve">) </w:t>
      </w:r>
      <w:r w:rsidRPr="00DC1851">
        <w:rPr>
          <w:rtl/>
        </w:rPr>
        <w:t>لتضطلع بهذه المهمة، على أن يتولى المكتب الدولي الإشراف على المهمة.</w:t>
      </w:r>
      <w:r w:rsidR="006F2CC8" w:rsidRPr="00DC1851">
        <w:rPr>
          <w:rFonts w:hint="cs"/>
          <w:rtl/>
        </w:rPr>
        <w:t xml:space="preserve"> </w:t>
      </w:r>
      <w:r w:rsidR="005D0805" w:rsidRPr="00DC1851">
        <w:rPr>
          <w:rFonts w:hint="cs"/>
          <w:rtl/>
        </w:rPr>
        <w:t xml:space="preserve">واتفقت </w:t>
      </w:r>
      <w:r w:rsidR="008530AA" w:rsidRPr="00DC1851">
        <w:rPr>
          <w:rFonts w:hint="cs"/>
          <w:rtl/>
        </w:rPr>
        <w:t>لجنة المعايير</w:t>
      </w:r>
      <w:r w:rsidR="00355029" w:rsidRPr="00DC1851">
        <w:rPr>
          <w:rFonts w:hint="cs"/>
          <w:rtl/>
        </w:rPr>
        <w:t xml:space="preserve"> أيضا</w:t>
      </w:r>
      <w:r w:rsidR="005D0805" w:rsidRPr="00DC1851">
        <w:rPr>
          <w:rFonts w:hint="cs"/>
          <w:rtl/>
        </w:rPr>
        <w:t xml:space="preserve"> على ضرورة دعوة فرق العمل الأخرى المعنية ب</w:t>
      </w:r>
      <w:r w:rsidR="005D0805" w:rsidRPr="00DC1851">
        <w:rPr>
          <w:rtl/>
        </w:rPr>
        <w:t>لغة الترميز الموسعة (</w:t>
      </w:r>
      <w:r w:rsidR="005D0805" w:rsidRPr="00DC1851">
        <w:t>XML</w:t>
      </w:r>
      <w:r w:rsidR="005D0805" w:rsidRPr="00DC1851">
        <w:rPr>
          <w:rtl/>
        </w:rPr>
        <w:t>)</w:t>
      </w:r>
      <w:r w:rsidR="005D0805" w:rsidRPr="00DC1851">
        <w:rPr>
          <w:rFonts w:hint="cs"/>
          <w:rtl/>
        </w:rPr>
        <w:t xml:space="preserve"> إلى تطبيق نتيجة عمل </w:t>
      </w:r>
      <w:r w:rsidR="005D0805" w:rsidRPr="00DC1851">
        <w:rPr>
          <w:rtl/>
        </w:rPr>
        <w:t xml:space="preserve">فرقة العمل </w:t>
      </w:r>
      <w:r w:rsidR="005D0805" w:rsidRPr="00DC1851">
        <w:rPr>
          <w:rFonts w:hint="cs"/>
          <w:rtl/>
        </w:rPr>
        <w:t>على لغة الترميز المذكورة وتشغيلها (</w:t>
      </w:r>
      <w:r w:rsidR="005D0805" w:rsidRPr="00DC1851">
        <w:rPr>
          <w:rtl/>
        </w:rPr>
        <w:t xml:space="preserve">انظر الفقرات من 50 إلى 54 من الوثيقة </w:t>
      </w:r>
      <w:r w:rsidR="005D0805" w:rsidRPr="00DC1851">
        <w:t>CWS/3/14</w:t>
      </w:r>
      <w:r w:rsidR="005D0805" w:rsidRPr="00DC1851">
        <w:rPr>
          <w:rFonts w:hint="cs"/>
          <w:rtl/>
        </w:rPr>
        <w:t>).</w:t>
      </w:r>
    </w:p>
    <w:p w:rsidR="00DE7BBB" w:rsidRPr="00DC1851" w:rsidRDefault="00C7492C" w:rsidP="00204398">
      <w:pPr>
        <w:pStyle w:val="NumberedParaAR"/>
      </w:pPr>
      <w:r w:rsidRPr="00DC1851">
        <w:rPr>
          <w:rFonts w:hint="cs"/>
          <w:rtl/>
        </w:rPr>
        <w:t>وعقدت</w:t>
      </w:r>
      <w:r w:rsidR="00AF52D8" w:rsidRPr="00DC1851">
        <w:rPr>
          <w:rtl/>
        </w:rPr>
        <w:t xml:space="preserve"> فرقة العمل </w:t>
      </w:r>
      <w:r w:rsidR="00AF52D8" w:rsidRPr="00DC1851">
        <w:rPr>
          <w:rFonts w:hint="cs"/>
          <w:rtl/>
        </w:rPr>
        <w:t xml:space="preserve">منذ إنشائها عدة </w:t>
      </w:r>
      <w:r w:rsidRPr="00DC1851">
        <w:rPr>
          <w:rFonts w:hint="cs"/>
          <w:rtl/>
        </w:rPr>
        <w:t xml:space="preserve">اجتماعات فعلية </w:t>
      </w:r>
      <w:r w:rsidR="00355029" w:rsidRPr="00DC1851">
        <w:rPr>
          <w:rFonts w:hint="cs"/>
          <w:rtl/>
        </w:rPr>
        <w:t>ونظ</w:t>
      </w:r>
      <w:r w:rsidR="00AF52D8" w:rsidRPr="00DC1851">
        <w:rPr>
          <w:rFonts w:hint="cs"/>
          <w:rtl/>
        </w:rPr>
        <w:t xml:space="preserve">مت مؤتمرات عبر الإنترنت </w:t>
      </w:r>
      <w:r w:rsidR="00460C5D" w:rsidRPr="00DC1851">
        <w:rPr>
          <w:rFonts w:hint="cs"/>
          <w:rtl/>
        </w:rPr>
        <w:t>بهدف إنجاز المهمة. وفي مسعى ل</w:t>
      </w:r>
      <w:r w:rsidRPr="00DC1851">
        <w:rPr>
          <w:rFonts w:hint="cs"/>
          <w:rtl/>
        </w:rPr>
        <w:t xml:space="preserve">إنجاز المهمة، عقد المُشرف على </w:t>
      </w:r>
      <w:r w:rsidR="00460C5D" w:rsidRPr="00DC1851">
        <w:rPr>
          <w:rFonts w:hint="cs"/>
          <w:rtl/>
        </w:rPr>
        <w:t xml:space="preserve">فرقة </w:t>
      </w:r>
      <w:r w:rsidRPr="00DC1851">
        <w:rPr>
          <w:rFonts w:hint="cs"/>
          <w:rtl/>
        </w:rPr>
        <w:t xml:space="preserve">العمل </w:t>
      </w:r>
      <w:r w:rsidR="00460C5D" w:rsidRPr="00DC1851">
        <w:rPr>
          <w:rFonts w:hint="cs"/>
          <w:rtl/>
        </w:rPr>
        <w:t>أربعة اجتماعات فعلية ونظم 13</w:t>
      </w:r>
      <w:r w:rsidR="00355029" w:rsidRPr="00DC1851">
        <w:rPr>
          <w:rFonts w:hint="cs"/>
          <w:rtl/>
        </w:rPr>
        <w:t xml:space="preserve"> مؤتمرا</w:t>
      </w:r>
      <w:r w:rsidR="00460C5D" w:rsidRPr="00DC1851">
        <w:rPr>
          <w:rFonts w:hint="cs"/>
          <w:rtl/>
        </w:rPr>
        <w:t xml:space="preserve"> عبر الإنترنت. </w:t>
      </w:r>
      <w:r w:rsidRPr="00DC1851">
        <w:rPr>
          <w:rFonts w:hint="cs"/>
          <w:rtl/>
        </w:rPr>
        <w:t>وشارك أكثر من 80 خ</w:t>
      </w:r>
      <w:r w:rsidR="00355029" w:rsidRPr="00DC1851">
        <w:rPr>
          <w:rFonts w:hint="cs"/>
          <w:rtl/>
        </w:rPr>
        <w:t>بيرا</w:t>
      </w:r>
      <w:r w:rsidR="00644A38" w:rsidRPr="00DC1851">
        <w:rPr>
          <w:rFonts w:hint="cs"/>
          <w:rtl/>
        </w:rPr>
        <w:t xml:space="preserve"> من 27</w:t>
      </w:r>
      <w:r w:rsidR="00355029" w:rsidRPr="00DC1851">
        <w:rPr>
          <w:rFonts w:hint="cs"/>
          <w:rtl/>
        </w:rPr>
        <w:t xml:space="preserve"> مكتبا</w:t>
      </w:r>
      <w:r w:rsidR="00644A38" w:rsidRPr="00DC1851">
        <w:rPr>
          <w:rFonts w:hint="cs"/>
          <w:rtl/>
        </w:rPr>
        <w:t xml:space="preserve"> للملكية الصناعية و</w:t>
      </w:r>
      <w:r w:rsidR="005C6298" w:rsidRPr="00DC1851">
        <w:rPr>
          <w:rFonts w:hint="cs"/>
          <w:rtl/>
        </w:rPr>
        <w:t xml:space="preserve">من </w:t>
      </w:r>
      <w:r w:rsidR="00644A38" w:rsidRPr="00DC1851">
        <w:rPr>
          <w:rFonts w:hint="cs"/>
          <w:rtl/>
        </w:rPr>
        <w:t xml:space="preserve">مجموعات المستخدمين في مناقشات </w:t>
      </w:r>
      <w:r w:rsidR="005C6298" w:rsidRPr="00DC1851">
        <w:rPr>
          <w:rFonts w:hint="cs"/>
          <w:rtl/>
        </w:rPr>
        <w:t xml:space="preserve">فرقة العمل وساهموا </w:t>
      </w:r>
      <w:r w:rsidR="004A2399" w:rsidRPr="00DC1851">
        <w:rPr>
          <w:rFonts w:hint="cs"/>
          <w:rtl/>
        </w:rPr>
        <w:t xml:space="preserve">في إعداد اقتراح المعيار الجديد. </w:t>
      </w:r>
    </w:p>
    <w:p w:rsidR="009D331A" w:rsidRPr="00DC1851" w:rsidRDefault="00E80886" w:rsidP="000C5DA8">
      <w:pPr>
        <w:pStyle w:val="NumberedParaAR"/>
      </w:pPr>
      <w:r w:rsidRPr="00DC1851">
        <w:rPr>
          <w:rFonts w:hint="cs"/>
          <w:rtl/>
        </w:rPr>
        <w:t xml:space="preserve">وانصبّ تركيز فرقة العمل الرئيسي حتى الآن </w:t>
      </w:r>
      <w:r w:rsidR="000547BC" w:rsidRPr="00DC1851">
        <w:rPr>
          <w:rFonts w:hint="cs"/>
          <w:rtl/>
        </w:rPr>
        <w:t xml:space="preserve">على إعداد اقتراح من أجل </w:t>
      </w:r>
      <w:r w:rsidR="00D92969" w:rsidRPr="00DC1851">
        <w:rPr>
          <w:rFonts w:hint="cs"/>
          <w:rtl/>
        </w:rPr>
        <w:t>وضع</w:t>
      </w:r>
      <w:r w:rsidR="000547BC" w:rsidRPr="00DC1851">
        <w:rPr>
          <w:rtl/>
        </w:rPr>
        <w:t xml:space="preserve"> معيار جديد للويبو</w:t>
      </w:r>
      <w:r w:rsidR="00D92969" w:rsidRPr="00DC1851">
        <w:rPr>
          <w:rFonts w:hint="cs"/>
          <w:rtl/>
        </w:rPr>
        <w:t xml:space="preserve"> </w:t>
      </w:r>
      <w:r w:rsidR="00726C10" w:rsidRPr="00DC1851">
        <w:rPr>
          <w:rFonts w:hint="cs"/>
          <w:rtl/>
        </w:rPr>
        <w:t xml:space="preserve">بشأن بيانات </w:t>
      </w:r>
      <w:r w:rsidR="00726C10" w:rsidRPr="00DC1851">
        <w:rPr>
          <w:rtl/>
        </w:rPr>
        <w:t>الوضع القانوني للبراءات</w:t>
      </w:r>
      <w:r w:rsidR="00726C10" w:rsidRPr="00DC1851">
        <w:rPr>
          <w:rFonts w:hint="cs"/>
          <w:rtl/>
        </w:rPr>
        <w:t xml:space="preserve">. </w:t>
      </w:r>
      <w:r w:rsidR="00355029" w:rsidRPr="00DC1851">
        <w:rPr>
          <w:rFonts w:hint="cs"/>
          <w:rtl/>
        </w:rPr>
        <w:t>ونُظ</w:t>
      </w:r>
      <w:r w:rsidR="0095466C" w:rsidRPr="00DC1851">
        <w:rPr>
          <w:rFonts w:hint="cs"/>
          <w:rtl/>
        </w:rPr>
        <w:t xml:space="preserve">مت المناقشات بشأن تطوير المعيار في مراحل ثلاث. </w:t>
      </w:r>
      <w:r w:rsidR="00355029" w:rsidRPr="00DC1851">
        <w:rPr>
          <w:rFonts w:hint="cs"/>
          <w:rtl/>
        </w:rPr>
        <w:t>ورك</w:t>
      </w:r>
      <w:r w:rsidR="00726C10" w:rsidRPr="00DC1851">
        <w:rPr>
          <w:rFonts w:hint="cs"/>
          <w:rtl/>
        </w:rPr>
        <w:t>زت المرحلة الأولى على تحديد هدف المعيار الجديد ونطاقه وجرت المناقشات في جولة و</w:t>
      </w:r>
      <w:r w:rsidR="004B3570" w:rsidRPr="00DC1851">
        <w:rPr>
          <w:rFonts w:hint="cs"/>
          <w:rtl/>
        </w:rPr>
        <w:t>ا</w:t>
      </w:r>
      <w:r w:rsidR="00726C10" w:rsidRPr="00DC1851">
        <w:rPr>
          <w:rFonts w:hint="cs"/>
          <w:rtl/>
        </w:rPr>
        <w:t>حدة.</w:t>
      </w:r>
      <w:r w:rsidR="00355029" w:rsidRPr="00DC1851">
        <w:rPr>
          <w:rFonts w:hint="cs"/>
          <w:rtl/>
        </w:rPr>
        <w:t xml:space="preserve"> وحد</w:t>
      </w:r>
      <w:r w:rsidR="00D11B21" w:rsidRPr="00DC1851">
        <w:rPr>
          <w:rFonts w:hint="cs"/>
          <w:rtl/>
        </w:rPr>
        <w:t xml:space="preserve">دت المرحلة الثانية </w:t>
      </w:r>
      <w:r w:rsidR="00FE6F66" w:rsidRPr="00DC1851">
        <w:rPr>
          <w:rFonts w:hint="cs"/>
          <w:rtl/>
        </w:rPr>
        <w:t xml:space="preserve">أي </w:t>
      </w:r>
      <w:r w:rsidR="00D11B21" w:rsidRPr="00DC1851">
        <w:rPr>
          <w:rFonts w:hint="cs"/>
          <w:rtl/>
        </w:rPr>
        <w:t xml:space="preserve">بيانات </w:t>
      </w:r>
      <w:r w:rsidR="00FE6F66" w:rsidRPr="00DC1851">
        <w:rPr>
          <w:rFonts w:hint="cs"/>
          <w:rtl/>
        </w:rPr>
        <w:t xml:space="preserve">عن </w:t>
      </w:r>
      <w:r w:rsidR="00D11B21" w:rsidRPr="00DC1851">
        <w:rPr>
          <w:rFonts w:hint="cs"/>
          <w:rtl/>
        </w:rPr>
        <w:t>الوضع القانوني للطلبات وحقوق المل</w:t>
      </w:r>
      <w:r w:rsidR="00355029" w:rsidRPr="00DC1851">
        <w:rPr>
          <w:rFonts w:hint="cs"/>
          <w:rtl/>
        </w:rPr>
        <w:t>كية الصناعية ينبغي تبادلها ونُظ</w:t>
      </w:r>
      <w:r w:rsidR="00D11B21" w:rsidRPr="00DC1851">
        <w:rPr>
          <w:rFonts w:hint="cs"/>
          <w:rtl/>
        </w:rPr>
        <w:t>مت في ثماني جولات</w:t>
      </w:r>
      <w:r w:rsidR="00FE6F66" w:rsidRPr="00DC1851">
        <w:rPr>
          <w:rFonts w:hint="cs"/>
          <w:rtl/>
        </w:rPr>
        <w:t xml:space="preserve"> من المناقشات</w:t>
      </w:r>
      <w:r w:rsidR="00355029" w:rsidRPr="00DC1851">
        <w:rPr>
          <w:rFonts w:hint="cs"/>
          <w:rtl/>
        </w:rPr>
        <w:t>. وحد</w:t>
      </w:r>
      <w:r w:rsidR="00D11B21" w:rsidRPr="00DC1851">
        <w:rPr>
          <w:rFonts w:hint="cs"/>
          <w:rtl/>
        </w:rPr>
        <w:t xml:space="preserve">دت المرحلة الثالثة </w:t>
      </w:r>
      <w:r w:rsidR="009E2F8F" w:rsidRPr="00DC1851">
        <w:rPr>
          <w:rFonts w:hint="cs"/>
          <w:rtl/>
        </w:rPr>
        <w:t>كيفية هيكلة بيان</w:t>
      </w:r>
      <w:r w:rsidR="00355029" w:rsidRPr="00DC1851">
        <w:rPr>
          <w:rFonts w:hint="cs"/>
          <w:rtl/>
        </w:rPr>
        <w:t>ات الوضع القانوني وتبادلها ونُظ</w:t>
      </w:r>
      <w:r w:rsidR="009E2F8F" w:rsidRPr="00DC1851">
        <w:rPr>
          <w:rFonts w:hint="cs"/>
          <w:rtl/>
        </w:rPr>
        <w:t xml:space="preserve">مت في خمس جولات شملت عدة جولات </w:t>
      </w:r>
      <w:r w:rsidR="00A205B3" w:rsidRPr="00DC1851">
        <w:rPr>
          <w:rFonts w:hint="cs"/>
          <w:rtl/>
        </w:rPr>
        <w:t>رسم للخرائط</w:t>
      </w:r>
      <w:r w:rsidR="009D331A" w:rsidRPr="00DC1851">
        <w:rPr>
          <w:rFonts w:hint="cs"/>
          <w:rtl/>
        </w:rPr>
        <w:t xml:space="preserve"> عكف في إطاره</w:t>
      </w:r>
      <w:r w:rsidR="000C5DA8" w:rsidRPr="00DC1851">
        <w:rPr>
          <w:rFonts w:hint="cs"/>
          <w:rtl/>
        </w:rPr>
        <w:t>ا</w:t>
      </w:r>
      <w:r w:rsidR="009D331A" w:rsidRPr="00DC1851">
        <w:rPr>
          <w:rFonts w:hint="cs"/>
          <w:rtl/>
        </w:rPr>
        <w:t xml:space="preserve"> أعضاء فرقة العمل على </w:t>
      </w:r>
      <w:r w:rsidR="00A205B3" w:rsidRPr="00DC1851">
        <w:rPr>
          <w:rFonts w:hint="cs"/>
          <w:rtl/>
        </w:rPr>
        <w:t>رسم خارطة</w:t>
      </w:r>
      <w:r w:rsidR="009D331A" w:rsidRPr="00DC1851">
        <w:rPr>
          <w:rFonts w:hint="cs"/>
          <w:rtl/>
        </w:rPr>
        <w:t xml:space="preserve"> الأحداث الوطنية والإقليمية المتعلقة بالوضع القانوني </w:t>
      </w:r>
      <w:r w:rsidR="00A205B3" w:rsidRPr="00DC1851">
        <w:rPr>
          <w:rFonts w:hint="cs"/>
          <w:rtl/>
        </w:rPr>
        <w:t>وفق</w:t>
      </w:r>
      <w:r w:rsidR="009D331A" w:rsidRPr="00DC1851">
        <w:rPr>
          <w:rFonts w:hint="cs"/>
          <w:rtl/>
        </w:rPr>
        <w:t xml:space="preserve"> الأحداث </w:t>
      </w:r>
      <w:r w:rsidR="00355029" w:rsidRPr="00DC1851">
        <w:rPr>
          <w:rFonts w:hint="cs"/>
          <w:rtl/>
        </w:rPr>
        <w:t>المُحد</w:t>
      </w:r>
      <w:r w:rsidR="000C5DA8" w:rsidRPr="00DC1851">
        <w:rPr>
          <w:rFonts w:hint="cs"/>
          <w:rtl/>
        </w:rPr>
        <w:t>دة في</w:t>
      </w:r>
      <w:r w:rsidR="009D331A" w:rsidRPr="00DC1851">
        <w:rPr>
          <w:rFonts w:hint="cs"/>
          <w:rtl/>
        </w:rPr>
        <w:t xml:space="preserve"> مشروع المعيار. </w:t>
      </w:r>
    </w:p>
    <w:p w:rsidR="00286A6F" w:rsidRPr="00DC1851" w:rsidRDefault="009D331A" w:rsidP="00355029">
      <w:pPr>
        <w:pStyle w:val="NumberedParaAR"/>
      </w:pPr>
      <w:r w:rsidRPr="00DC1851">
        <w:rPr>
          <w:rFonts w:hint="cs"/>
          <w:rtl/>
        </w:rPr>
        <w:lastRenderedPageBreak/>
        <w:t xml:space="preserve">وأعدّ المكتب الدولي، بصفته </w:t>
      </w:r>
      <w:r w:rsidRPr="00DC1851">
        <w:rPr>
          <w:rtl/>
        </w:rPr>
        <w:t xml:space="preserve">مشرفاً على </w:t>
      </w:r>
      <w:r w:rsidR="00F3174D" w:rsidRPr="00DC1851">
        <w:rPr>
          <w:rFonts w:hint="cs"/>
          <w:rtl/>
        </w:rPr>
        <w:t xml:space="preserve">المهمة، ثماني نسخ من </w:t>
      </w:r>
      <w:r w:rsidRPr="00DC1851">
        <w:rPr>
          <w:rFonts w:hint="cs"/>
          <w:rtl/>
        </w:rPr>
        <w:t xml:space="preserve">مشروع المعيار استند فيها إلى المساهمات التي تلقاها من أعضاء فرقة العمل. </w:t>
      </w:r>
      <w:r w:rsidR="006D36DA" w:rsidRPr="00DC1851">
        <w:rPr>
          <w:rFonts w:hint="cs"/>
          <w:rtl/>
        </w:rPr>
        <w:t>وتضمن كل مشروع من المشاريع الثمانية تعديلات متعددة ودعا المكتب أعضاء فرقة العمل إلى</w:t>
      </w:r>
      <w:r w:rsidR="00053C1F" w:rsidRPr="00DC1851">
        <w:rPr>
          <w:rFonts w:hint="eastAsia"/>
          <w:rtl/>
        </w:rPr>
        <w:t> </w:t>
      </w:r>
      <w:r w:rsidR="006D36DA" w:rsidRPr="00DC1851">
        <w:rPr>
          <w:rFonts w:hint="cs"/>
          <w:rtl/>
        </w:rPr>
        <w:t xml:space="preserve">التعليق على كل مشروع. وتضمنت النسخة اللاحقة من المشروع التعليقات التي </w:t>
      </w:r>
      <w:r w:rsidR="00286A6F" w:rsidRPr="00DC1851">
        <w:rPr>
          <w:rFonts w:hint="cs"/>
          <w:rtl/>
        </w:rPr>
        <w:t xml:space="preserve">قدّمها </w:t>
      </w:r>
      <w:r w:rsidR="006D36DA" w:rsidRPr="00DC1851">
        <w:rPr>
          <w:rFonts w:hint="cs"/>
          <w:rtl/>
        </w:rPr>
        <w:t>أعضاء فرقة العمل</w:t>
      </w:r>
      <w:r w:rsidR="00286A6F" w:rsidRPr="00DC1851">
        <w:rPr>
          <w:rFonts w:hint="cs"/>
          <w:rtl/>
        </w:rPr>
        <w:t xml:space="preserve"> في الجولة</w:t>
      </w:r>
      <w:r w:rsidR="00355029" w:rsidRPr="00DC1851">
        <w:rPr>
          <w:rFonts w:hint="eastAsia"/>
        </w:rPr>
        <w:t> </w:t>
      </w:r>
      <w:r w:rsidR="00286A6F" w:rsidRPr="00DC1851">
        <w:rPr>
          <w:rFonts w:hint="cs"/>
          <w:rtl/>
        </w:rPr>
        <w:t xml:space="preserve">السابقة. </w:t>
      </w:r>
    </w:p>
    <w:p w:rsidR="003120A7" w:rsidRPr="00DC1851" w:rsidRDefault="003120A7" w:rsidP="00A46BC3">
      <w:pPr>
        <w:pStyle w:val="NumberedParaAR"/>
        <w:numPr>
          <w:ilvl w:val="0"/>
          <w:numId w:val="0"/>
        </w:numPr>
        <w:spacing w:after="60"/>
        <w:rPr>
          <w:sz w:val="40"/>
          <w:szCs w:val="40"/>
        </w:rPr>
      </w:pPr>
      <w:r w:rsidRPr="00DC1851">
        <w:rPr>
          <w:rFonts w:hint="cs"/>
          <w:sz w:val="40"/>
          <w:szCs w:val="40"/>
          <w:rtl/>
        </w:rPr>
        <w:t xml:space="preserve">معيار الويبو الجديد المقترح </w:t>
      </w:r>
    </w:p>
    <w:p w:rsidR="00740A52" w:rsidRPr="00DC1851" w:rsidRDefault="009D30D3" w:rsidP="009506AF">
      <w:pPr>
        <w:pStyle w:val="NumberedParaAR"/>
      </w:pPr>
      <w:r w:rsidRPr="00DC1851">
        <w:rPr>
          <w:rFonts w:hint="cs"/>
          <w:rtl/>
        </w:rPr>
        <w:t xml:space="preserve">أعدّت فرقة العمل في إطار </w:t>
      </w:r>
      <w:r w:rsidRPr="00DC1851">
        <w:rPr>
          <w:rtl/>
        </w:rPr>
        <w:t>المهمة رقم 47</w:t>
      </w:r>
      <w:r w:rsidR="00D954A2" w:rsidRPr="00DC1851">
        <w:rPr>
          <w:rFonts w:hint="cs"/>
          <w:rtl/>
        </w:rPr>
        <w:t xml:space="preserve"> مشروع توصية بشأن </w:t>
      </w:r>
      <w:r w:rsidR="009506AF" w:rsidRPr="00DC1851">
        <w:rPr>
          <w:rFonts w:hint="cs"/>
          <w:rtl/>
        </w:rPr>
        <w:t xml:space="preserve">تبادل </w:t>
      </w:r>
      <w:r w:rsidRPr="00DC1851">
        <w:rPr>
          <w:rFonts w:hint="cs"/>
          <w:rtl/>
        </w:rPr>
        <w:t>بيانات الوضع القانوني للبراءات</w:t>
      </w:r>
      <w:r w:rsidR="00B32589" w:rsidRPr="00DC1851">
        <w:rPr>
          <w:rFonts w:hint="cs"/>
          <w:rtl/>
        </w:rPr>
        <w:t xml:space="preserve"> لكي تنظر فيه لجنة </w:t>
      </w:r>
      <w:r w:rsidR="00D954A2" w:rsidRPr="00DC1851">
        <w:rPr>
          <w:rFonts w:hint="cs"/>
          <w:rtl/>
        </w:rPr>
        <w:t>ال</w:t>
      </w:r>
      <w:r w:rsidR="00B32589" w:rsidRPr="00DC1851">
        <w:rPr>
          <w:rFonts w:hint="cs"/>
          <w:rtl/>
        </w:rPr>
        <w:t xml:space="preserve">معايير وتعتمده كمعيار جديد للويبو. </w:t>
      </w:r>
      <w:r w:rsidR="00760157" w:rsidRPr="00DC1851">
        <w:rPr>
          <w:rFonts w:hint="cs"/>
          <w:rtl/>
        </w:rPr>
        <w:t xml:space="preserve">والاسم المقترح للمعيار الجديد هو </w:t>
      </w:r>
      <w:r w:rsidR="00F80EF8" w:rsidRPr="00DC1851">
        <w:rPr>
          <w:rFonts w:hint="cs"/>
          <w:rtl/>
        </w:rPr>
        <w:t>"</w:t>
      </w:r>
      <w:r w:rsidR="00760157" w:rsidRPr="00DC1851">
        <w:rPr>
          <w:rFonts w:hint="cs"/>
          <w:rtl/>
        </w:rPr>
        <w:t>معيار الويبو</w:t>
      </w:r>
      <w:r w:rsidR="00760157" w:rsidRPr="00DC1851">
        <w:t>ST.27</w:t>
      </w:r>
      <w:r w:rsidR="00B32589" w:rsidRPr="00DC1851">
        <w:rPr>
          <w:rFonts w:hint="cs"/>
          <w:rtl/>
        </w:rPr>
        <w:t xml:space="preserve"> </w:t>
      </w:r>
      <w:r w:rsidR="00F80EF8" w:rsidRPr="00DC1851">
        <w:rPr>
          <w:rFonts w:hint="cs"/>
          <w:rtl/>
        </w:rPr>
        <w:t>- توصية بشأن تب</w:t>
      </w:r>
      <w:r w:rsidR="009506AF" w:rsidRPr="00DC1851">
        <w:rPr>
          <w:rFonts w:hint="cs"/>
          <w:rtl/>
        </w:rPr>
        <w:t xml:space="preserve">ادل </w:t>
      </w:r>
      <w:r w:rsidR="00F80EF8" w:rsidRPr="00DC1851">
        <w:rPr>
          <w:rFonts w:hint="cs"/>
          <w:rtl/>
        </w:rPr>
        <w:t>بيانات الوضع القانوني للبراءات".</w:t>
      </w:r>
      <w:r w:rsidR="00740A52" w:rsidRPr="00DC1851">
        <w:rPr>
          <w:rFonts w:hint="cs"/>
          <w:rtl/>
        </w:rPr>
        <w:t xml:space="preserve"> ويرد معيار الويب</w:t>
      </w:r>
      <w:r w:rsidR="0090287C" w:rsidRPr="00DC1851">
        <w:rPr>
          <w:rFonts w:hint="cs"/>
          <w:rtl/>
        </w:rPr>
        <w:t>و</w:t>
      </w:r>
      <w:r w:rsidR="00740A52" w:rsidRPr="00DC1851">
        <w:rPr>
          <w:rFonts w:hint="cs"/>
          <w:rtl/>
        </w:rPr>
        <w:t xml:space="preserve"> الجديد المقترح الذي يتألف من المتن الرئيسي والمرفقات من 1 إلى 4 في مرفق هذه الوثيقة. </w:t>
      </w:r>
    </w:p>
    <w:p w:rsidR="006E59D7" w:rsidRPr="00DC1851" w:rsidRDefault="006E59D7" w:rsidP="00355029">
      <w:pPr>
        <w:pStyle w:val="NumberedParaAR"/>
        <w:numPr>
          <w:ilvl w:val="0"/>
          <w:numId w:val="0"/>
        </w:numPr>
        <w:spacing w:after="60"/>
        <w:rPr>
          <w:u w:val="single"/>
        </w:rPr>
      </w:pPr>
      <w:r w:rsidRPr="00DC1851">
        <w:rPr>
          <w:rFonts w:hint="cs"/>
          <w:u w:val="single"/>
          <w:rtl/>
        </w:rPr>
        <w:t>الهدف</w:t>
      </w:r>
    </w:p>
    <w:p w:rsidR="00F536FA" w:rsidRPr="00DC1851" w:rsidRDefault="004857AF" w:rsidP="00355029">
      <w:pPr>
        <w:pStyle w:val="NumberedParaAR"/>
        <w:spacing w:after="60"/>
      </w:pPr>
      <w:r w:rsidRPr="00DC1851">
        <w:rPr>
          <w:rFonts w:hint="cs"/>
          <w:rtl/>
        </w:rPr>
        <w:t xml:space="preserve">إن توفر معلومات محدّثة وموثوقة ومفهومة عن الوضع القانوني لحقوق الملكية الفكرية أمر ضروري </w:t>
      </w:r>
      <w:r w:rsidR="00913722" w:rsidRPr="00DC1851">
        <w:rPr>
          <w:rFonts w:hint="cs"/>
          <w:rtl/>
        </w:rPr>
        <w:t>لكي يتلافى الأفراد</w:t>
      </w:r>
      <w:r w:rsidRPr="00DC1851">
        <w:rPr>
          <w:rFonts w:hint="cs"/>
          <w:rtl/>
        </w:rPr>
        <w:t xml:space="preserve"> </w:t>
      </w:r>
      <w:r w:rsidRPr="00DC1851">
        <w:rPr>
          <w:rtl/>
        </w:rPr>
        <w:t>التعدي على حقوق الملكية الفكرية.</w:t>
      </w:r>
      <w:r w:rsidRPr="00DC1851">
        <w:rPr>
          <w:rFonts w:hint="cs"/>
          <w:rtl/>
        </w:rPr>
        <w:t xml:space="preserve"> </w:t>
      </w:r>
      <w:r w:rsidR="00362049" w:rsidRPr="00DC1851">
        <w:rPr>
          <w:rFonts w:hint="cs"/>
          <w:rtl/>
        </w:rPr>
        <w:t xml:space="preserve">وتوفر </w:t>
      </w:r>
      <w:r w:rsidR="00362049" w:rsidRPr="00DC1851">
        <w:rPr>
          <w:rtl/>
        </w:rPr>
        <w:t>مكاتب الملكية الصناعية</w:t>
      </w:r>
      <w:r w:rsidR="00362049" w:rsidRPr="00DC1851">
        <w:rPr>
          <w:rFonts w:hint="cs"/>
          <w:rtl/>
        </w:rPr>
        <w:t xml:space="preserve"> هذه المعلومات في الوقت الراهن</w:t>
      </w:r>
      <w:r w:rsidR="002622F6" w:rsidRPr="00DC1851">
        <w:rPr>
          <w:rFonts w:hint="cs"/>
          <w:rtl/>
        </w:rPr>
        <w:t xml:space="preserve"> في أنساق ولغات مختلفة، لكن بشكل غير متسق وفي توقيت غير مناسب بسبب الفروقات بين القوانين والممارسات الوطنية والإقليمية الخاصة بالبراءات. </w:t>
      </w:r>
      <w:r w:rsidR="000F74B3" w:rsidRPr="00DC1851">
        <w:rPr>
          <w:rFonts w:hint="cs"/>
          <w:rtl/>
        </w:rPr>
        <w:t xml:space="preserve">والغرض من المعيار المقترح تعزيز التبادل الفعال </w:t>
      </w:r>
      <w:r w:rsidR="004130C8" w:rsidRPr="00DC1851">
        <w:rPr>
          <w:rFonts w:hint="cs"/>
          <w:rtl/>
        </w:rPr>
        <w:t xml:space="preserve">والمتناسق </w:t>
      </w:r>
      <w:r w:rsidR="000F74B3" w:rsidRPr="00DC1851">
        <w:rPr>
          <w:rFonts w:hint="cs"/>
          <w:rtl/>
        </w:rPr>
        <w:t xml:space="preserve">لبيانات الوضع القانوني للبراءات </w:t>
      </w:r>
      <w:r w:rsidR="004130C8" w:rsidRPr="00DC1851">
        <w:rPr>
          <w:rFonts w:hint="cs"/>
          <w:rtl/>
        </w:rPr>
        <w:t>بين</w:t>
      </w:r>
      <w:r w:rsidR="004130C8" w:rsidRPr="00DC1851">
        <w:rPr>
          <w:rtl/>
        </w:rPr>
        <w:t xml:space="preserve"> مكاتب الملكية الصناعية</w:t>
      </w:r>
      <w:r w:rsidR="004130C8" w:rsidRPr="00DC1851">
        <w:rPr>
          <w:rFonts w:hint="cs"/>
          <w:rtl/>
        </w:rPr>
        <w:t xml:space="preserve"> </w:t>
      </w:r>
      <w:r w:rsidR="00D72F79" w:rsidRPr="00DC1851">
        <w:rPr>
          <w:rFonts w:hint="cs"/>
          <w:rtl/>
        </w:rPr>
        <w:t>بغية تيسير وصول هذه المكاتب ومستخدمي معلومات الملكية الفكرية وموفري بيانات الملكية الفكرية والجمهور والجهات الأخرى المعنية إلى هذه البيانات. ويُراد من هذا المعيار</w:t>
      </w:r>
      <w:r w:rsidR="00384487" w:rsidRPr="00DC1851">
        <w:rPr>
          <w:rFonts w:hint="cs"/>
          <w:rtl/>
        </w:rPr>
        <w:t xml:space="preserve"> </w:t>
      </w:r>
      <w:r w:rsidR="009C40A8" w:rsidRPr="00DC1851">
        <w:rPr>
          <w:rFonts w:hint="cs"/>
          <w:rtl/>
        </w:rPr>
        <w:t xml:space="preserve">تحسين توفّر </w:t>
      </w:r>
      <w:r w:rsidR="0011193E" w:rsidRPr="00DC1851">
        <w:rPr>
          <w:rFonts w:hint="cs"/>
          <w:rtl/>
        </w:rPr>
        <w:t>بيانات</w:t>
      </w:r>
      <w:r w:rsidR="009C40A8" w:rsidRPr="00DC1851">
        <w:rPr>
          <w:rFonts w:hint="cs"/>
          <w:rtl/>
        </w:rPr>
        <w:t xml:space="preserve"> الوضع القانوني للبراءات وموثوقيتها وقابلية مقارنتها في جميع أنحاء العالم وبتوقيت مناسب. </w:t>
      </w:r>
    </w:p>
    <w:p w:rsidR="000F1869" w:rsidRPr="00DC1851" w:rsidRDefault="000F1869" w:rsidP="00355029">
      <w:pPr>
        <w:pStyle w:val="NumberedParaAR"/>
        <w:numPr>
          <w:ilvl w:val="0"/>
          <w:numId w:val="0"/>
        </w:numPr>
        <w:spacing w:after="60"/>
        <w:rPr>
          <w:u w:val="single"/>
        </w:rPr>
      </w:pPr>
      <w:r w:rsidRPr="00DC1851">
        <w:rPr>
          <w:rFonts w:hint="cs"/>
          <w:u w:val="single"/>
          <w:rtl/>
        </w:rPr>
        <w:t>النطاق</w:t>
      </w:r>
    </w:p>
    <w:p w:rsidR="00C56E9C" w:rsidRPr="00DC1851" w:rsidRDefault="00355029" w:rsidP="000F1869">
      <w:pPr>
        <w:pStyle w:val="NumberedParaAR"/>
      </w:pPr>
      <w:r w:rsidRPr="00DC1851">
        <w:rPr>
          <w:rFonts w:hint="cs"/>
          <w:rtl/>
        </w:rPr>
        <w:t>نظرا</w:t>
      </w:r>
      <w:r w:rsidR="000F1869" w:rsidRPr="00DC1851">
        <w:rPr>
          <w:rFonts w:hint="cs"/>
          <w:rtl/>
        </w:rPr>
        <w:t xml:space="preserve"> إلى تنوع قوانين الملكية الفكرية وممارساتها في الولايات القضائية المختلفة، فلا يُقصد من المعيار المقترح مجانسة الشروط الإجرائية والموضوعية التي تنص عليها القوانين واللوائح الوطنية/الإقليمية المتعلقة بالبراءات. </w:t>
      </w:r>
    </w:p>
    <w:p w:rsidR="00083441" w:rsidRPr="00DC1851" w:rsidRDefault="00C56E9C" w:rsidP="001D29F4">
      <w:pPr>
        <w:pStyle w:val="NumberedParaAR"/>
      </w:pPr>
      <w:r w:rsidRPr="00DC1851">
        <w:rPr>
          <w:rFonts w:hint="cs"/>
          <w:rtl/>
        </w:rPr>
        <w:t xml:space="preserve">ويُحدّد المعيار المقترح أحداث الوضع القانوني التي يمكن أن </w:t>
      </w:r>
      <w:r w:rsidR="00BD47D7" w:rsidRPr="00DC1851">
        <w:rPr>
          <w:rFonts w:hint="cs"/>
          <w:rtl/>
        </w:rPr>
        <w:t>تحصل</w:t>
      </w:r>
      <w:r w:rsidRPr="00DC1851">
        <w:rPr>
          <w:rFonts w:hint="cs"/>
          <w:rtl/>
        </w:rPr>
        <w:t xml:space="preserve"> في </w:t>
      </w:r>
      <w:r w:rsidRPr="00DC1851">
        <w:rPr>
          <w:rtl/>
        </w:rPr>
        <w:t>دورة حياة</w:t>
      </w:r>
      <w:r w:rsidRPr="00DC1851">
        <w:rPr>
          <w:rFonts w:hint="cs"/>
          <w:rtl/>
        </w:rPr>
        <w:t xml:space="preserve"> براءة أو</w:t>
      </w:r>
      <w:r w:rsidRPr="00DC1851">
        <w:rPr>
          <w:rtl/>
        </w:rPr>
        <w:t xml:space="preserve"> شهادة </w:t>
      </w:r>
      <w:r w:rsidRPr="00DC1851">
        <w:rPr>
          <w:rFonts w:hint="cs"/>
          <w:rtl/>
        </w:rPr>
        <w:t>ح</w:t>
      </w:r>
      <w:r w:rsidRPr="00DC1851">
        <w:rPr>
          <w:rtl/>
        </w:rPr>
        <w:t>ماية تكميلية</w:t>
      </w:r>
      <w:r w:rsidRPr="00DC1851">
        <w:rPr>
          <w:rFonts w:hint="cs"/>
          <w:rtl/>
        </w:rPr>
        <w:t xml:space="preserve"> </w:t>
      </w:r>
      <w:r w:rsidR="00355029" w:rsidRPr="00DC1851">
        <w:rPr>
          <w:rFonts w:hint="cs"/>
          <w:rtl/>
        </w:rPr>
        <w:t>استنادا</w:t>
      </w:r>
      <w:r w:rsidR="00EA2F79" w:rsidRPr="00DC1851">
        <w:rPr>
          <w:rFonts w:hint="cs"/>
          <w:rtl/>
        </w:rPr>
        <w:t xml:space="preserve"> إلى النموذج الشامل لمعالجة البراءات/شهادات الحماية التكميلية المتفق عليه. وتعريف الأحداث واسع النطاق </w:t>
      </w:r>
      <w:r w:rsidR="00BD47D7" w:rsidRPr="00DC1851">
        <w:rPr>
          <w:rFonts w:hint="cs"/>
          <w:rtl/>
        </w:rPr>
        <w:t>بما يتيح ت</w:t>
      </w:r>
      <w:r w:rsidR="00EA2F79" w:rsidRPr="00DC1851">
        <w:rPr>
          <w:rFonts w:hint="cs"/>
          <w:rtl/>
        </w:rPr>
        <w:t>غط</w:t>
      </w:r>
      <w:r w:rsidR="00BD47D7" w:rsidRPr="00DC1851">
        <w:rPr>
          <w:rFonts w:hint="cs"/>
          <w:rtl/>
        </w:rPr>
        <w:t>ية</w:t>
      </w:r>
      <w:r w:rsidR="00EA2F79" w:rsidRPr="00DC1851">
        <w:rPr>
          <w:rFonts w:hint="cs"/>
          <w:rtl/>
        </w:rPr>
        <w:t xml:space="preserve"> ممارسات مكاتب الملكية الصناعية المختلفة</w:t>
      </w:r>
      <w:r w:rsidR="006A00E9" w:rsidRPr="00DC1851">
        <w:rPr>
          <w:rFonts w:hint="cs"/>
          <w:rtl/>
        </w:rPr>
        <w:t>،</w:t>
      </w:r>
      <w:r w:rsidR="00EA2F79" w:rsidRPr="00DC1851">
        <w:rPr>
          <w:rFonts w:hint="cs"/>
          <w:rtl/>
        </w:rPr>
        <w:t xml:space="preserve"> على تنوعها. </w:t>
      </w:r>
      <w:r w:rsidR="00083441" w:rsidRPr="00DC1851">
        <w:rPr>
          <w:rFonts w:hint="cs"/>
          <w:rtl/>
        </w:rPr>
        <w:t>وي</w:t>
      </w:r>
      <w:r w:rsidR="001D29F4" w:rsidRPr="00DC1851">
        <w:rPr>
          <w:rFonts w:hint="cs"/>
          <w:rtl/>
        </w:rPr>
        <w:t>وفر</w:t>
      </w:r>
      <w:r w:rsidR="00355029" w:rsidRPr="00DC1851">
        <w:rPr>
          <w:rFonts w:hint="cs"/>
          <w:rtl/>
        </w:rPr>
        <w:t xml:space="preserve"> المعيار المقترح رموزا</w:t>
      </w:r>
      <w:r w:rsidR="00083441" w:rsidRPr="00DC1851">
        <w:rPr>
          <w:rFonts w:hint="cs"/>
          <w:rtl/>
        </w:rPr>
        <w:t xml:space="preserve"> يمكن استخدامها من أجل تحديد مباشر للوضع القانوني لبراءة أو شهادة حماية تكميلية. </w:t>
      </w:r>
    </w:p>
    <w:p w:rsidR="001826FC" w:rsidRPr="00DC1851" w:rsidRDefault="00355029" w:rsidP="009506AF">
      <w:pPr>
        <w:pStyle w:val="NumberedParaAR"/>
      </w:pPr>
      <w:r w:rsidRPr="00DC1851">
        <w:rPr>
          <w:rFonts w:hint="cs"/>
          <w:rtl/>
        </w:rPr>
        <w:t>ويُحدّد المعيار الجديد أيضا</w:t>
      </w:r>
      <w:r w:rsidR="009F62F4" w:rsidRPr="00DC1851">
        <w:rPr>
          <w:rFonts w:hint="cs"/>
          <w:rtl/>
        </w:rPr>
        <w:t xml:space="preserve"> هيكل </w:t>
      </w:r>
      <w:r w:rsidR="009506AF" w:rsidRPr="00DC1851">
        <w:rPr>
          <w:rFonts w:hint="cs"/>
          <w:rtl/>
        </w:rPr>
        <w:t xml:space="preserve">البيانات الذي سيُستخدم لتبادل </w:t>
      </w:r>
      <w:r w:rsidR="009F62F4" w:rsidRPr="00DC1851">
        <w:rPr>
          <w:rFonts w:hint="cs"/>
          <w:rtl/>
        </w:rPr>
        <w:t xml:space="preserve">بيانات الوضع القانوني في نسق </w:t>
      </w:r>
      <w:r w:rsidR="002412AC" w:rsidRPr="00DC1851">
        <w:rPr>
          <w:rFonts w:hint="cs"/>
          <w:rtl/>
        </w:rPr>
        <w:t>إ</w:t>
      </w:r>
      <w:r w:rsidR="009F62F4" w:rsidRPr="00DC1851">
        <w:rPr>
          <w:rFonts w:hint="cs"/>
          <w:rtl/>
        </w:rPr>
        <w:t>لكتروني</w:t>
      </w:r>
      <w:r w:rsidR="00DF168F" w:rsidRPr="00DC1851">
        <w:rPr>
          <w:rFonts w:hint="cs"/>
          <w:rtl/>
        </w:rPr>
        <w:t xml:space="preserve"> </w:t>
      </w:r>
      <w:r w:rsidR="003C72BB" w:rsidRPr="00DC1851">
        <w:rPr>
          <w:rFonts w:hint="cs"/>
          <w:rtl/>
        </w:rPr>
        <w:t xml:space="preserve">بين مكاتب الملكية الصناعية والبيانات المرتبطة بالأحداث المُحدّدة ومبادئ توجيهية </w:t>
      </w:r>
      <w:r w:rsidR="001826FC" w:rsidRPr="00DC1851">
        <w:rPr>
          <w:rFonts w:hint="cs"/>
          <w:rtl/>
        </w:rPr>
        <w:t xml:space="preserve">لفائدة مكاتب الملكية الصناعية تسمح لها برسم خارطة أحداثها الوطنية/الإقليمية وفق الأحداث الواردة في المعيار المقترح. </w:t>
      </w:r>
    </w:p>
    <w:p w:rsidR="00605EE7" w:rsidRPr="00DC1851" w:rsidRDefault="00605EE7" w:rsidP="00605EE7">
      <w:pPr>
        <w:pStyle w:val="NumberedParaAR"/>
        <w:numPr>
          <w:ilvl w:val="0"/>
          <w:numId w:val="0"/>
        </w:numPr>
        <w:rPr>
          <w:u w:val="single"/>
        </w:rPr>
      </w:pPr>
      <w:r w:rsidRPr="00DC1851">
        <w:rPr>
          <w:rFonts w:hint="cs"/>
          <w:u w:val="single"/>
          <w:rtl/>
        </w:rPr>
        <w:t>النموذج الشامل لمعالجة البراءات/شهادات الحماية التكميلية</w:t>
      </w:r>
    </w:p>
    <w:p w:rsidR="001F58D5" w:rsidRPr="00DC1851" w:rsidRDefault="00363C9A" w:rsidP="0039453A">
      <w:pPr>
        <w:pStyle w:val="NumberedParaAR"/>
      </w:pPr>
      <w:r w:rsidRPr="00DC1851">
        <w:rPr>
          <w:rFonts w:hint="cs"/>
          <w:rtl/>
        </w:rPr>
        <w:t>نظرا</w:t>
      </w:r>
      <w:r w:rsidR="00913DCF" w:rsidRPr="00DC1851">
        <w:rPr>
          <w:rFonts w:hint="cs"/>
          <w:rtl/>
        </w:rPr>
        <w:t xml:space="preserve"> إلى التنوع الكبير لقوانين معالجة البراءات و</w:t>
      </w:r>
      <w:r w:rsidR="00913DCF" w:rsidRPr="00DC1851">
        <w:rPr>
          <w:rtl/>
        </w:rPr>
        <w:t>شهاد</w:t>
      </w:r>
      <w:r w:rsidR="00913DCF" w:rsidRPr="00DC1851">
        <w:rPr>
          <w:rFonts w:hint="cs"/>
          <w:rtl/>
        </w:rPr>
        <w:t>ات</w:t>
      </w:r>
      <w:r w:rsidR="00913DCF" w:rsidRPr="00DC1851">
        <w:rPr>
          <w:rtl/>
        </w:rPr>
        <w:t xml:space="preserve"> </w:t>
      </w:r>
      <w:r w:rsidR="00913DCF" w:rsidRPr="00DC1851">
        <w:rPr>
          <w:rFonts w:hint="cs"/>
          <w:rtl/>
        </w:rPr>
        <w:t>الح</w:t>
      </w:r>
      <w:r w:rsidR="00913DCF" w:rsidRPr="00DC1851">
        <w:rPr>
          <w:rtl/>
        </w:rPr>
        <w:t xml:space="preserve">ماية </w:t>
      </w:r>
      <w:r w:rsidR="00913DCF" w:rsidRPr="00DC1851">
        <w:rPr>
          <w:rFonts w:hint="cs"/>
          <w:rtl/>
        </w:rPr>
        <w:t>ال</w:t>
      </w:r>
      <w:r w:rsidR="00913DCF" w:rsidRPr="00DC1851">
        <w:rPr>
          <w:rtl/>
        </w:rPr>
        <w:t>تكميلية</w:t>
      </w:r>
      <w:r w:rsidR="00913DCF" w:rsidRPr="00DC1851">
        <w:rPr>
          <w:rFonts w:hint="cs"/>
          <w:rtl/>
        </w:rPr>
        <w:t xml:space="preserve"> </w:t>
      </w:r>
      <w:r w:rsidR="005F379B" w:rsidRPr="00DC1851">
        <w:rPr>
          <w:rFonts w:hint="cs"/>
          <w:rtl/>
        </w:rPr>
        <w:t>المتبعة في</w:t>
      </w:r>
      <w:r w:rsidR="00913DCF" w:rsidRPr="00DC1851">
        <w:rPr>
          <w:rFonts w:hint="cs"/>
          <w:rtl/>
        </w:rPr>
        <w:t xml:space="preserve"> مكاتب الملكية الصناعية، يستخدم المعيار المقترح نموذجاً عاماً للمعالجة </w:t>
      </w:r>
      <w:r w:rsidR="001A398F" w:rsidRPr="00DC1851">
        <w:rPr>
          <w:rFonts w:hint="cs"/>
          <w:rtl/>
        </w:rPr>
        <w:t>يعطي وصفاً عاماً</w:t>
      </w:r>
      <w:r w:rsidR="00035C34" w:rsidRPr="00DC1851">
        <w:rPr>
          <w:rFonts w:hint="cs"/>
          <w:rtl/>
        </w:rPr>
        <w:t xml:space="preserve"> </w:t>
      </w:r>
      <w:r w:rsidR="005F379B" w:rsidRPr="00DC1851">
        <w:rPr>
          <w:rFonts w:hint="cs"/>
          <w:rtl/>
        </w:rPr>
        <w:t>ل</w:t>
      </w:r>
      <w:r w:rsidR="00035C34" w:rsidRPr="00DC1851">
        <w:rPr>
          <w:rFonts w:hint="cs"/>
          <w:rtl/>
        </w:rPr>
        <w:t>ممارسات معالجة البراءات و</w:t>
      </w:r>
      <w:r w:rsidR="00035C34" w:rsidRPr="00DC1851">
        <w:rPr>
          <w:rtl/>
        </w:rPr>
        <w:t>شهاد</w:t>
      </w:r>
      <w:r w:rsidR="00035C34" w:rsidRPr="00DC1851">
        <w:rPr>
          <w:rFonts w:hint="cs"/>
          <w:rtl/>
        </w:rPr>
        <w:t>ات</w:t>
      </w:r>
      <w:r w:rsidR="00035C34" w:rsidRPr="00DC1851">
        <w:rPr>
          <w:rtl/>
        </w:rPr>
        <w:t xml:space="preserve"> </w:t>
      </w:r>
      <w:r w:rsidR="00035C34" w:rsidRPr="00DC1851">
        <w:rPr>
          <w:rFonts w:hint="cs"/>
          <w:rtl/>
        </w:rPr>
        <w:t>الح</w:t>
      </w:r>
      <w:r w:rsidR="00035C34" w:rsidRPr="00DC1851">
        <w:rPr>
          <w:rtl/>
        </w:rPr>
        <w:t xml:space="preserve">ماية </w:t>
      </w:r>
      <w:r w:rsidR="00035C34" w:rsidRPr="00DC1851">
        <w:rPr>
          <w:rFonts w:hint="cs"/>
          <w:rtl/>
        </w:rPr>
        <w:t>ال</w:t>
      </w:r>
      <w:r w:rsidR="00035C34" w:rsidRPr="00DC1851">
        <w:rPr>
          <w:rtl/>
        </w:rPr>
        <w:t>تكميلية</w:t>
      </w:r>
      <w:r w:rsidR="00035C34" w:rsidRPr="00DC1851">
        <w:rPr>
          <w:rFonts w:hint="cs"/>
          <w:rtl/>
        </w:rPr>
        <w:t xml:space="preserve"> في مكاتب الملكية الصناعية حول العالم. </w:t>
      </w:r>
      <w:r w:rsidR="007E1B35" w:rsidRPr="00DC1851">
        <w:rPr>
          <w:rFonts w:hint="cs"/>
          <w:rtl/>
        </w:rPr>
        <w:t xml:space="preserve">ولا </w:t>
      </w:r>
      <w:r w:rsidR="001A398F" w:rsidRPr="00DC1851">
        <w:rPr>
          <w:rFonts w:hint="cs"/>
          <w:rtl/>
        </w:rPr>
        <w:t>يصف</w:t>
      </w:r>
      <w:r w:rsidR="007E1B35" w:rsidRPr="00DC1851">
        <w:rPr>
          <w:rFonts w:hint="cs"/>
          <w:rtl/>
        </w:rPr>
        <w:t xml:space="preserve"> النموذج</w:t>
      </w:r>
      <w:r w:rsidR="00D30D9A" w:rsidRPr="00DC1851">
        <w:rPr>
          <w:rFonts w:hint="cs"/>
          <w:rtl/>
        </w:rPr>
        <w:t xml:space="preserve"> ممارسات معالجة وحيدة لجميع مكاتب الملكية الصناعية، ولا يغطي كل </w:t>
      </w:r>
      <w:r w:rsidR="004D4EEE" w:rsidRPr="00DC1851">
        <w:rPr>
          <w:rFonts w:hint="cs"/>
          <w:rtl/>
        </w:rPr>
        <w:t xml:space="preserve">احتمال يمكن أن يظهر خلال معالجة طلب أو حق ملكية فكرية. </w:t>
      </w:r>
      <w:r w:rsidR="00012E8C" w:rsidRPr="00DC1851">
        <w:rPr>
          <w:rFonts w:hint="cs"/>
          <w:rtl/>
        </w:rPr>
        <w:t xml:space="preserve">بيد أن المبتغى من نموذج المعالجة هو تقديم عرض عام للخطوات العامة </w:t>
      </w:r>
      <w:r w:rsidR="001F58D5" w:rsidRPr="00DC1851">
        <w:rPr>
          <w:rFonts w:hint="cs"/>
          <w:rtl/>
        </w:rPr>
        <w:t>المتبعة في مكاتب الملكية الصناعية حول العالم لمعالجة براءة أو</w:t>
      </w:r>
      <w:r w:rsidR="001F58D5" w:rsidRPr="00DC1851">
        <w:rPr>
          <w:rtl/>
        </w:rPr>
        <w:t xml:space="preserve"> شهادة </w:t>
      </w:r>
      <w:r w:rsidR="001F58D5" w:rsidRPr="00DC1851">
        <w:rPr>
          <w:rFonts w:hint="cs"/>
          <w:rtl/>
        </w:rPr>
        <w:t>ح</w:t>
      </w:r>
      <w:r w:rsidR="001F58D5" w:rsidRPr="00DC1851">
        <w:rPr>
          <w:rtl/>
        </w:rPr>
        <w:t>ماية تكميلية</w:t>
      </w:r>
      <w:r w:rsidR="001F58D5" w:rsidRPr="00DC1851">
        <w:rPr>
          <w:rFonts w:hint="cs"/>
          <w:rtl/>
        </w:rPr>
        <w:t xml:space="preserve">. </w:t>
      </w:r>
    </w:p>
    <w:p w:rsidR="00AE3F10" w:rsidRPr="00DC1851" w:rsidRDefault="00065B34" w:rsidP="00363C9A">
      <w:pPr>
        <w:pStyle w:val="NumberedParaAR"/>
        <w:numPr>
          <w:ilvl w:val="0"/>
          <w:numId w:val="0"/>
        </w:numPr>
        <w:spacing w:after="0" w:line="240" w:lineRule="auto"/>
      </w:pPr>
      <w:r>
        <w:rPr>
          <w:noProof/>
        </w:rPr>
        <w:lastRenderedPageBreak/>
        <w:drawing>
          <wp:inline distT="0" distB="0" distL="0" distR="0" wp14:anchorId="0BA2FBA3">
            <wp:extent cx="5446400" cy="4084989"/>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7847" cy="4086075"/>
                    </a:xfrm>
                    <a:prstGeom prst="rect">
                      <a:avLst/>
                    </a:prstGeom>
                    <a:noFill/>
                  </pic:spPr>
                </pic:pic>
              </a:graphicData>
            </a:graphic>
          </wp:inline>
        </w:drawing>
      </w:r>
    </w:p>
    <w:p w:rsidR="00D93012" w:rsidRPr="00DC1851" w:rsidRDefault="00D93012" w:rsidP="00363C9A">
      <w:pPr>
        <w:pStyle w:val="NumberedParaAR"/>
        <w:numPr>
          <w:ilvl w:val="0"/>
          <w:numId w:val="0"/>
        </w:numPr>
        <w:spacing w:before="240"/>
        <w:rPr>
          <w:u w:val="single"/>
        </w:rPr>
      </w:pPr>
      <w:r w:rsidRPr="00DC1851">
        <w:rPr>
          <w:rFonts w:hint="cs"/>
          <w:u w:val="single"/>
          <w:rtl/>
        </w:rPr>
        <w:t xml:space="preserve">الأوضاع، المراحل والأحداث </w:t>
      </w:r>
    </w:p>
    <w:p w:rsidR="001E5ADC" w:rsidRPr="00DC1851" w:rsidRDefault="00395AB0" w:rsidP="00457515">
      <w:pPr>
        <w:pStyle w:val="NumberedParaAR"/>
      </w:pPr>
      <w:r w:rsidRPr="00DC1851">
        <w:rPr>
          <w:rFonts w:hint="cs"/>
          <w:rtl/>
        </w:rPr>
        <w:t>يتضمن</w:t>
      </w:r>
      <w:r w:rsidRPr="00DC1851">
        <w:rPr>
          <w:rtl/>
        </w:rPr>
        <w:t xml:space="preserve"> النموذج الشامل لمعالجة البراءات/شهادات الحماية التكميلية</w:t>
      </w:r>
      <w:r w:rsidR="00363C9A" w:rsidRPr="00DC1851">
        <w:rPr>
          <w:rFonts w:hint="cs"/>
          <w:rtl/>
        </w:rPr>
        <w:t xml:space="preserve"> المبيّن أعلاه أوضاعا</w:t>
      </w:r>
      <w:r w:rsidRPr="00DC1851">
        <w:rPr>
          <w:rFonts w:hint="cs"/>
          <w:rtl/>
        </w:rPr>
        <w:t xml:space="preserve"> (أطر مستطيلة بخط متقطع) ومراحل (أطر مستطيلة بخط </w:t>
      </w:r>
      <w:r w:rsidR="00457515" w:rsidRPr="00DC1851">
        <w:rPr>
          <w:rFonts w:hint="cs"/>
          <w:rtl/>
        </w:rPr>
        <w:t>متواصل</w:t>
      </w:r>
      <w:r w:rsidRPr="00DC1851">
        <w:rPr>
          <w:rFonts w:hint="cs"/>
          <w:rtl/>
        </w:rPr>
        <w:t>) وأحداث</w:t>
      </w:r>
      <w:r w:rsidR="00363C9A" w:rsidRPr="00DC1851">
        <w:rPr>
          <w:rFonts w:hint="cs"/>
          <w:rtl/>
        </w:rPr>
        <w:t>ا</w:t>
      </w:r>
      <w:r w:rsidRPr="00DC1851">
        <w:rPr>
          <w:rFonts w:hint="cs"/>
          <w:rtl/>
        </w:rPr>
        <w:t xml:space="preserve"> (أسهم) </w:t>
      </w:r>
      <w:r w:rsidR="00DA6F31" w:rsidRPr="00DC1851">
        <w:rPr>
          <w:rFonts w:hint="cs"/>
          <w:rtl/>
        </w:rPr>
        <w:t>لوصف عملية معالجة</w:t>
      </w:r>
      <w:r w:rsidR="00DA6F31" w:rsidRPr="00DC1851">
        <w:rPr>
          <w:rtl/>
        </w:rPr>
        <w:t xml:space="preserve"> البراءات</w:t>
      </w:r>
      <w:r w:rsidR="00DA6F31" w:rsidRPr="00DC1851">
        <w:rPr>
          <w:rFonts w:hint="cs"/>
          <w:rtl/>
        </w:rPr>
        <w:t xml:space="preserve"> و</w:t>
      </w:r>
      <w:r w:rsidR="00DA6F31" w:rsidRPr="00DC1851">
        <w:rPr>
          <w:rtl/>
        </w:rPr>
        <w:t>شهادات الحماية التكميلية</w:t>
      </w:r>
      <w:r w:rsidR="00DA6F31" w:rsidRPr="00DC1851">
        <w:rPr>
          <w:rFonts w:hint="cs"/>
          <w:rtl/>
        </w:rPr>
        <w:t xml:space="preserve">. </w:t>
      </w:r>
      <w:r w:rsidR="001E5ADC" w:rsidRPr="00DC1851">
        <w:rPr>
          <w:rFonts w:hint="cs"/>
          <w:rtl/>
        </w:rPr>
        <w:t>ولا يشمل النموذج جميع الأحداث ذات الصلة بل أُدرجت فيه</w:t>
      </w:r>
      <w:r w:rsidR="00363C9A" w:rsidRPr="00DC1851">
        <w:rPr>
          <w:rFonts w:hint="cs"/>
          <w:rtl/>
        </w:rPr>
        <w:t xml:space="preserve"> الأحداث الرئيسية فقط توخيا</w:t>
      </w:r>
      <w:r w:rsidR="00457515" w:rsidRPr="00DC1851">
        <w:rPr>
          <w:rFonts w:hint="cs"/>
          <w:rtl/>
        </w:rPr>
        <w:t xml:space="preserve"> للاختصار</w:t>
      </w:r>
      <w:r w:rsidR="001E5ADC" w:rsidRPr="00DC1851">
        <w:rPr>
          <w:rFonts w:hint="cs"/>
          <w:rtl/>
        </w:rPr>
        <w:t xml:space="preserve">. </w:t>
      </w:r>
    </w:p>
    <w:p w:rsidR="000F1869" w:rsidRPr="00DC1851" w:rsidRDefault="00CE3648" w:rsidP="00CC041D">
      <w:pPr>
        <w:pStyle w:val="NumberedParaAR"/>
      </w:pPr>
      <w:r w:rsidRPr="00DC1851">
        <w:rPr>
          <w:rFonts w:hint="cs"/>
          <w:rtl/>
        </w:rPr>
        <w:t>وي</w:t>
      </w:r>
      <w:r w:rsidR="001F7662" w:rsidRPr="00DC1851">
        <w:rPr>
          <w:rFonts w:hint="cs"/>
          <w:rtl/>
        </w:rPr>
        <w:t>بيّن</w:t>
      </w:r>
      <w:r w:rsidRPr="00DC1851">
        <w:rPr>
          <w:rFonts w:hint="cs"/>
          <w:rtl/>
        </w:rPr>
        <w:t xml:space="preserve"> "وضع" الطلب </w:t>
      </w:r>
      <w:r w:rsidR="00CC041D" w:rsidRPr="00DC1851">
        <w:rPr>
          <w:rFonts w:hint="cs"/>
          <w:rtl/>
        </w:rPr>
        <w:t>أو حق الملكية الفكرية</w:t>
      </w:r>
      <w:r w:rsidR="00363C9A" w:rsidRPr="00DC1851">
        <w:rPr>
          <w:rFonts w:hint="cs"/>
          <w:rtl/>
        </w:rPr>
        <w:t xml:space="preserve"> إذا كان الطلب "جاريا" أو "متوقفا</w:t>
      </w:r>
      <w:r w:rsidRPr="00DC1851">
        <w:rPr>
          <w:rFonts w:hint="cs"/>
          <w:rtl/>
        </w:rPr>
        <w:t xml:space="preserve">" أو </w:t>
      </w:r>
      <w:r w:rsidR="00363C9A" w:rsidRPr="00DC1851">
        <w:rPr>
          <w:rFonts w:hint="cs"/>
          <w:rtl/>
        </w:rPr>
        <w:t>"منتهيا</w:t>
      </w:r>
      <w:r w:rsidR="008A2C87" w:rsidRPr="00DC1851">
        <w:rPr>
          <w:rFonts w:hint="cs"/>
          <w:rtl/>
        </w:rPr>
        <w:t xml:space="preserve">" بعد </w:t>
      </w:r>
      <w:r w:rsidR="00CC041D" w:rsidRPr="00DC1851">
        <w:rPr>
          <w:rFonts w:hint="cs"/>
          <w:rtl/>
        </w:rPr>
        <w:t>حصول</w:t>
      </w:r>
      <w:r w:rsidR="008A2C87" w:rsidRPr="00DC1851">
        <w:rPr>
          <w:rFonts w:hint="cs"/>
          <w:rtl/>
        </w:rPr>
        <w:t xml:space="preserve"> حدث وفق </w:t>
      </w:r>
      <w:r w:rsidR="00CC041D" w:rsidRPr="00DC1851">
        <w:rPr>
          <w:rFonts w:hint="cs"/>
          <w:rtl/>
        </w:rPr>
        <w:t>ال</w:t>
      </w:r>
      <w:r w:rsidR="008A2C87" w:rsidRPr="00DC1851">
        <w:rPr>
          <w:rFonts w:hint="cs"/>
          <w:rtl/>
        </w:rPr>
        <w:t xml:space="preserve">قانون </w:t>
      </w:r>
      <w:r w:rsidR="00CC041D" w:rsidRPr="00DC1851">
        <w:rPr>
          <w:rFonts w:hint="cs"/>
          <w:rtl/>
        </w:rPr>
        <w:t xml:space="preserve">الساري في </w:t>
      </w:r>
      <w:r w:rsidR="008A2C87" w:rsidRPr="00DC1851">
        <w:rPr>
          <w:rFonts w:hint="cs"/>
          <w:rtl/>
        </w:rPr>
        <w:t xml:space="preserve">مكتب الملكية الصناعية. </w:t>
      </w:r>
      <w:r w:rsidR="000B74D0" w:rsidRPr="00DC1851">
        <w:rPr>
          <w:rFonts w:hint="cs"/>
          <w:rtl/>
        </w:rPr>
        <w:t>والجدير بالذكر أنه ليس بوسع جميع مكاتب الملكية الصناعية أن تُح</w:t>
      </w:r>
      <w:r w:rsidR="00467796" w:rsidRPr="00DC1851">
        <w:rPr>
          <w:rFonts w:hint="cs"/>
          <w:rtl/>
        </w:rPr>
        <w:t>د</w:t>
      </w:r>
      <w:r w:rsidR="000B74D0" w:rsidRPr="00DC1851">
        <w:rPr>
          <w:rFonts w:hint="cs"/>
          <w:rtl/>
        </w:rPr>
        <w:t xml:space="preserve">ّد بموجب قوانينها الوطنية/الإقليمية </w:t>
      </w:r>
      <w:r w:rsidR="00467796" w:rsidRPr="00DC1851">
        <w:rPr>
          <w:rFonts w:hint="cs"/>
          <w:rtl/>
        </w:rPr>
        <w:t xml:space="preserve">وضع طلب منتهٍ. </w:t>
      </w:r>
    </w:p>
    <w:p w:rsidR="00EF077A" w:rsidRPr="00DC1851" w:rsidRDefault="00467796" w:rsidP="00FE6F29">
      <w:pPr>
        <w:pStyle w:val="NumberedParaAR"/>
      </w:pPr>
      <w:r w:rsidRPr="00DC1851">
        <w:rPr>
          <w:rFonts w:hint="cs"/>
          <w:rtl/>
        </w:rPr>
        <w:t xml:space="preserve">وتشير "المرحلة" إلى </w:t>
      </w:r>
      <w:r w:rsidR="0047636C" w:rsidRPr="00DC1851">
        <w:rPr>
          <w:rFonts w:hint="cs"/>
          <w:rtl/>
        </w:rPr>
        <w:t xml:space="preserve">طور من معالجة طلب أو حق ملكية فكرية </w:t>
      </w:r>
      <w:r w:rsidR="007D0A51" w:rsidRPr="00DC1851">
        <w:rPr>
          <w:rFonts w:hint="cs"/>
          <w:rtl/>
        </w:rPr>
        <w:t xml:space="preserve">يشمل </w:t>
      </w:r>
      <w:r w:rsidR="009D30E9" w:rsidRPr="00DC1851">
        <w:rPr>
          <w:rFonts w:hint="cs"/>
          <w:rtl/>
        </w:rPr>
        <w:t>حصول</w:t>
      </w:r>
      <w:r w:rsidR="007D0A51" w:rsidRPr="00DC1851">
        <w:rPr>
          <w:rFonts w:hint="cs"/>
          <w:rtl/>
        </w:rPr>
        <w:t xml:space="preserve"> أحداث. </w:t>
      </w:r>
      <w:r w:rsidR="00EF077A" w:rsidRPr="00DC1851">
        <w:rPr>
          <w:rFonts w:hint="cs"/>
          <w:rtl/>
        </w:rPr>
        <w:t>ويمكن حسب القانون الساري في مكتب الملكية الصناعية أن يمرّ الطلب أو حق الملكية الفكرية في واحدة م</w:t>
      </w:r>
      <w:r w:rsidR="009D30E9" w:rsidRPr="00DC1851">
        <w:rPr>
          <w:rFonts w:hint="cs"/>
          <w:rtl/>
        </w:rPr>
        <w:t>ن</w:t>
      </w:r>
      <w:r w:rsidR="00EF077A" w:rsidRPr="00DC1851">
        <w:rPr>
          <w:rFonts w:hint="cs"/>
          <w:rtl/>
        </w:rPr>
        <w:t xml:space="preserve"> المراحل الست التالية: الإيداع، الفحص، الاعتراض السابق للمنح، المنح، الاعتراض اللاحق للمنح أو </w:t>
      </w:r>
      <w:r w:rsidR="00C810A8">
        <w:rPr>
          <w:rFonts w:hint="cs"/>
          <w:rtl/>
        </w:rPr>
        <w:t xml:space="preserve">الانتهاء المحتمل/مرحلة </w:t>
      </w:r>
      <w:r w:rsidR="00EF077A" w:rsidRPr="00DC1851">
        <w:rPr>
          <w:rFonts w:hint="cs"/>
          <w:rtl/>
        </w:rPr>
        <w:t>ال</w:t>
      </w:r>
      <w:r w:rsidR="009D30E9" w:rsidRPr="00DC1851">
        <w:rPr>
          <w:rFonts w:hint="cs"/>
          <w:rtl/>
        </w:rPr>
        <w:t>انتها</w:t>
      </w:r>
      <w:r w:rsidR="00EF077A" w:rsidRPr="00DC1851">
        <w:rPr>
          <w:rFonts w:hint="cs"/>
          <w:rtl/>
        </w:rPr>
        <w:t xml:space="preserve">ء. </w:t>
      </w:r>
      <w:r w:rsidR="00C810A8">
        <w:rPr>
          <w:rFonts w:hint="cs"/>
          <w:rtl/>
        </w:rPr>
        <w:t xml:space="preserve">وتجدر الإشارة إلى أن المراحل الخمس الأولى المذكورة أعلاه تشمل الطلبات أو حقوق الملكية "الجارية" بينما تشمل مرحلة الانتهاء المحتمل/مرحلة </w:t>
      </w:r>
      <w:r w:rsidR="00C810A8" w:rsidRPr="00DC1851">
        <w:rPr>
          <w:rFonts w:hint="cs"/>
          <w:rtl/>
        </w:rPr>
        <w:t>الانتهاء</w:t>
      </w:r>
      <w:r w:rsidR="00C810A8">
        <w:rPr>
          <w:rFonts w:hint="cs"/>
          <w:rtl/>
        </w:rPr>
        <w:t xml:space="preserve"> الطلبات أو حقوق الملكية "المتوقف</w:t>
      </w:r>
      <w:r w:rsidR="00C810A8">
        <w:rPr>
          <w:rFonts w:hint="eastAsia"/>
          <w:rtl/>
        </w:rPr>
        <w:t>ة</w:t>
      </w:r>
      <w:r w:rsidR="00C810A8">
        <w:rPr>
          <w:rFonts w:hint="cs"/>
          <w:rtl/>
        </w:rPr>
        <w:t xml:space="preserve">" أو "المنتهية". وقد تعود الطلبات أو حقوق الملكية </w:t>
      </w:r>
      <w:r w:rsidR="00FE6F29">
        <w:rPr>
          <w:rFonts w:hint="cs"/>
          <w:rtl/>
        </w:rPr>
        <w:t>في مرحلة الانتهاء المحتمل /مرحلة الانتهاء</w:t>
      </w:r>
      <w:r w:rsidR="00C810A8">
        <w:rPr>
          <w:rFonts w:hint="cs"/>
          <w:rtl/>
        </w:rPr>
        <w:t xml:space="preserve"> إلى وضع الطلبات أو حقوق الملكية "الجارية" أو تنتقل إلى وضع "منتهٍ" حسب القوانين السارية. </w:t>
      </w:r>
    </w:p>
    <w:p w:rsidR="00DF69A9" w:rsidRPr="00DC1851" w:rsidRDefault="00B467EA" w:rsidP="00834043">
      <w:pPr>
        <w:pStyle w:val="NumberedParaAR"/>
      </w:pPr>
      <w:r w:rsidRPr="00DC1851">
        <w:rPr>
          <w:rFonts w:hint="cs"/>
          <w:rtl/>
        </w:rPr>
        <w:t xml:space="preserve">ويشير "الحدث" إلى إجراء خلال معالجة طلب أو حق ملكية فكرية يقوم به المودع أو صاحب حق الملكية الفكرية </w:t>
      </w:r>
      <w:r w:rsidR="00C90C54" w:rsidRPr="00DC1851">
        <w:rPr>
          <w:rFonts w:hint="cs"/>
          <w:rtl/>
        </w:rPr>
        <w:t xml:space="preserve">أو مكتب الملكية الصناعية أو طرف آخر وفق القانون الساري، ويمكن أن يُغيّر وضع و/أو مرحلة الطلب أو حق الملكية الفكرية. ويوصي المعيار المقترح </w:t>
      </w:r>
      <w:r w:rsidR="00CD537F" w:rsidRPr="00DC1851">
        <w:rPr>
          <w:rFonts w:hint="cs"/>
          <w:rtl/>
        </w:rPr>
        <w:t xml:space="preserve">بقائمة من الأحداث </w:t>
      </w:r>
      <w:r w:rsidR="007B23FE" w:rsidRPr="00DC1851">
        <w:rPr>
          <w:rFonts w:hint="cs"/>
          <w:rtl/>
        </w:rPr>
        <w:t>المعرّفة بعبارات عامة وتتضمن وصفا</w:t>
      </w:r>
      <w:r w:rsidR="005B3DB0" w:rsidRPr="00DC1851">
        <w:rPr>
          <w:rFonts w:hint="cs"/>
          <w:rtl/>
        </w:rPr>
        <w:t xml:space="preserve"> عاما</w:t>
      </w:r>
      <w:r w:rsidR="007B23FE" w:rsidRPr="00DC1851">
        <w:rPr>
          <w:rFonts w:hint="cs"/>
          <w:rtl/>
        </w:rPr>
        <w:t xml:space="preserve"> يستند إلى المصطلحات التي تستخدمها مكاتب الملكية الصناعية حول العالم، وذلك لتأمين تغطية واسعة للأحداث الوطنية/الإقليمية.</w:t>
      </w:r>
      <w:r w:rsidR="006B1923" w:rsidRPr="00DC1851">
        <w:rPr>
          <w:rFonts w:hint="cs"/>
          <w:rtl/>
        </w:rPr>
        <w:t xml:space="preserve"> ويساعد المعيار </w:t>
      </w:r>
      <w:r w:rsidR="006B1923" w:rsidRPr="00DC1851">
        <w:rPr>
          <w:rFonts w:hint="cs"/>
          <w:rtl/>
        </w:rPr>
        <w:lastRenderedPageBreak/>
        <w:t>المقترح بالتالي المستخدمين في تفسير الأحداث الوطنية/الإقلي</w:t>
      </w:r>
      <w:r w:rsidR="008551C2" w:rsidRPr="00DC1851">
        <w:rPr>
          <w:rFonts w:hint="cs"/>
          <w:rtl/>
        </w:rPr>
        <w:t xml:space="preserve">مية دون الحاجة إلى </w:t>
      </w:r>
      <w:r w:rsidR="002D7D46" w:rsidRPr="00DC1851">
        <w:rPr>
          <w:rFonts w:hint="cs"/>
          <w:rtl/>
        </w:rPr>
        <w:t>ال</w:t>
      </w:r>
      <w:r w:rsidR="00834043" w:rsidRPr="00DC1851">
        <w:rPr>
          <w:rFonts w:hint="cs"/>
          <w:rtl/>
        </w:rPr>
        <w:t>إلمام</w:t>
      </w:r>
      <w:r w:rsidR="008551C2" w:rsidRPr="00DC1851">
        <w:rPr>
          <w:rFonts w:hint="cs"/>
          <w:rtl/>
        </w:rPr>
        <w:t xml:space="preserve"> با</w:t>
      </w:r>
      <w:r w:rsidR="006B1923" w:rsidRPr="00DC1851">
        <w:rPr>
          <w:rFonts w:hint="cs"/>
          <w:rtl/>
        </w:rPr>
        <w:t>لممارسات الخاصة التي يتبعها مكتب الملكية الصناعية الذي يُع</w:t>
      </w:r>
      <w:r w:rsidR="000D5FD6" w:rsidRPr="00DC1851">
        <w:rPr>
          <w:rFonts w:hint="cs"/>
          <w:rtl/>
        </w:rPr>
        <w:t>ا</w:t>
      </w:r>
      <w:r w:rsidR="006B1923" w:rsidRPr="00DC1851">
        <w:rPr>
          <w:rFonts w:hint="cs"/>
          <w:rtl/>
        </w:rPr>
        <w:t xml:space="preserve">لج الطلب. </w:t>
      </w:r>
    </w:p>
    <w:p w:rsidR="00DF69A9" w:rsidRPr="00DC1851" w:rsidRDefault="00DF69A9" w:rsidP="005B3DB0">
      <w:pPr>
        <w:pStyle w:val="NumberedParaAR"/>
        <w:keepNext/>
        <w:keepLines/>
        <w:numPr>
          <w:ilvl w:val="0"/>
          <w:numId w:val="0"/>
        </w:numPr>
        <w:spacing w:after="60"/>
        <w:rPr>
          <w:u w:val="single"/>
        </w:rPr>
      </w:pPr>
      <w:r w:rsidRPr="00DC1851">
        <w:rPr>
          <w:rFonts w:hint="cs"/>
          <w:u w:val="single"/>
          <w:rtl/>
        </w:rPr>
        <w:t>قائمة الفئات، الأحداث الرئيسية والأحداث المفص</w:t>
      </w:r>
      <w:r w:rsidR="00B3163F" w:rsidRPr="00DC1851">
        <w:rPr>
          <w:rFonts w:hint="cs"/>
          <w:u w:val="single"/>
          <w:rtl/>
        </w:rPr>
        <w:t>ّ</w:t>
      </w:r>
      <w:r w:rsidRPr="00DC1851">
        <w:rPr>
          <w:rFonts w:hint="cs"/>
          <w:u w:val="single"/>
          <w:rtl/>
        </w:rPr>
        <w:t xml:space="preserve">لة </w:t>
      </w:r>
    </w:p>
    <w:p w:rsidR="000D6F1E" w:rsidRPr="00DC1851" w:rsidRDefault="00B429A6" w:rsidP="005B3DB0">
      <w:pPr>
        <w:pStyle w:val="NumberedParaAR"/>
      </w:pPr>
      <w:r w:rsidRPr="00DC1851">
        <w:rPr>
          <w:rFonts w:hint="cs"/>
          <w:rtl/>
        </w:rPr>
        <w:t xml:space="preserve">يتضمن المعيار المقترح قائمة بالفئات والأحداث التي ينبغي استخدامها لتبادل بيانات الوضع القانوني بين مكاتب الملكية الصناعية. </w:t>
      </w:r>
      <w:r w:rsidR="00B750E4" w:rsidRPr="00DC1851">
        <w:rPr>
          <w:rFonts w:hint="cs"/>
          <w:rtl/>
        </w:rPr>
        <w:t xml:space="preserve">وتُجمّع الأحداث في فئة خاصة تشمل مجموعة </w:t>
      </w:r>
      <w:r w:rsidR="00B14D9C" w:rsidRPr="00DC1851">
        <w:rPr>
          <w:rFonts w:hint="cs"/>
          <w:rtl/>
        </w:rPr>
        <w:t>كبيرة من الأحداث ذات الصلة. ويُدرج حدث رئيسي واحد وعدة أحداث مفص</w:t>
      </w:r>
      <w:r w:rsidR="00B3163F" w:rsidRPr="00DC1851">
        <w:rPr>
          <w:rFonts w:hint="cs"/>
          <w:rtl/>
        </w:rPr>
        <w:t>ّ</w:t>
      </w:r>
      <w:r w:rsidR="00B14D9C" w:rsidRPr="00DC1851">
        <w:rPr>
          <w:rFonts w:hint="cs"/>
          <w:rtl/>
        </w:rPr>
        <w:t xml:space="preserve">لة في فئة واحدة. ويُخصص </w:t>
      </w:r>
      <w:r w:rsidR="00B3163F" w:rsidRPr="00DC1851">
        <w:rPr>
          <w:rFonts w:hint="cs"/>
          <w:rtl/>
        </w:rPr>
        <w:t xml:space="preserve">رمز معيّن </w:t>
      </w:r>
      <w:r w:rsidR="00B14D9C" w:rsidRPr="00DC1851">
        <w:rPr>
          <w:rFonts w:hint="cs"/>
          <w:rtl/>
        </w:rPr>
        <w:t xml:space="preserve">لكل فئة وحدث رئيسي وحدث مفصّل. بالإضافة إلى ذلك، </w:t>
      </w:r>
      <w:r w:rsidR="00AD445C" w:rsidRPr="00DC1851">
        <w:rPr>
          <w:rFonts w:hint="cs"/>
          <w:rtl/>
        </w:rPr>
        <w:t>يوصي المعيار المقترح بتقديم أحداث وطنية/إقليمية في نس</w:t>
      </w:r>
      <w:r w:rsidR="000D6F1E" w:rsidRPr="00DC1851">
        <w:rPr>
          <w:rFonts w:hint="cs"/>
          <w:rtl/>
        </w:rPr>
        <w:t>ق</w:t>
      </w:r>
      <w:r w:rsidR="00AD445C" w:rsidRPr="00DC1851">
        <w:rPr>
          <w:rFonts w:hint="cs"/>
          <w:rtl/>
        </w:rPr>
        <w:t xml:space="preserve"> يتبع الرموز</w:t>
      </w:r>
      <w:r w:rsidR="000D6F1E" w:rsidRPr="00DC1851">
        <w:rPr>
          <w:rFonts w:hint="cs"/>
          <w:rtl/>
        </w:rPr>
        <w:t xml:space="preserve"> وخارطة الفئة المعنية و/أو </w:t>
      </w:r>
      <w:r w:rsidR="00423375" w:rsidRPr="00DC1851">
        <w:rPr>
          <w:rFonts w:hint="cs"/>
          <w:rtl/>
        </w:rPr>
        <w:t>الحدث (</w:t>
      </w:r>
      <w:r w:rsidR="000D6F1E" w:rsidRPr="00DC1851">
        <w:rPr>
          <w:rFonts w:hint="cs"/>
          <w:rtl/>
        </w:rPr>
        <w:t>الأحداث</w:t>
      </w:r>
      <w:r w:rsidR="00423375" w:rsidRPr="00DC1851">
        <w:rPr>
          <w:rFonts w:hint="cs"/>
          <w:rtl/>
        </w:rPr>
        <w:t>) المُحدد</w:t>
      </w:r>
      <w:r w:rsidR="000D6F1E" w:rsidRPr="00DC1851">
        <w:rPr>
          <w:rFonts w:hint="cs"/>
          <w:rtl/>
        </w:rPr>
        <w:t xml:space="preserve"> في المعيار. </w:t>
      </w:r>
    </w:p>
    <w:p w:rsidR="00DF5138" w:rsidRPr="00DC1851" w:rsidRDefault="000D6F1E" w:rsidP="005B3DB0">
      <w:pPr>
        <w:pStyle w:val="NumberedParaAR"/>
      </w:pPr>
      <w:r w:rsidRPr="00DC1851">
        <w:rPr>
          <w:rFonts w:hint="cs"/>
          <w:rtl/>
        </w:rPr>
        <w:t xml:space="preserve">ويُحدّد المعيار21 فئة </w:t>
      </w:r>
      <w:r w:rsidR="006A0C22" w:rsidRPr="00DC1851">
        <w:rPr>
          <w:rFonts w:hint="cs"/>
          <w:rtl/>
        </w:rPr>
        <w:t>و21</w:t>
      </w:r>
      <w:r w:rsidR="005B3DB0" w:rsidRPr="00DC1851">
        <w:rPr>
          <w:rFonts w:hint="cs"/>
          <w:rtl/>
        </w:rPr>
        <w:t xml:space="preserve"> حدثا</w:t>
      </w:r>
      <w:r w:rsidR="006A0C22" w:rsidRPr="00DC1851">
        <w:rPr>
          <w:rFonts w:hint="cs"/>
          <w:rtl/>
        </w:rPr>
        <w:t xml:space="preserve"> رئيسيا </w:t>
      </w:r>
      <w:r w:rsidRPr="00DC1851">
        <w:rPr>
          <w:rFonts w:hint="cs"/>
          <w:rtl/>
        </w:rPr>
        <w:t>و145</w:t>
      </w:r>
      <w:r w:rsidR="005B3DB0" w:rsidRPr="00DC1851">
        <w:rPr>
          <w:rFonts w:hint="cs"/>
          <w:rtl/>
        </w:rPr>
        <w:t xml:space="preserve"> حدثا</w:t>
      </w:r>
      <w:r w:rsidRPr="00DC1851">
        <w:rPr>
          <w:rFonts w:hint="cs"/>
          <w:rtl/>
        </w:rPr>
        <w:t xml:space="preserve"> مفص</w:t>
      </w:r>
      <w:r w:rsidR="006A0C22" w:rsidRPr="00DC1851">
        <w:rPr>
          <w:rFonts w:hint="cs"/>
          <w:rtl/>
        </w:rPr>
        <w:t>ّ</w:t>
      </w:r>
      <w:r w:rsidR="005B3DB0" w:rsidRPr="00DC1851">
        <w:rPr>
          <w:rFonts w:hint="cs"/>
          <w:rtl/>
        </w:rPr>
        <w:t>لا مؤقتا</w:t>
      </w:r>
      <w:r w:rsidRPr="00DC1851">
        <w:rPr>
          <w:rFonts w:hint="cs"/>
          <w:rtl/>
        </w:rPr>
        <w:t>. وتجدر الإشارة إلى أن الأحداث المفص</w:t>
      </w:r>
      <w:r w:rsidR="006A0C22" w:rsidRPr="00DC1851">
        <w:rPr>
          <w:rFonts w:hint="cs"/>
          <w:rtl/>
        </w:rPr>
        <w:t>ّ</w:t>
      </w:r>
      <w:r w:rsidRPr="00DC1851">
        <w:rPr>
          <w:rFonts w:hint="cs"/>
          <w:rtl/>
        </w:rPr>
        <w:t xml:space="preserve">لة المحددة في المعيار الجديد المقترح </w:t>
      </w:r>
      <w:r w:rsidR="00AC2D59" w:rsidRPr="00DC1851">
        <w:rPr>
          <w:rFonts w:hint="cs"/>
          <w:rtl/>
        </w:rPr>
        <w:t xml:space="preserve">أحداث مؤقتة ينبغي أن تستعرضها مكاتب الملكية الصناعية وتقيمها لإنجازها في صيغة نهائية عندما يحين الوقت المناسب. </w:t>
      </w:r>
      <w:r w:rsidR="00723BE4" w:rsidRPr="00DC1851">
        <w:rPr>
          <w:rFonts w:hint="cs"/>
          <w:rtl/>
        </w:rPr>
        <w:t>وتصف الفئات مجموعة من الأحداث التي تكتسي أهمية خاصة</w:t>
      </w:r>
      <w:r w:rsidR="004133D3" w:rsidRPr="00DC1851">
        <w:rPr>
          <w:rFonts w:hint="cs"/>
          <w:rtl/>
        </w:rPr>
        <w:t xml:space="preserve"> </w:t>
      </w:r>
      <w:r w:rsidR="000A327B" w:rsidRPr="00DC1851">
        <w:rPr>
          <w:rFonts w:hint="cs"/>
          <w:rtl/>
        </w:rPr>
        <w:t xml:space="preserve">في معالجة براءة أو </w:t>
      </w:r>
      <w:r w:rsidR="000A327B" w:rsidRPr="00DC1851">
        <w:rPr>
          <w:rtl/>
        </w:rPr>
        <w:t>شهاد</w:t>
      </w:r>
      <w:r w:rsidR="000A327B" w:rsidRPr="00DC1851">
        <w:rPr>
          <w:rFonts w:hint="cs"/>
          <w:rtl/>
        </w:rPr>
        <w:t>ة</w:t>
      </w:r>
      <w:r w:rsidR="000A327B" w:rsidRPr="00DC1851">
        <w:rPr>
          <w:rtl/>
        </w:rPr>
        <w:t xml:space="preserve"> </w:t>
      </w:r>
      <w:r w:rsidR="000A327B" w:rsidRPr="00DC1851">
        <w:rPr>
          <w:rFonts w:hint="cs"/>
          <w:rtl/>
        </w:rPr>
        <w:t>ح</w:t>
      </w:r>
      <w:r w:rsidR="000A327B" w:rsidRPr="00DC1851">
        <w:rPr>
          <w:rtl/>
        </w:rPr>
        <w:t>ماية تكميلية</w:t>
      </w:r>
      <w:r w:rsidR="00723BE4" w:rsidRPr="00DC1851">
        <w:rPr>
          <w:rFonts w:hint="cs"/>
          <w:rtl/>
        </w:rPr>
        <w:t xml:space="preserve"> </w:t>
      </w:r>
      <w:r w:rsidR="000A327B" w:rsidRPr="00DC1851">
        <w:rPr>
          <w:rFonts w:hint="cs"/>
          <w:rtl/>
        </w:rPr>
        <w:t xml:space="preserve">وتتقاسم موضوعاً مشتركاً. ويُحدّد وصف الفئة موضوع الأحداث المُدرجة في تلك الفئة. والحدث الرئيسي </w:t>
      </w:r>
      <w:r w:rsidR="00682605" w:rsidRPr="00DC1851">
        <w:rPr>
          <w:rFonts w:hint="cs"/>
          <w:rtl/>
        </w:rPr>
        <w:t xml:space="preserve">حدث مهم يرتبط بالفئة. والغرض من الأحداث الرئيسية تمكين مكاتب الملكية الصناعية من </w:t>
      </w:r>
      <w:r w:rsidR="00F3552D" w:rsidRPr="00DC1851">
        <w:rPr>
          <w:rFonts w:hint="cs"/>
          <w:rtl/>
        </w:rPr>
        <w:t xml:space="preserve">رسم خارطة الأحداث الوطنية/الإقليمية وفق حدث عام معرّف بعبارات عامة يسهل على المستخدم فهمها. </w:t>
      </w:r>
      <w:r w:rsidR="001F1853" w:rsidRPr="00DC1851">
        <w:rPr>
          <w:rFonts w:hint="cs"/>
          <w:rtl/>
        </w:rPr>
        <w:t>والأحداث المفصلة أحداث مندرجة في فئة لكن لها خصائص محددة لا يشملها الحدث الرئيسي. وقد تصف الأحداث المفص</w:t>
      </w:r>
      <w:r w:rsidR="005F4F1D" w:rsidRPr="00DC1851">
        <w:rPr>
          <w:rFonts w:hint="cs"/>
          <w:rtl/>
        </w:rPr>
        <w:t>ّ</w:t>
      </w:r>
      <w:r w:rsidR="001F1853" w:rsidRPr="00DC1851">
        <w:rPr>
          <w:rFonts w:hint="cs"/>
          <w:rtl/>
        </w:rPr>
        <w:t xml:space="preserve">لة </w:t>
      </w:r>
      <w:r w:rsidR="002D2E58" w:rsidRPr="00DC1851">
        <w:rPr>
          <w:rFonts w:hint="cs"/>
          <w:rtl/>
        </w:rPr>
        <w:t xml:space="preserve">ممارسة خاصة بعدد ضئيل فقط من مكاتب الملكية الصناعية أو </w:t>
      </w:r>
      <w:r w:rsidR="005F4F1D" w:rsidRPr="00DC1851">
        <w:rPr>
          <w:rFonts w:hint="cs"/>
          <w:rtl/>
        </w:rPr>
        <w:t xml:space="preserve">تصف ممارسة تكاد تكون عامة لكن لها </w:t>
      </w:r>
      <w:r w:rsidR="002D2E58" w:rsidRPr="00DC1851">
        <w:rPr>
          <w:rFonts w:hint="cs"/>
          <w:rtl/>
        </w:rPr>
        <w:t>طبيعة خاصة.</w:t>
      </w:r>
    </w:p>
    <w:p w:rsidR="002D2E58" w:rsidRPr="00DC1851" w:rsidRDefault="00DF5138" w:rsidP="005B3DB0">
      <w:pPr>
        <w:pStyle w:val="NumberedParaAR"/>
        <w:keepNext/>
        <w:keepLines/>
        <w:numPr>
          <w:ilvl w:val="0"/>
          <w:numId w:val="0"/>
        </w:numPr>
        <w:spacing w:after="60"/>
        <w:rPr>
          <w:u w:val="single"/>
        </w:rPr>
      </w:pPr>
      <w:r w:rsidRPr="00DC1851">
        <w:rPr>
          <w:rFonts w:hint="cs"/>
          <w:u w:val="single"/>
          <w:rtl/>
        </w:rPr>
        <w:t xml:space="preserve">هيكل البيانات </w:t>
      </w:r>
      <w:r w:rsidR="004B170E" w:rsidRPr="00DC1851">
        <w:rPr>
          <w:rFonts w:hint="cs"/>
          <w:u w:val="single"/>
          <w:rtl/>
        </w:rPr>
        <w:t xml:space="preserve">ونسق تبادلها </w:t>
      </w:r>
    </w:p>
    <w:p w:rsidR="00FB6A51" w:rsidRPr="00DC1851" w:rsidRDefault="007A0F05" w:rsidP="00994D40">
      <w:pPr>
        <w:pStyle w:val="NumberedParaAR"/>
      </w:pPr>
      <w:r w:rsidRPr="00DC1851">
        <w:rPr>
          <w:rFonts w:hint="cs"/>
          <w:rtl/>
        </w:rPr>
        <w:t xml:space="preserve">يوصي المعيار المقترح من أجل تيسير تبادل بيانات الوضع القانوني باعتماد هيكل للبيانات في نسق برموز يتكون من </w:t>
      </w:r>
      <w:r w:rsidRPr="00DC1851">
        <w:rPr>
          <w:rtl/>
        </w:rPr>
        <w:t xml:space="preserve">رمز </w:t>
      </w:r>
      <w:r w:rsidRPr="00DC1851">
        <w:rPr>
          <w:rFonts w:hint="cs"/>
          <w:rtl/>
        </w:rPr>
        <w:t xml:space="preserve">المكتب </w:t>
      </w:r>
      <w:r w:rsidRPr="00DC1851">
        <w:rPr>
          <w:rtl/>
        </w:rPr>
        <w:t>المكون من حرفين</w:t>
      </w:r>
      <w:r w:rsidRPr="00DC1851">
        <w:rPr>
          <w:rFonts w:hint="cs"/>
          <w:rtl/>
        </w:rPr>
        <w:t xml:space="preserve"> وفق معيار </w:t>
      </w:r>
      <w:r w:rsidRPr="00DC1851">
        <w:t>ST.3</w:t>
      </w:r>
      <w:r w:rsidR="009E2D7D" w:rsidRPr="00DC1851">
        <w:rPr>
          <w:rFonts w:hint="cs"/>
          <w:rtl/>
        </w:rPr>
        <w:t xml:space="preserve"> وتاريخ إنشاء ملف البيانات ورقم تعريف الطلب أو حق الملكية الفكرية وبيانات الحدث؛ وتضم بيانات الحدث المكونات التالية: </w:t>
      </w:r>
      <w:r w:rsidR="00EE2465" w:rsidRPr="00DC1851">
        <w:rPr>
          <w:rFonts w:hint="cs"/>
          <w:rtl/>
        </w:rPr>
        <w:t>رمز</w:t>
      </w:r>
      <w:r w:rsidR="009E2D7D" w:rsidRPr="00DC1851">
        <w:rPr>
          <w:rFonts w:hint="cs"/>
          <w:rtl/>
        </w:rPr>
        <w:t xml:space="preserve"> حدث</w:t>
      </w:r>
      <w:r w:rsidR="00EE2465" w:rsidRPr="00DC1851">
        <w:rPr>
          <w:rFonts w:hint="cs"/>
          <w:rtl/>
        </w:rPr>
        <w:t xml:space="preserve"> الوضع القانوني</w:t>
      </w:r>
      <w:r w:rsidR="009E2D7D" w:rsidRPr="00DC1851">
        <w:rPr>
          <w:rFonts w:hint="cs"/>
          <w:rtl/>
        </w:rPr>
        <w:t xml:space="preserve"> وتواريخ </w:t>
      </w:r>
      <w:r w:rsidR="00913EEC" w:rsidRPr="00DC1851">
        <w:rPr>
          <w:rtl/>
        </w:rPr>
        <w:t>التقويم الميلادي</w:t>
      </w:r>
      <w:r w:rsidR="00913EEC" w:rsidRPr="00DC1851">
        <w:rPr>
          <w:rFonts w:hint="cs"/>
          <w:rtl/>
        </w:rPr>
        <w:t xml:space="preserve"> </w:t>
      </w:r>
      <w:r w:rsidR="009E2D7D" w:rsidRPr="00DC1851">
        <w:rPr>
          <w:rFonts w:hint="cs"/>
          <w:rtl/>
        </w:rPr>
        <w:t>المرتبط بالحدث ومعلومات تكميلية مرتبطة به.</w:t>
      </w:r>
    </w:p>
    <w:p w:rsidR="009E2D7D" w:rsidRPr="00DC1851" w:rsidRDefault="00FB6A51" w:rsidP="005B3DB0">
      <w:pPr>
        <w:pStyle w:val="NumberedParaAR"/>
        <w:keepNext/>
        <w:keepLines/>
        <w:numPr>
          <w:ilvl w:val="0"/>
          <w:numId w:val="0"/>
        </w:numPr>
        <w:spacing w:after="60"/>
        <w:rPr>
          <w:u w:val="single"/>
        </w:rPr>
      </w:pPr>
      <w:r w:rsidRPr="00DC1851">
        <w:rPr>
          <w:rFonts w:hint="cs"/>
          <w:u w:val="single"/>
          <w:rtl/>
        </w:rPr>
        <w:t>التنفيذ</w:t>
      </w:r>
      <w:r w:rsidR="009E2D7D" w:rsidRPr="00DC1851">
        <w:rPr>
          <w:rFonts w:hint="cs"/>
          <w:u w:val="single"/>
          <w:rtl/>
        </w:rPr>
        <w:t xml:space="preserve"> </w:t>
      </w:r>
    </w:p>
    <w:p w:rsidR="00FD65AD" w:rsidRPr="00DC1851" w:rsidRDefault="00126064" w:rsidP="00C67CDA">
      <w:pPr>
        <w:pStyle w:val="NumberedParaAR"/>
      </w:pPr>
      <w:r w:rsidRPr="00DC1851">
        <w:rPr>
          <w:rFonts w:hint="cs"/>
          <w:rtl/>
        </w:rPr>
        <w:t xml:space="preserve">سيتطلب تنفيذ المعيار المقترح أن ترسم مكاتب الملكية الصناعية خارطة للأحداث الوطنية/الإقليمية وفق الأحداث المحددة في المعيار المقترح أو على الأقل وفق فئة من الفئات. </w:t>
      </w:r>
      <w:r w:rsidR="00A24B42" w:rsidRPr="00DC1851">
        <w:rPr>
          <w:rFonts w:hint="cs"/>
          <w:rtl/>
        </w:rPr>
        <w:t>ويوص</w:t>
      </w:r>
      <w:r w:rsidR="00595812" w:rsidRPr="00DC1851">
        <w:rPr>
          <w:rFonts w:hint="cs"/>
          <w:rtl/>
        </w:rPr>
        <w:t>َ</w:t>
      </w:r>
      <w:r w:rsidR="00A24B42" w:rsidRPr="00DC1851">
        <w:rPr>
          <w:rFonts w:hint="cs"/>
          <w:rtl/>
        </w:rPr>
        <w:t xml:space="preserve">ى عند تنفيذ المعيار المقترح بإصدار إعلان بذلك </w:t>
      </w:r>
      <w:r w:rsidR="00A921BA" w:rsidRPr="00DC1851">
        <w:rPr>
          <w:rFonts w:hint="cs"/>
          <w:rtl/>
        </w:rPr>
        <w:t>و</w:t>
      </w:r>
      <w:r w:rsidR="00C67CDA" w:rsidRPr="00DC1851">
        <w:rPr>
          <w:rtl/>
        </w:rPr>
        <w:t>إ</w:t>
      </w:r>
      <w:r w:rsidR="00A921BA" w:rsidRPr="00DC1851">
        <w:rPr>
          <w:rFonts w:hint="cs"/>
          <w:rtl/>
        </w:rPr>
        <w:t>علا</w:t>
      </w:r>
      <w:r w:rsidR="00A24B42" w:rsidRPr="00DC1851">
        <w:rPr>
          <w:rFonts w:hint="cs"/>
          <w:rtl/>
        </w:rPr>
        <w:t xml:space="preserve">م المكتب الدولي بتزويده بجدول خارطة الأحداث الوطنية/الإقليمية </w:t>
      </w:r>
      <w:r w:rsidR="00D52648" w:rsidRPr="00DC1851">
        <w:rPr>
          <w:rFonts w:hint="cs"/>
          <w:rtl/>
        </w:rPr>
        <w:t xml:space="preserve">المعدّة </w:t>
      </w:r>
      <w:r w:rsidR="00A24B42" w:rsidRPr="00DC1851">
        <w:rPr>
          <w:rFonts w:hint="cs"/>
          <w:rtl/>
        </w:rPr>
        <w:t xml:space="preserve">وفق الأحداث الواردة في المعيار المقترح وبواسطة النموذج الوارد في المرفق 4 للمعيار المقترح. </w:t>
      </w:r>
      <w:r w:rsidR="00FD65AD" w:rsidRPr="00DC1851">
        <w:rPr>
          <w:rFonts w:hint="cs"/>
          <w:rtl/>
        </w:rPr>
        <w:t xml:space="preserve">ويدعو المعيار المقترح إلى أن تكون وتيرة تبادل بيانات الوضع القانوني شهرية على الأقل وأسبوعية في أفضل الحالات. </w:t>
      </w:r>
    </w:p>
    <w:p w:rsidR="00965050" w:rsidRPr="00DC1851" w:rsidRDefault="00EF1A3D" w:rsidP="001D6BDC">
      <w:pPr>
        <w:pStyle w:val="NumberedParaAR"/>
      </w:pPr>
      <w:r w:rsidRPr="00DC1851">
        <w:rPr>
          <w:rFonts w:hint="cs"/>
          <w:rtl/>
        </w:rPr>
        <w:t>وينوي المكتب الدولي نشر جداول الخرائط التي قدمتها مكاتب</w:t>
      </w:r>
      <w:r w:rsidR="001D6BDC" w:rsidRPr="00DC1851">
        <w:rPr>
          <w:rFonts w:hint="cs"/>
          <w:rtl/>
        </w:rPr>
        <w:t xml:space="preserve"> الملكية الصناعية على موقع الويبو الإ</w:t>
      </w:r>
      <w:r w:rsidRPr="00DC1851">
        <w:rPr>
          <w:rFonts w:hint="cs"/>
          <w:rtl/>
        </w:rPr>
        <w:t>لكتروني.</w:t>
      </w:r>
    </w:p>
    <w:p w:rsidR="00965050" w:rsidRPr="00DC1851" w:rsidRDefault="003F7453" w:rsidP="005B3DB0">
      <w:pPr>
        <w:pStyle w:val="NumberedParaAR"/>
        <w:keepNext/>
        <w:keepLines/>
        <w:numPr>
          <w:ilvl w:val="0"/>
          <w:numId w:val="0"/>
        </w:numPr>
        <w:spacing w:after="60"/>
        <w:rPr>
          <w:u w:val="single"/>
        </w:rPr>
      </w:pPr>
      <w:r w:rsidRPr="00DC1851">
        <w:rPr>
          <w:rFonts w:hint="cs"/>
          <w:u w:val="single"/>
          <w:rtl/>
        </w:rPr>
        <w:t>مواصلة التطوير</w:t>
      </w:r>
      <w:r w:rsidR="00EF1A3D" w:rsidRPr="00DC1851">
        <w:rPr>
          <w:rFonts w:hint="cs"/>
          <w:u w:val="single"/>
          <w:rtl/>
        </w:rPr>
        <w:t xml:space="preserve"> </w:t>
      </w:r>
    </w:p>
    <w:p w:rsidR="003F7453" w:rsidRPr="00DC1851" w:rsidRDefault="00F3552D" w:rsidP="003F7453">
      <w:pPr>
        <w:pStyle w:val="NumberedParaAR"/>
      </w:pPr>
      <w:r w:rsidRPr="00DC1851">
        <w:rPr>
          <w:rFonts w:hint="cs"/>
          <w:rtl/>
        </w:rPr>
        <w:t xml:space="preserve"> </w:t>
      </w:r>
      <w:r w:rsidR="003F7453" w:rsidRPr="00DC1851">
        <w:rPr>
          <w:rFonts w:hint="cs"/>
          <w:rtl/>
        </w:rPr>
        <w:t xml:space="preserve">أشارت فرقة العمل إلى ضرورة الاضطلاع بالمهام العالقة المبينة أدناه بعد اعتماد المعيار المقترح. </w:t>
      </w:r>
    </w:p>
    <w:p w:rsidR="003F7453" w:rsidRPr="00DC1851" w:rsidRDefault="00292CF9" w:rsidP="005B3DB0">
      <w:pPr>
        <w:pStyle w:val="NumberedParaAR"/>
        <w:keepNext/>
        <w:keepLines/>
        <w:numPr>
          <w:ilvl w:val="0"/>
          <w:numId w:val="0"/>
        </w:numPr>
        <w:spacing w:after="60"/>
        <w:rPr>
          <w:u w:val="single"/>
        </w:rPr>
      </w:pPr>
      <w:r w:rsidRPr="00DC1851">
        <w:rPr>
          <w:rFonts w:hint="cs"/>
          <w:u w:val="single"/>
          <w:rtl/>
        </w:rPr>
        <w:t xml:space="preserve">تقييم الأحداث المفصّلة وإنجاز صيغتها النهائية </w:t>
      </w:r>
    </w:p>
    <w:p w:rsidR="0080453E" w:rsidRPr="00DC1851" w:rsidRDefault="00273BE2" w:rsidP="00364792">
      <w:pPr>
        <w:pStyle w:val="NumberedParaAR"/>
      </w:pPr>
      <w:r w:rsidRPr="00DC1851">
        <w:rPr>
          <w:rFonts w:hint="cs"/>
          <w:rtl/>
        </w:rPr>
        <w:t>يُقترح أن تشرع مكاتب الملكية الصناعية بعد أن يُعتمد المعيار المقترح بتقييم ممارسات العمل ونظم تكنولوجيا المعلومات التي تتبعها لكي تُحدّد أفضل سبل لإنتاج بيانات الوضع القانوني للبراءات وتبادلها</w:t>
      </w:r>
      <w:r w:rsidR="00364792" w:rsidRPr="00DC1851">
        <w:rPr>
          <w:rFonts w:hint="cs"/>
          <w:rtl/>
        </w:rPr>
        <w:t>، عملاً بالتوصيات الواردة في المعيار الجديد، بما فيها الأحداث المفص</w:t>
      </w:r>
      <w:r w:rsidR="00EB65CB" w:rsidRPr="00DC1851">
        <w:rPr>
          <w:rFonts w:hint="cs"/>
          <w:rtl/>
        </w:rPr>
        <w:t>ّ</w:t>
      </w:r>
      <w:r w:rsidR="00364792" w:rsidRPr="00DC1851">
        <w:rPr>
          <w:rFonts w:hint="cs"/>
          <w:rtl/>
        </w:rPr>
        <w:t xml:space="preserve">لة المؤقتة. </w:t>
      </w:r>
    </w:p>
    <w:p w:rsidR="00092B60" w:rsidRPr="00DC1851" w:rsidRDefault="005B3DB0" w:rsidP="005B3DB0">
      <w:pPr>
        <w:pStyle w:val="NumberedParaAR"/>
      </w:pPr>
      <w:r w:rsidRPr="00DC1851">
        <w:rPr>
          <w:rFonts w:hint="cs"/>
          <w:rtl/>
        </w:rPr>
        <w:lastRenderedPageBreak/>
        <w:t>ونظرا</w:t>
      </w:r>
      <w:r w:rsidR="0080453E" w:rsidRPr="00DC1851">
        <w:rPr>
          <w:rFonts w:hint="cs"/>
          <w:rtl/>
        </w:rPr>
        <w:t xml:space="preserve"> إلى أن الأحداث المفص</w:t>
      </w:r>
      <w:r w:rsidR="00EB65CB" w:rsidRPr="00DC1851">
        <w:rPr>
          <w:rFonts w:hint="cs"/>
          <w:rtl/>
        </w:rPr>
        <w:t>ّ</w:t>
      </w:r>
      <w:r w:rsidR="0080453E" w:rsidRPr="00DC1851">
        <w:rPr>
          <w:rFonts w:hint="cs"/>
          <w:rtl/>
        </w:rPr>
        <w:t xml:space="preserve">لة الواردة في قائمة المرفق </w:t>
      </w:r>
      <w:r w:rsidRPr="00DC1851">
        <w:rPr>
          <w:rFonts w:hint="cs"/>
          <w:rtl/>
          <w:lang w:val="fr-FR" w:bidi="ar-EG"/>
        </w:rPr>
        <w:t>الأول</w:t>
      </w:r>
      <w:r w:rsidR="0080453E" w:rsidRPr="00DC1851">
        <w:rPr>
          <w:rFonts w:hint="cs"/>
          <w:rtl/>
        </w:rPr>
        <w:t xml:space="preserve"> من المعيار الجديد المقترح أحداث مؤقتة، تقترح فرقة العمل أن </w:t>
      </w:r>
      <w:r w:rsidR="00427D35" w:rsidRPr="00DC1851">
        <w:rPr>
          <w:rFonts w:hint="cs"/>
          <w:rtl/>
        </w:rPr>
        <w:t>تستعرضها</w:t>
      </w:r>
      <w:r w:rsidR="0080453E" w:rsidRPr="00DC1851">
        <w:rPr>
          <w:rFonts w:hint="cs"/>
          <w:rtl/>
        </w:rPr>
        <w:t xml:space="preserve"> مكاتب الملكية الصناعية</w:t>
      </w:r>
      <w:r w:rsidR="008E378C" w:rsidRPr="00DC1851">
        <w:rPr>
          <w:rFonts w:hint="cs"/>
          <w:rtl/>
        </w:rPr>
        <w:t xml:space="preserve"> وترسم خارطة لها لتُحدّد ما إذا كانت الأحداث المفص</w:t>
      </w:r>
      <w:r w:rsidR="00EB65CB" w:rsidRPr="00DC1851">
        <w:rPr>
          <w:rFonts w:hint="cs"/>
          <w:rtl/>
        </w:rPr>
        <w:t>ّ</w:t>
      </w:r>
      <w:r w:rsidR="008E378C" w:rsidRPr="00DC1851">
        <w:rPr>
          <w:rFonts w:hint="cs"/>
          <w:rtl/>
        </w:rPr>
        <w:t>لة المذكورة تصف ممارسات المعالجة التي تتبعها هذه المكاتب. وتجدر الإشارة إلى أن الأحداث المفص</w:t>
      </w:r>
      <w:r w:rsidR="00EF093D" w:rsidRPr="00DC1851">
        <w:rPr>
          <w:rFonts w:hint="cs"/>
          <w:rtl/>
        </w:rPr>
        <w:t>ّ</w:t>
      </w:r>
      <w:r w:rsidR="008E378C" w:rsidRPr="00DC1851">
        <w:rPr>
          <w:rFonts w:hint="cs"/>
          <w:rtl/>
        </w:rPr>
        <w:t xml:space="preserve">لة المؤقتة لا تُغطي </w:t>
      </w:r>
      <w:r w:rsidR="00EF093D" w:rsidRPr="00DC1851">
        <w:rPr>
          <w:rFonts w:hint="cs"/>
          <w:rtl/>
        </w:rPr>
        <w:t>بالضرورة</w:t>
      </w:r>
      <w:r w:rsidR="008E378C" w:rsidRPr="00DC1851">
        <w:rPr>
          <w:rFonts w:hint="cs"/>
          <w:rtl/>
        </w:rPr>
        <w:t xml:space="preserve"> </w:t>
      </w:r>
      <w:r w:rsidR="00425393" w:rsidRPr="00DC1851">
        <w:rPr>
          <w:rFonts w:hint="cs"/>
          <w:rtl/>
        </w:rPr>
        <w:t xml:space="preserve">جميع الممارسات الوطنية والإقليمية في جميع مكاتب الملكية الصناعية؛ بل هي تُعبّر </w:t>
      </w:r>
      <w:r w:rsidR="004B42D5" w:rsidRPr="00DC1851">
        <w:rPr>
          <w:rFonts w:hint="cs"/>
          <w:rtl/>
        </w:rPr>
        <w:t>بالأحرى</w:t>
      </w:r>
      <w:r w:rsidR="00425393" w:rsidRPr="00DC1851">
        <w:rPr>
          <w:rFonts w:hint="cs"/>
          <w:rtl/>
        </w:rPr>
        <w:t xml:space="preserve"> عن الممارسات المشتركة </w:t>
      </w:r>
      <w:r w:rsidR="003B2198" w:rsidRPr="00DC1851">
        <w:rPr>
          <w:rFonts w:hint="cs"/>
          <w:rtl/>
        </w:rPr>
        <w:t>بين بعض مكاتب الملكية الصناعية</w:t>
      </w:r>
      <w:r w:rsidR="004B42D5" w:rsidRPr="00DC1851">
        <w:rPr>
          <w:rFonts w:hint="cs"/>
          <w:rtl/>
        </w:rPr>
        <w:t>،</w:t>
      </w:r>
      <w:r w:rsidR="003B2198" w:rsidRPr="00DC1851">
        <w:rPr>
          <w:rFonts w:hint="cs"/>
          <w:rtl/>
        </w:rPr>
        <w:t xml:space="preserve"> </w:t>
      </w:r>
      <w:r w:rsidR="004B42D5" w:rsidRPr="00DC1851">
        <w:rPr>
          <w:rFonts w:hint="cs"/>
          <w:rtl/>
        </w:rPr>
        <w:t xml:space="preserve">وأنها تغطي أبرز الأحداث في دائرة حياة المعالجة في أغلبية مكاتب الملكية الصناعية من أجل تبادل البيانات ولصالح المستخدمين. </w:t>
      </w:r>
      <w:r w:rsidR="006D4300" w:rsidRPr="00DC1851">
        <w:rPr>
          <w:rFonts w:hint="cs"/>
          <w:rtl/>
        </w:rPr>
        <w:t>وتنوي فرقة العمل أن تُعدّ الصيغة النهائية من قائمة الأحداث المفص</w:t>
      </w:r>
      <w:r w:rsidR="00443411" w:rsidRPr="00DC1851">
        <w:rPr>
          <w:rFonts w:hint="cs"/>
          <w:rtl/>
        </w:rPr>
        <w:t>ّ</w:t>
      </w:r>
      <w:r w:rsidR="006D4300" w:rsidRPr="00DC1851">
        <w:rPr>
          <w:rFonts w:hint="cs"/>
          <w:rtl/>
        </w:rPr>
        <w:t>لة استناداً إلى المعلومات التي تقدمها مكاتب الملكية الصناعي</w:t>
      </w:r>
      <w:r w:rsidR="006D4300" w:rsidRPr="00DC1851">
        <w:rPr>
          <w:rFonts w:hint="eastAsia"/>
          <w:rtl/>
        </w:rPr>
        <w:t>ة</w:t>
      </w:r>
      <w:r w:rsidR="00092B60" w:rsidRPr="00DC1851">
        <w:rPr>
          <w:rFonts w:hint="cs"/>
          <w:rtl/>
        </w:rPr>
        <w:t xml:space="preserve"> وأن تُقدمها إلى </w:t>
      </w:r>
      <w:r w:rsidR="00443411" w:rsidRPr="00DC1851">
        <w:rPr>
          <w:rFonts w:hint="cs"/>
          <w:rtl/>
        </w:rPr>
        <w:t>لجنة المعايير</w:t>
      </w:r>
      <w:r w:rsidR="00092B60" w:rsidRPr="00DC1851">
        <w:rPr>
          <w:rFonts w:hint="cs"/>
          <w:rtl/>
        </w:rPr>
        <w:t xml:space="preserve"> في دورتها المقبلة لتنظر فيها وتعتمدها. </w:t>
      </w:r>
    </w:p>
    <w:p w:rsidR="003D5EEB" w:rsidRPr="00DC1851" w:rsidRDefault="003D5EEB" w:rsidP="003D5EEB">
      <w:pPr>
        <w:pStyle w:val="NumberedParaAR"/>
      </w:pPr>
      <w:r w:rsidRPr="00DC1851">
        <w:rPr>
          <w:rFonts w:hint="cs"/>
          <w:rtl/>
        </w:rPr>
        <w:t xml:space="preserve">وفي ضوء ما تقدم، وشرط </w:t>
      </w:r>
      <w:r w:rsidRPr="00DC1851">
        <w:rPr>
          <w:rtl/>
        </w:rPr>
        <w:t xml:space="preserve">اعتماد المعيار الجديد في الدورة الحالية للجنة </w:t>
      </w:r>
      <w:r w:rsidR="009F729C" w:rsidRPr="00DC1851">
        <w:rPr>
          <w:rFonts w:hint="cs"/>
          <w:rtl/>
        </w:rPr>
        <w:t xml:space="preserve">المعايير </w:t>
      </w:r>
      <w:r w:rsidRPr="00DC1851">
        <w:rPr>
          <w:rtl/>
        </w:rPr>
        <w:t xml:space="preserve">(الدورة </w:t>
      </w:r>
      <w:r w:rsidRPr="00DC1851">
        <w:rPr>
          <w:rFonts w:hint="cs"/>
          <w:rtl/>
        </w:rPr>
        <w:t>الخامسة</w:t>
      </w:r>
      <w:r w:rsidRPr="00DC1851">
        <w:rPr>
          <w:rtl/>
        </w:rPr>
        <w:t>)</w:t>
      </w:r>
      <w:r w:rsidRPr="00DC1851">
        <w:rPr>
          <w:rFonts w:hint="cs"/>
          <w:rtl/>
        </w:rPr>
        <w:t xml:space="preserve">، تقترح فرقة العمل </w:t>
      </w:r>
      <w:r w:rsidRPr="00DC1851">
        <w:rPr>
          <w:rtl/>
        </w:rPr>
        <w:t>إدراج الملاحظة التحريرية التالية في المعيار الجديد:</w:t>
      </w:r>
    </w:p>
    <w:p w:rsidR="00427D35" w:rsidRPr="00DC1851" w:rsidRDefault="003D5EEB" w:rsidP="009F729C">
      <w:pPr>
        <w:pStyle w:val="NumberedParaAR"/>
        <w:numPr>
          <w:ilvl w:val="0"/>
          <w:numId w:val="0"/>
        </w:numPr>
        <w:ind w:left="566"/>
        <w:rPr>
          <w:rtl/>
        </w:rPr>
      </w:pPr>
      <w:r w:rsidRPr="00DC1851">
        <w:rPr>
          <w:rtl/>
        </w:rPr>
        <w:t>ملاحظة تحريرية من إعداد المكتب الدولي</w:t>
      </w:r>
      <w:r w:rsidRPr="00DC1851">
        <w:rPr>
          <w:rFonts w:hint="cs"/>
          <w:rtl/>
        </w:rPr>
        <w:t xml:space="preserve"> </w:t>
      </w:r>
    </w:p>
    <w:p w:rsidR="003D5EEB" w:rsidRPr="00DC1851" w:rsidRDefault="00427D35" w:rsidP="008D4712">
      <w:pPr>
        <w:pStyle w:val="NumberedParaAR"/>
        <w:numPr>
          <w:ilvl w:val="0"/>
          <w:numId w:val="0"/>
        </w:numPr>
        <w:ind w:left="566"/>
        <w:rPr>
          <w:rtl/>
        </w:rPr>
      </w:pPr>
      <w:r w:rsidRPr="00DC1851">
        <w:rPr>
          <w:rFonts w:hint="cs"/>
          <w:rtl/>
        </w:rPr>
        <w:t>إن الأحداث المفص</w:t>
      </w:r>
      <w:r w:rsidR="009F729C" w:rsidRPr="00DC1851">
        <w:rPr>
          <w:rFonts w:hint="cs"/>
          <w:rtl/>
        </w:rPr>
        <w:t>ّ</w:t>
      </w:r>
      <w:r w:rsidRPr="00DC1851">
        <w:rPr>
          <w:rFonts w:hint="cs"/>
          <w:rtl/>
        </w:rPr>
        <w:t xml:space="preserve">لة المُدرجة في هذا المعيار أحداث مؤقتة وستستعرضها مكاتب الملكية الصناعية وتقييمها </w:t>
      </w:r>
      <w:r w:rsidR="009F729C" w:rsidRPr="00DC1851">
        <w:rPr>
          <w:rFonts w:hint="cs"/>
          <w:rtl/>
        </w:rPr>
        <w:t>ل</w:t>
      </w:r>
      <w:r w:rsidRPr="00DC1851">
        <w:rPr>
          <w:rFonts w:hint="cs"/>
          <w:rtl/>
        </w:rPr>
        <w:t xml:space="preserve">فترة </w:t>
      </w:r>
      <w:r w:rsidR="009F729C" w:rsidRPr="00DC1851">
        <w:rPr>
          <w:rFonts w:hint="cs"/>
          <w:rtl/>
        </w:rPr>
        <w:t>عام كامل</w:t>
      </w:r>
      <w:r w:rsidRPr="00DC1851">
        <w:rPr>
          <w:rFonts w:hint="cs"/>
          <w:rtl/>
        </w:rPr>
        <w:t>. وبناءً على نتيجة الاستعراض و</w:t>
      </w:r>
      <w:r w:rsidR="00CC2689" w:rsidRPr="00DC1851">
        <w:rPr>
          <w:rFonts w:hint="cs"/>
          <w:rtl/>
        </w:rPr>
        <w:t>التقييم التي</w:t>
      </w:r>
      <w:r w:rsidR="000D35AC" w:rsidRPr="00DC1851">
        <w:rPr>
          <w:rFonts w:hint="cs"/>
          <w:rtl/>
        </w:rPr>
        <w:t xml:space="preserve"> ستقدمها مكاتب الملكية الصناعية، </w:t>
      </w:r>
      <w:r w:rsidR="00CC2689" w:rsidRPr="00DC1851">
        <w:rPr>
          <w:rFonts w:hint="cs"/>
          <w:rtl/>
        </w:rPr>
        <w:t>سيُرفع اقتراح نهائي لإدراج أحداث مفص</w:t>
      </w:r>
      <w:r w:rsidR="008D4712" w:rsidRPr="00DC1851">
        <w:rPr>
          <w:rFonts w:hint="cs"/>
          <w:rtl/>
        </w:rPr>
        <w:t>ّ</w:t>
      </w:r>
      <w:r w:rsidR="00CC2689" w:rsidRPr="00DC1851">
        <w:rPr>
          <w:rFonts w:hint="cs"/>
          <w:rtl/>
        </w:rPr>
        <w:t xml:space="preserve">لة في هذا المعيار لتعتمدها </w:t>
      </w:r>
      <w:r w:rsidR="008D4712" w:rsidRPr="00DC1851">
        <w:rPr>
          <w:rFonts w:hint="cs"/>
          <w:rtl/>
        </w:rPr>
        <w:t xml:space="preserve">لجنة المعايير في </w:t>
      </w:r>
      <w:r w:rsidR="00CC2689" w:rsidRPr="00DC1851">
        <w:rPr>
          <w:rFonts w:hint="cs"/>
          <w:rtl/>
        </w:rPr>
        <w:t>دور</w:t>
      </w:r>
      <w:r w:rsidR="008D4712" w:rsidRPr="00DC1851">
        <w:rPr>
          <w:rFonts w:hint="cs"/>
          <w:rtl/>
        </w:rPr>
        <w:t>تها</w:t>
      </w:r>
      <w:r w:rsidR="00CC2689" w:rsidRPr="00DC1851">
        <w:rPr>
          <w:rFonts w:hint="cs"/>
          <w:rtl/>
        </w:rPr>
        <w:t xml:space="preserve"> السادسة</w:t>
      </w:r>
      <w:r w:rsidR="0066001C" w:rsidRPr="00DC1851">
        <w:rPr>
          <w:rFonts w:hint="cs"/>
          <w:rtl/>
        </w:rPr>
        <w:t xml:space="preserve">. </w:t>
      </w:r>
      <w:r w:rsidR="00144F7F" w:rsidRPr="00DC1851">
        <w:rPr>
          <w:rFonts w:hint="cs"/>
          <w:rtl/>
        </w:rPr>
        <w:t xml:space="preserve">ويمكن أن تختار مكاتب الملكية الصناعية في الوقت الراهن أن تتبادل بيانات الوضع القانوني استناداً إلى الفئات والأحداث الرئيسة فقط، إن شاءت. </w:t>
      </w:r>
    </w:p>
    <w:p w:rsidR="003801D2" w:rsidRPr="00DC1851" w:rsidRDefault="003801D2" w:rsidP="005B3DB0">
      <w:pPr>
        <w:pStyle w:val="NumberedParaAR"/>
        <w:numPr>
          <w:ilvl w:val="0"/>
          <w:numId w:val="0"/>
        </w:numPr>
        <w:ind w:left="566"/>
        <w:rPr>
          <w:rtl/>
        </w:rPr>
      </w:pPr>
      <w:r w:rsidRPr="00DC1851">
        <w:rPr>
          <w:rtl/>
        </w:rPr>
        <w:t>واعتمدت اللجنة المعنية بمعايير الويبو هذا المعيار في</w:t>
      </w:r>
      <w:r w:rsidR="005B3DB0" w:rsidRPr="00DC1851">
        <w:rPr>
          <w:rtl/>
        </w:rPr>
        <w:t xml:space="preserve"> [</w:t>
      </w:r>
      <w:r w:rsidRPr="00DC1851">
        <w:rPr>
          <w:rtl/>
        </w:rPr>
        <w:t xml:space="preserve">دورتها </w:t>
      </w:r>
      <w:r w:rsidRPr="00DC1851">
        <w:rPr>
          <w:rFonts w:hint="cs"/>
          <w:rtl/>
        </w:rPr>
        <w:t>الخامسة</w:t>
      </w:r>
      <w:r w:rsidRPr="00DC1851">
        <w:rPr>
          <w:rtl/>
        </w:rPr>
        <w:t xml:space="preserve"> </w:t>
      </w:r>
      <w:r w:rsidR="00947056" w:rsidRPr="00DC1851">
        <w:rPr>
          <w:rFonts w:hint="cs"/>
          <w:rtl/>
        </w:rPr>
        <w:t xml:space="preserve">المعقودة </w:t>
      </w:r>
      <w:r w:rsidRPr="00DC1851">
        <w:rPr>
          <w:rtl/>
        </w:rPr>
        <w:t xml:space="preserve">في 2 </w:t>
      </w:r>
      <w:r w:rsidR="00C54548" w:rsidRPr="00DC1851">
        <w:rPr>
          <w:rFonts w:hint="cs"/>
          <w:rtl/>
        </w:rPr>
        <w:t>يونيو</w:t>
      </w:r>
      <w:r w:rsidRPr="00DC1851">
        <w:rPr>
          <w:rtl/>
        </w:rPr>
        <w:t xml:space="preserve"> 201</w:t>
      </w:r>
      <w:r w:rsidRPr="00DC1851">
        <w:rPr>
          <w:rFonts w:hint="cs"/>
          <w:rtl/>
        </w:rPr>
        <w:t>7</w:t>
      </w:r>
      <w:r w:rsidR="005B3DB0" w:rsidRPr="00DC1851">
        <w:rPr>
          <w:rtl/>
        </w:rPr>
        <w:t>]</w:t>
      </w:r>
      <w:r w:rsidRPr="00DC1851">
        <w:rPr>
          <w:rtl/>
        </w:rPr>
        <w:t>.</w:t>
      </w:r>
    </w:p>
    <w:p w:rsidR="00916B4B" w:rsidRPr="00DC1851" w:rsidRDefault="00916B4B" w:rsidP="005B3DB0">
      <w:pPr>
        <w:pStyle w:val="NumberedParaAR"/>
        <w:keepNext/>
        <w:keepLines/>
        <w:numPr>
          <w:ilvl w:val="0"/>
          <w:numId w:val="0"/>
        </w:numPr>
        <w:spacing w:after="60"/>
        <w:rPr>
          <w:u w:val="single"/>
        </w:rPr>
      </w:pPr>
      <w:r w:rsidRPr="00DC1851">
        <w:rPr>
          <w:rFonts w:hint="cs"/>
          <w:u w:val="single"/>
          <w:rtl/>
        </w:rPr>
        <w:t>إعداد وثيقة إرشادية</w:t>
      </w:r>
    </w:p>
    <w:p w:rsidR="00DE7146" w:rsidRPr="00DC1851" w:rsidRDefault="00400E7D" w:rsidP="004564FB">
      <w:pPr>
        <w:pStyle w:val="NumberedParaAR"/>
      </w:pPr>
      <w:r w:rsidRPr="00DC1851">
        <w:rPr>
          <w:rFonts w:hint="cs"/>
          <w:rtl/>
        </w:rPr>
        <w:t xml:space="preserve">يتطلب المعيار المقترح أن ترسم مكاتب الملكية الصناعية </w:t>
      </w:r>
      <w:r w:rsidR="00E6386E" w:rsidRPr="00DC1851">
        <w:rPr>
          <w:rFonts w:hint="cs"/>
          <w:rtl/>
        </w:rPr>
        <w:t>خارطة ل</w:t>
      </w:r>
      <w:r w:rsidRPr="00DC1851">
        <w:rPr>
          <w:rFonts w:hint="cs"/>
          <w:rtl/>
        </w:rPr>
        <w:t xml:space="preserve">أحداثها الوطنية/الإقليمية </w:t>
      </w:r>
      <w:r w:rsidR="00E6386E" w:rsidRPr="00DC1851">
        <w:rPr>
          <w:rFonts w:hint="cs"/>
          <w:rtl/>
        </w:rPr>
        <w:t xml:space="preserve">وفق </w:t>
      </w:r>
      <w:r w:rsidR="00DE7146" w:rsidRPr="00DC1851">
        <w:rPr>
          <w:rFonts w:hint="cs"/>
          <w:rtl/>
        </w:rPr>
        <w:t>أحداث</w:t>
      </w:r>
      <w:r w:rsidR="00E6386E" w:rsidRPr="00DC1851">
        <w:rPr>
          <w:rFonts w:hint="cs"/>
          <w:rtl/>
        </w:rPr>
        <w:t xml:space="preserve"> </w:t>
      </w:r>
      <w:r w:rsidR="009963DD" w:rsidRPr="00DC1851">
        <w:rPr>
          <w:rFonts w:hint="cs"/>
          <w:rtl/>
        </w:rPr>
        <w:t>معيارية</w:t>
      </w:r>
      <w:r w:rsidR="00E6386E" w:rsidRPr="00DC1851">
        <w:rPr>
          <w:rFonts w:hint="cs"/>
          <w:rtl/>
        </w:rPr>
        <w:t xml:space="preserve"> بحيث يتسنى للجهة المتلقية أن تفهم الوضع القانوني لطلب أو حق ملكية فكرية </w:t>
      </w:r>
      <w:r w:rsidR="008551C2" w:rsidRPr="00DC1851">
        <w:rPr>
          <w:rFonts w:hint="cs"/>
          <w:rtl/>
        </w:rPr>
        <w:t xml:space="preserve">دون الحاجة إلى </w:t>
      </w:r>
      <w:r w:rsidR="009963DD" w:rsidRPr="00DC1851">
        <w:rPr>
          <w:rFonts w:hint="cs"/>
          <w:rtl/>
        </w:rPr>
        <w:t>الإلمام</w:t>
      </w:r>
      <w:r w:rsidR="008551C2" w:rsidRPr="00DC1851">
        <w:rPr>
          <w:rFonts w:hint="cs"/>
          <w:rtl/>
        </w:rPr>
        <w:t xml:space="preserve"> با</w:t>
      </w:r>
      <w:r w:rsidRPr="00DC1851">
        <w:rPr>
          <w:rFonts w:hint="cs"/>
          <w:rtl/>
        </w:rPr>
        <w:t xml:space="preserve">لممارسات </w:t>
      </w:r>
      <w:r w:rsidR="00E6386E" w:rsidRPr="00DC1851">
        <w:rPr>
          <w:rFonts w:hint="cs"/>
          <w:rtl/>
        </w:rPr>
        <w:t xml:space="preserve">الوطنية/الإقليمية </w:t>
      </w:r>
      <w:r w:rsidRPr="00DC1851">
        <w:rPr>
          <w:rFonts w:hint="cs"/>
          <w:rtl/>
        </w:rPr>
        <w:t>الخاصة التي يتبعها مكتب الملكية الصناعية</w:t>
      </w:r>
      <w:r w:rsidR="009963DD" w:rsidRPr="00DC1851">
        <w:rPr>
          <w:rFonts w:hint="cs"/>
          <w:rtl/>
        </w:rPr>
        <w:t xml:space="preserve"> المعني</w:t>
      </w:r>
      <w:r w:rsidRPr="00DC1851">
        <w:rPr>
          <w:rFonts w:hint="cs"/>
          <w:rtl/>
        </w:rPr>
        <w:t>.</w:t>
      </w:r>
      <w:r w:rsidR="008551C2" w:rsidRPr="00DC1851">
        <w:rPr>
          <w:rFonts w:hint="cs"/>
          <w:rtl/>
        </w:rPr>
        <w:t xml:space="preserve"> ولمساعدة مكاتب الملكية الصناعية في رسم الخارطة يتضمن المعيار المقترح </w:t>
      </w:r>
      <w:r w:rsidR="005B3DB0" w:rsidRPr="00DC1851">
        <w:rPr>
          <w:rFonts w:hint="cs"/>
          <w:rtl/>
        </w:rPr>
        <w:t>وصفا شاملا للفئات والأحداث مرفقا</w:t>
      </w:r>
      <w:r w:rsidR="00675B69" w:rsidRPr="00DC1851">
        <w:rPr>
          <w:rFonts w:hint="cs"/>
          <w:rtl/>
        </w:rPr>
        <w:t xml:space="preserve"> بأمثلة عديدة. لكن فرقة العمل لاحظت </w:t>
      </w:r>
      <w:r w:rsidR="000C2A3A" w:rsidRPr="00DC1851">
        <w:rPr>
          <w:rFonts w:hint="cs"/>
          <w:rtl/>
        </w:rPr>
        <w:t xml:space="preserve">أن مكاتب الملكية الصناعية، لا سيما تلك التي لم تشارك في مناقشاتها، تحتاج إلى مزيد من المعلومات لتتمكن من رسم خارطة أحداثها بشكل متسق. لذا، شرعت فرقة العمل في إعداد وثيقة إرشادية </w:t>
      </w:r>
      <w:r w:rsidR="00DE7146" w:rsidRPr="00DC1851">
        <w:rPr>
          <w:rFonts w:hint="cs"/>
          <w:rtl/>
        </w:rPr>
        <w:t xml:space="preserve">تتضمن أمثلة عن الممارسات المختلفة لمكاتب الملكية الصناعية وملاحظات توضيحية وتوجيهات في كيفية رسم خارطة الأحداث الوطنية/الإقليمية وفق أحداث قياسية. </w:t>
      </w:r>
    </w:p>
    <w:p w:rsidR="00400E7D" w:rsidRDefault="005B3DB0" w:rsidP="006E0E2D">
      <w:pPr>
        <w:pStyle w:val="NumberedParaAR"/>
      </w:pPr>
      <w:r w:rsidRPr="00DC1851">
        <w:rPr>
          <w:rFonts w:hint="cs"/>
          <w:rtl/>
        </w:rPr>
        <w:t>ونظرا</w:t>
      </w:r>
      <w:r w:rsidR="00A4328E" w:rsidRPr="00DC1851">
        <w:rPr>
          <w:rFonts w:hint="cs"/>
          <w:rtl/>
        </w:rPr>
        <w:t xml:space="preserve"> إلى</w:t>
      </w:r>
      <w:r w:rsidR="00584854" w:rsidRPr="00DC1851">
        <w:rPr>
          <w:rFonts w:hint="cs"/>
          <w:rtl/>
        </w:rPr>
        <w:t xml:space="preserve"> أن</w:t>
      </w:r>
      <w:r w:rsidR="00A4328E" w:rsidRPr="00DC1851">
        <w:rPr>
          <w:rFonts w:hint="cs"/>
          <w:rtl/>
        </w:rPr>
        <w:t xml:space="preserve"> ضيق الوقت</w:t>
      </w:r>
      <w:r w:rsidR="004D3A88" w:rsidRPr="00DC1851">
        <w:rPr>
          <w:rFonts w:hint="cs"/>
          <w:rtl/>
        </w:rPr>
        <w:t xml:space="preserve"> لم يسمح بإنجاز الوثيقة وإ</w:t>
      </w:r>
      <w:r w:rsidR="00584854" w:rsidRPr="00DC1851">
        <w:rPr>
          <w:rFonts w:hint="cs"/>
          <w:rtl/>
        </w:rPr>
        <w:t>لى الحاجة لأن تو</w:t>
      </w:r>
      <w:r w:rsidRPr="00DC1851">
        <w:rPr>
          <w:rFonts w:hint="cs"/>
          <w:rtl/>
        </w:rPr>
        <w:t>فر مكاتب الملكية الصناعية مزيدا</w:t>
      </w:r>
      <w:r w:rsidR="00584854" w:rsidRPr="00DC1851">
        <w:rPr>
          <w:rFonts w:hint="cs"/>
          <w:rtl/>
        </w:rPr>
        <w:t xml:space="preserve"> من الأمثلة،</w:t>
      </w:r>
      <w:r w:rsidR="00E424A3" w:rsidRPr="00DC1851">
        <w:rPr>
          <w:rFonts w:hint="cs"/>
          <w:rtl/>
        </w:rPr>
        <w:t xml:space="preserve"> قررت فرقة العمل </w:t>
      </w:r>
      <w:r w:rsidR="00424B5A" w:rsidRPr="00DC1851">
        <w:rPr>
          <w:rFonts w:hint="cs"/>
          <w:rtl/>
        </w:rPr>
        <w:t xml:space="preserve">أن لا </w:t>
      </w:r>
      <w:r w:rsidR="004D3A88" w:rsidRPr="00DC1851">
        <w:rPr>
          <w:rFonts w:hint="cs"/>
          <w:rtl/>
        </w:rPr>
        <w:t>تُدرجها في مشروع المعيار المقترح وأن تواصل العمل عليها بفضل أمثلة وتجارب إضافية ستردها من مكاتب الملكية ا</w:t>
      </w:r>
      <w:r w:rsidRPr="00DC1851">
        <w:rPr>
          <w:rFonts w:hint="cs"/>
          <w:rtl/>
        </w:rPr>
        <w:t>لصناعية وأن تقدم مقترحا نهائيا</w:t>
      </w:r>
      <w:r w:rsidR="004D3A88" w:rsidRPr="00DC1851">
        <w:rPr>
          <w:rFonts w:hint="cs"/>
          <w:rtl/>
        </w:rPr>
        <w:t xml:space="preserve"> </w:t>
      </w:r>
      <w:r w:rsidR="003A3558" w:rsidRPr="00DC1851">
        <w:rPr>
          <w:rFonts w:hint="cs"/>
          <w:rtl/>
        </w:rPr>
        <w:t xml:space="preserve">من الوثيقة الإرشادية كمرفق جديد للمعيار المقترح لتنظر فيه </w:t>
      </w:r>
      <w:r w:rsidR="00C6418B" w:rsidRPr="00DC1851">
        <w:rPr>
          <w:rFonts w:hint="cs"/>
          <w:rtl/>
        </w:rPr>
        <w:t>لجنة المعايير</w:t>
      </w:r>
      <w:r w:rsidR="003A3558" w:rsidRPr="00DC1851">
        <w:rPr>
          <w:rFonts w:hint="cs"/>
          <w:rtl/>
        </w:rPr>
        <w:t xml:space="preserve"> في دورتها المقبلة وتعتمده. </w:t>
      </w:r>
    </w:p>
    <w:p w:rsidR="00A46BC3" w:rsidRPr="00A46BC3" w:rsidRDefault="00A46BC3" w:rsidP="00A46BC3">
      <w:pPr>
        <w:pStyle w:val="NumberedParaAR"/>
        <w:keepNext/>
        <w:keepLines/>
        <w:numPr>
          <w:ilvl w:val="0"/>
          <w:numId w:val="0"/>
        </w:numPr>
        <w:spacing w:after="60"/>
        <w:rPr>
          <w:u w:val="single"/>
          <w:rtl/>
        </w:rPr>
      </w:pPr>
      <w:r w:rsidRPr="00A46BC3">
        <w:rPr>
          <w:rFonts w:hint="cs"/>
          <w:u w:val="single"/>
          <w:rtl/>
        </w:rPr>
        <w:t xml:space="preserve">تطوير لغة ترميز موسعة </w:t>
      </w:r>
      <w:r w:rsidRPr="00A46BC3">
        <w:rPr>
          <w:u w:val="single"/>
        </w:rPr>
        <w:t>(XML)</w:t>
      </w:r>
      <w:r w:rsidRPr="00A46BC3">
        <w:rPr>
          <w:rFonts w:hint="cs"/>
          <w:u w:val="single"/>
          <w:rtl/>
        </w:rPr>
        <w:t xml:space="preserve"> لتبادل بيانات الوضع القانوني</w:t>
      </w:r>
    </w:p>
    <w:p w:rsidR="00EA38CA" w:rsidRPr="00DC1851" w:rsidRDefault="006C4FB7" w:rsidP="00A81712">
      <w:pPr>
        <w:pStyle w:val="NumberedParaAR"/>
      </w:pPr>
      <w:r w:rsidRPr="00DC1851">
        <w:rPr>
          <w:rFonts w:hint="cs"/>
          <w:rtl/>
        </w:rPr>
        <w:t>ولتيسير ت</w:t>
      </w:r>
      <w:r w:rsidR="00A7701A" w:rsidRPr="00DC1851">
        <w:rPr>
          <w:rFonts w:hint="cs"/>
          <w:rtl/>
        </w:rPr>
        <w:t>بادل الوضع القانوني للبراءات بين</w:t>
      </w:r>
      <w:r w:rsidRPr="00DC1851">
        <w:rPr>
          <w:rFonts w:hint="cs"/>
          <w:rtl/>
        </w:rPr>
        <w:t xml:space="preserve"> مكاتب الملكية الصناعية، </w:t>
      </w:r>
      <w:r w:rsidR="00E424A3" w:rsidRPr="00DC1851">
        <w:rPr>
          <w:rFonts w:hint="cs"/>
          <w:rtl/>
        </w:rPr>
        <w:t>سيتعين</w:t>
      </w:r>
      <w:r w:rsidR="005B3DB0" w:rsidRPr="00DC1851">
        <w:rPr>
          <w:rFonts w:hint="cs"/>
          <w:rtl/>
        </w:rPr>
        <w:t xml:space="preserve"> مبدئيا</w:t>
      </w:r>
      <w:r w:rsidR="00E424A3" w:rsidRPr="00DC1851">
        <w:rPr>
          <w:rFonts w:hint="cs"/>
          <w:rtl/>
        </w:rPr>
        <w:t xml:space="preserve"> تشغيل المعيار المقترح بلغة </w:t>
      </w:r>
      <w:r w:rsidR="00E424A3" w:rsidRPr="00DC1851">
        <w:rPr>
          <w:rtl/>
        </w:rPr>
        <w:t>الترميز الموسعة (</w:t>
      </w:r>
      <w:r w:rsidR="00E424A3" w:rsidRPr="00DC1851">
        <w:t>XML</w:t>
      </w:r>
      <w:r w:rsidR="00E424A3" w:rsidRPr="00DC1851">
        <w:rPr>
          <w:rtl/>
        </w:rPr>
        <w:t>)</w:t>
      </w:r>
      <w:r w:rsidR="00E424A3" w:rsidRPr="00DC1851">
        <w:rPr>
          <w:rFonts w:hint="cs"/>
          <w:rtl/>
        </w:rPr>
        <w:t>.</w:t>
      </w:r>
      <w:r w:rsidRPr="00DC1851">
        <w:rPr>
          <w:rFonts w:hint="cs"/>
          <w:rtl/>
        </w:rPr>
        <w:t xml:space="preserve"> لكن المعيار المقترح لا يتناول مسألة تشغيل تبادل بيانات الوضع القانوني في نسق لغة </w:t>
      </w:r>
      <w:r w:rsidRPr="00DC1851">
        <w:rPr>
          <w:rtl/>
        </w:rPr>
        <w:t>الترميز الموسعة (</w:t>
      </w:r>
      <w:r w:rsidRPr="00DC1851">
        <w:t>XML</w:t>
      </w:r>
      <w:r w:rsidRPr="00DC1851">
        <w:rPr>
          <w:rtl/>
        </w:rPr>
        <w:t>)</w:t>
      </w:r>
      <w:r w:rsidRPr="00DC1851">
        <w:rPr>
          <w:rFonts w:hint="cs"/>
          <w:rtl/>
        </w:rPr>
        <w:t xml:space="preserve"> التي ينبغي أن تناقشها وتطورها فرقة (فرق) العمل الأخرى</w:t>
      </w:r>
      <w:r w:rsidR="00EA38CA" w:rsidRPr="00DC1851">
        <w:rPr>
          <w:rFonts w:hint="cs"/>
          <w:rtl/>
        </w:rPr>
        <w:t xml:space="preserve"> المعنية بلغة </w:t>
      </w:r>
      <w:r w:rsidR="00EA38CA" w:rsidRPr="00DC1851">
        <w:rPr>
          <w:rtl/>
        </w:rPr>
        <w:t>(</w:t>
      </w:r>
      <w:r w:rsidR="00EA38CA" w:rsidRPr="00DC1851">
        <w:t>XML</w:t>
      </w:r>
      <w:r w:rsidR="00EA38CA" w:rsidRPr="00DC1851">
        <w:rPr>
          <w:rtl/>
        </w:rPr>
        <w:t>)</w:t>
      </w:r>
      <w:r w:rsidR="00F02A73" w:rsidRPr="00DC1851">
        <w:rPr>
          <w:rFonts w:hint="cs"/>
          <w:rtl/>
        </w:rPr>
        <w:t>، وذلك عملا</w:t>
      </w:r>
      <w:r w:rsidR="0084748F" w:rsidRPr="00DC1851">
        <w:rPr>
          <w:rFonts w:hint="cs"/>
          <w:rtl/>
        </w:rPr>
        <w:t xml:space="preserve"> بقرار ل</w:t>
      </w:r>
      <w:r w:rsidR="00EA38CA" w:rsidRPr="00DC1851">
        <w:rPr>
          <w:rFonts w:hint="cs"/>
          <w:rtl/>
        </w:rPr>
        <w:t>جنة</w:t>
      </w:r>
      <w:r w:rsidR="00A81712" w:rsidRPr="00DC1851">
        <w:rPr>
          <w:rFonts w:hint="eastAsia"/>
          <w:rtl/>
        </w:rPr>
        <w:t> </w:t>
      </w:r>
      <w:r w:rsidR="0084748F" w:rsidRPr="00DC1851">
        <w:rPr>
          <w:rFonts w:hint="cs"/>
          <w:rtl/>
        </w:rPr>
        <w:t>المعايير</w:t>
      </w:r>
      <w:r w:rsidR="00EA38CA" w:rsidRPr="00DC1851">
        <w:rPr>
          <w:rFonts w:hint="cs"/>
          <w:rtl/>
        </w:rPr>
        <w:t xml:space="preserve">. </w:t>
      </w:r>
    </w:p>
    <w:p w:rsidR="006E14BF" w:rsidRPr="00DC1851" w:rsidRDefault="008F51DA" w:rsidP="00075C6A">
      <w:pPr>
        <w:pStyle w:val="NumberedParaAR"/>
      </w:pPr>
      <w:r w:rsidRPr="00DC1851">
        <w:rPr>
          <w:rFonts w:hint="cs"/>
          <w:rtl/>
        </w:rPr>
        <w:lastRenderedPageBreak/>
        <w:t>وعقب الاتفاق الذي تمخّض عن الدورة الثالثة للجنة</w:t>
      </w:r>
      <w:r w:rsidR="0084748F" w:rsidRPr="00DC1851">
        <w:rPr>
          <w:rFonts w:hint="cs"/>
          <w:rtl/>
        </w:rPr>
        <w:t xml:space="preserve"> المعايير</w:t>
      </w:r>
      <w:r w:rsidRPr="00DC1851">
        <w:rPr>
          <w:rFonts w:hint="cs"/>
          <w:rtl/>
        </w:rPr>
        <w:t xml:space="preserve">، طلبت فرقة العمل من اللجنة أن </w:t>
      </w:r>
      <w:r w:rsidR="00075C6A" w:rsidRPr="00DC1851">
        <w:rPr>
          <w:rFonts w:hint="cs"/>
          <w:rtl/>
        </w:rPr>
        <w:t>تلتمس من</w:t>
      </w:r>
      <w:r w:rsidRPr="00DC1851">
        <w:rPr>
          <w:rFonts w:hint="cs"/>
          <w:rtl/>
        </w:rPr>
        <w:t xml:space="preserve"> </w:t>
      </w:r>
      <w:r w:rsidRPr="00DC1851">
        <w:rPr>
          <w:rtl/>
        </w:rPr>
        <w:t xml:space="preserve">فرقة عمل </w:t>
      </w:r>
      <w:r w:rsidRPr="00DC1851">
        <w:t>XML4IP</w:t>
      </w:r>
      <w:r w:rsidRPr="00DC1851">
        <w:rPr>
          <w:rtl/>
        </w:rPr>
        <w:t xml:space="preserve"> </w:t>
      </w:r>
      <w:r w:rsidR="00D33106" w:rsidRPr="00DC1851">
        <w:rPr>
          <w:rtl/>
        </w:rPr>
        <w:t xml:space="preserve">تطوير </w:t>
      </w:r>
      <w:r w:rsidR="006A7671" w:rsidRPr="00DC1851">
        <w:rPr>
          <w:rFonts w:hint="cs"/>
          <w:rtl/>
        </w:rPr>
        <w:t xml:space="preserve">مكونات </w:t>
      </w:r>
      <w:r w:rsidR="00D33106" w:rsidRPr="00DC1851">
        <w:rPr>
          <w:rtl/>
        </w:rPr>
        <w:t>مخطط</w:t>
      </w:r>
      <w:r w:rsidRPr="00DC1851">
        <w:rPr>
          <w:rFonts w:hint="cs"/>
          <w:rtl/>
        </w:rPr>
        <w:t xml:space="preserve"> بلغة </w:t>
      </w:r>
      <w:r w:rsidRPr="00DC1851">
        <w:rPr>
          <w:rtl/>
        </w:rPr>
        <w:t>(</w:t>
      </w:r>
      <w:r w:rsidRPr="00DC1851">
        <w:t>XML</w:t>
      </w:r>
      <w:r w:rsidRPr="00DC1851">
        <w:rPr>
          <w:rtl/>
        </w:rPr>
        <w:t>)</w:t>
      </w:r>
      <w:r w:rsidR="006A7671" w:rsidRPr="00DC1851">
        <w:rPr>
          <w:rFonts w:hint="cs"/>
          <w:rtl/>
        </w:rPr>
        <w:t xml:space="preserve"> تسهّل تبادل بيانات </w:t>
      </w:r>
      <w:r w:rsidR="00F02A73" w:rsidRPr="00DC1851">
        <w:rPr>
          <w:rFonts w:hint="cs"/>
          <w:rtl/>
        </w:rPr>
        <w:t>الوضع القانوني للبراءات استنادا</w:t>
      </w:r>
      <w:r w:rsidR="006A7671" w:rsidRPr="00DC1851">
        <w:rPr>
          <w:rFonts w:hint="cs"/>
          <w:rtl/>
        </w:rPr>
        <w:t xml:space="preserve"> إلى المعيار الجديد المقترح. وينبغي عقب إعداد مشروع المخطط بلغة </w:t>
      </w:r>
      <w:r w:rsidR="006A7671" w:rsidRPr="00DC1851">
        <w:rPr>
          <w:rtl/>
        </w:rPr>
        <w:t>(</w:t>
      </w:r>
      <w:r w:rsidR="006A7671" w:rsidRPr="00DC1851">
        <w:t>XML</w:t>
      </w:r>
      <w:r w:rsidR="006A7671" w:rsidRPr="00DC1851">
        <w:rPr>
          <w:rtl/>
        </w:rPr>
        <w:t>)</w:t>
      </w:r>
      <w:r w:rsidR="00333D17" w:rsidRPr="00DC1851">
        <w:rPr>
          <w:rFonts w:hint="cs"/>
          <w:rtl/>
        </w:rPr>
        <w:t xml:space="preserve"> أن يُعرض ع</w:t>
      </w:r>
      <w:r w:rsidR="00F02A73" w:rsidRPr="00DC1851">
        <w:rPr>
          <w:rFonts w:hint="cs"/>
          <w:rtl/>
        </w:rPr>
        <w:t>لى اللجنة لتنظر فيه وتتخذ قرارا</w:t>
      </w:r>
      <w:r w:rsidR="00333D17" w:rsidRPr="00DC1851">
        <w:rPr>
          <w:rFonts w:hint="cs"/>
          <w:rtl/>
        </w:rPr>
        <w:t xml:space="preserve"> </w:t>
      </w:r>
      <w:r w:rsidR="006E14BF" w:rsidRPr="00DC1851">
        <w:rPr>
          <w:rFonts w:hint="cs"/>
          <w:rtl/>
        </w:rPr>
        <w:t>إن كان</w:t>
      </w:r>
      <w:r w:rsidR="00333D17" w:rsidRPr="00DC1851">
        <w:rPr>
          <w:rFonts w:hint="cs"/>
          <w:rtl/>
        </w:rPr>
        <w:t xml:space="preserve"> </w:t>
      </w:r>
      <w:r w:rsidR="006E14BF" w:rsidRPr="00DC1851">
        <w:rPr>
          <w:rFonts w:hint="cs"/>
          <w:rtl/>
        </w:rPr>
        <w:t>سيُدرج</w:t>
      </w:r>
      <w:r w:rsidR="00333D17" w:rsidRPr="00DC1851">
        <w:rPr>
          <w:rFonts w:hint="cs"/>
          <w:rtl/>
        </w:rPr>
        <w:t xml:space="preserve"> في معيار الويبو الجديد </w:t>
      </w:r>
      <w:r w:rsidR="006E14BF" w:rsidRPr="00DC1851">
        <w:rPr>
          <w:rFonts w:hint="cs"/>
          <w:rtl/>
        </w:rPr>
        <w:t xml:space="preserve">أم في معيار الويبو </w:t>
      </w:r>
      <w:r w:rsidR="006E14BF" w:rsidRPr="00DC1851">
        <w:t>ST.96</w:t>
      </w:r>
      <w:r w:rsidR="006E14BF" w:rsidRPr="00DC1851">
        <w:rPr>
          <w:rFonts w:hint="cs"/>
          <w:rtl/>
        </w:rPr>
        <w:t xml:space="preserve">. </w:t>
      </w:r>
    </w:p>
    <w:p w:rsidR="00055F11" w:rsidRPr="00DC1851" w:rsidRDefault="00055F11" w:rsidP="00F02A73">
      <w:pPr>
        <w:pStyle w:val="NumberedParaAR"/>
        <w:keepNext/>
        <w:keepLines/>
        <w:numPr>
          <w:ilvl w:val="0"/>
          <w:numId w:val="0"/>
        </w:numPr>
        <w:spacing w:after="60"/>
        <w:rPr>
          <w:u w:val="single"/>
        </w:rPr>
      </w:pPr>
      <w:r w:rsidRPr="00DC1851">
        <w:rPr>
          <w:rFonts w:hint="cs"/>
          <w:u w:val="single"/>
          <w:rtl/>
        </w:rPr>
        <w:t xml:space="preserve">العلامات التجارية والتصاميم الصناعية </w:t>
      </w:r>
    </w:p>
    <w:p w:rsidR="00252328" w:rsidRPr="00DC1851" w:rsidRDefault="00B0704B" w:rsidP="00931652">
      <w:pPr>
        <w:pStyle w:val="NumberedParaAR"/>
      </w:pPr>
      <w:r w:rsidRPr="00DC1851">
        <w:rPr>
          <w:rFonts w:hint="cs"/>
          <w:rtl/>
        </w:rPr>
        <w:t>ركّزت فرقة العمل إلى هذا التاريخ على إعدادا اقتراح لمعيار بشأن الوضع القانوني للبراءات</w:t>
      </w:r>
      <w:r w:rsidR="00810EEE" w:rsidRPr="00DC1851">
        <w:rPr>
          <w:rFonts w:hint="cs"/>
          <w:rtl/>
        </w:rPr>
        <w:t xml:space="preserve"> </w:t>
      </w:r>
      <w:r w:rsidR="005766EA" w:rsidRPr="00DC1851">
        <w:rPr>
          <w:rFonts w:hint="cs"/>
          <w:rtl/>
        </w:rPr>
        <w:t xml:space="preserve">ولم تبحث موضوع العلامات التجارية والتصاميم الصناعية. </w:t>
      </w:r>
      <w:r w:rsidR="00F02A73" w:rsidRPr="00DC1851">
        <w:rPr>
          <w:rFonts w:hint="cs"/>
          <w:rtl/>
        </w:rPr>
        <w:t>وعملا</w:t>
      </w:r>
      <w:r w:rsidR="00433297" w:rsidRPr="00DC1851">
        <w:rPr>
          <w:rFonts w:hint="cs"/>
          <w:rtl/>
        </w:rPr>
        <w:t xml:space="preserve"> بالقرار الذي اتخذته لجنة المعايير في دورتها الثالثة، </w:t>
      </w:r>
      <w:r w:rsidR="00931652" w:rsidRPr="00DC1851">
        <w:rPr>
          <w:rFonts w:hint="cs"/>
          <w:rtl/>
        </w:rPr>
        <w:t>سيتعين على فرقة العمل، بعد اعتماد المعيار المقترح، أن تُعدّ توصيات بشأن تبادل بيانات الوضع القانوني ل</w:t>
      </w:r>
      <w:r w:rsidR="00931652" w:rsidRPr="00DC1851">
        <w:rPr>
          <w:rtl/>
        </w:rPr>
        <w:t>لعلامات التجارية والتصاميم الصناعية</w:t>
      </w:r>
      <w:r w:rsidR="00931652" w:rsidRPr="00DC1851">
        <w:rPr>
          <w:rFonts w:hint="cs"/>
          <w:rtl/>
        </w:rPr>
        <w:t xml:space="preserve">. </w:t>
      </w:r>
    </w:p>
    <w:p w:rsidR="00C5155E" w:rsidRPr="00DC1851" w:rsidRDefault="00C5155E" w:rsidP="00F02A73">
      <w:pPr>
        <w:pStyle w:val="NumberedParaAR"/>
        <w:numPr>
          <w:ilvl w:val="0"/>
          <w:numId w:val="0"/>
        </w:numPr>
        <w:spacing w:after="60"/>
      </w:pPr>
      <w:r w:rsidRPr="00DC1851">
        <w:rPr>
          <w:rtl/>
        </w:rPr>
        <w:t>المهمة رقم 47</w:t>
      </w:r>
      <w:r w:rsidRPr="00DC1851">
        <w:rPr>
          <w:rFonts w:hint="cs"/>
          <w:rtl/>
        </w:rPr>
        <w:t xml:space="preserve"> الجديدة المقترحة</w:t>
      </w:r>
    </w:p>
    <w:p w:rsidR="00EA7654" w:rsidRPr="00DC1851" w:rsidRDefault="00C5155E" w:rsidP="00613229">
      <w:pPr>
        <w:pStyle w:val="NumberedParaAR"/>
      </w:pPr>
      <w:r w:rsidRPr="00DC1851">
        <w:rPr>
          <w:rFonts w:hint="cs"/>
          <w:rtl/>
        </w:rPr>
        <w:t xml:space="preserve">في </w:t>
      </w:r>
      <w:r w:rsidR="003A2A7A" w:rsidRPr="00DC1851">
        <w:rPr>
          <w:rFonts w:hint="cs"/>
          <w:rtl/>
        </w:rPr>
        <w:t>حال اعتُ</w:t>
      </w:r>
      <w:r w:rsidRPr="00DC1851">
        <w:rPr>
          <w:rFonts w:hint="cs"/>
          <w:rtl/>
        </w:rPr>
        <w:t xml:space="preserve">مد المعيار الجديد، يقترح المكتب الدولي تعديل </w:t>
      </w:r>
      <w:r w:rsidRPr="00DC1851">
        <w:rPr>
          <w:rtl/>
        </w:rPr>
        <w:t>المهمة رقم 47</w:t>
      </w:r>
      <w:r w:rsidRPr="00DC1851">
        <w:rPr>
          <w:rFonts w:hint="cs"/>
          <w:rtl/>
        </w:rPr>
        <w:t xml:space="preserve"> بما يسمح بالتركيز على الجزء المتبقي.</w:t>
      </w:r>
      <w:r w:rsidR="003A2A7A" w:rsidRPr="00DC1851">
        <w:rPr>
          <w:rFonts w:hint="cs"/>
          <w:rtl/>
        </w:rPr>
        <w:t xml:space="preserve"> والصياغة المقترحة لوصف المهمة 47 هي: "إعداد اقتراح نهائي للأحداث المفصّلة ووثيقة إرشادية بشأن بيانات الوضع القانوني للبراءات؛ وإ</w:t>
      </w:r>
      <w:r w:rsidR="009506AF" w:rsidRPr="00DC1851">
        <w:rPr>
          <w:rFonts w:hint="cs"/>
          <w:rtl/>
        </w:rPr>
        <w:t>عداد توصية بشأن تبادل</w:t>
      </w:r>
      <w:r w:rsidR="009C458D" w:rsidRPr="00DC1851">
        <w:rPr>
          <w:rFonts w:hint="cs"/>
          <w:rtl/>
        </w:rPr>
        <w:t xml:space="preserve"> </w:t>
      </w:r>
      <w:r w:rsidR="00613229" w:rsidRPr="00DC1851">
        <w:rPr>
          <w:rFonts w:hint="cs"/>
          <w:rtl/>
        </w:rPr>
        <w:t>مكاتب الملكية الصناعية ل</w:t>
      </w:r>
      <w:r w:rsidR="003A2A7A" w:rsidRPr="00DC1851">
        <w:rPr>
          <w:rFonts w:hint="cs"/>
          <w:rtl/>
        </w:rPr>
        <w:t>بيانات الوضع القانوني ل</w:t>
      </w:r>
      <w:r w:rsidR="003A2A7A" w:rsidRPr="00DC1851">
        <w:rPr>
          <w:rtl/>
        </w:rPr>
        <w:t>لعلامات التجارية والتصاميم الصناعية</w:t>
      </w:r>
      <w:r w:rsidR="00F02A73" w:rsidRPr="00DC1851">
        <w:rPr>
          <w:rFonts w:hint="cs"/>
          <w:rtl/>
        </w:rPr>
        <w:t>". ويقترح المكتب الدولي أيضا</w:t>
      </w:r>
      <w:r w:rsidR="003A2A7A" w:rsidRPr="00DC1851">
        <w:rPr>
          <w:rFonts w:hint="cs"/>
          <w:rtl/>
        </w:rPr>
        <w:t xml:space="preserve"> أن تو</w:t>
      </w:r>
      <w:r w:rsidR="00B652A3" w:rsidRPr="00DC1851">
        <w:rPr>
          <w:rFonts w:hint="cs"/>
          <w:rtl/>
        </w:rPr>
        <w:t>ا</w:t>
      </w:r>
      <w:r w:rsidR="003A2A7A" w:rsidRPr="00DC1851">
        <w:rPr>
          <w:rFonts w:hint="cs"/>
          <w:rtl/>
        </w:rPr>
        <w:t xml:space="preserve">صل </w:t>
      </w:r>
      <w:r w:rsidR="00EA7654" w:rsidRPr="00DC1851">
        <w:rPr>
          <w:rtl/>
        </w:rPr>
        <w:t>فرقة العمل المعنية بالوضع القانوني</w:t>
      </w:r>
      <w:r w:rsidR="00EA7654" w:rsidRPr="00DC1851">
        <w:rPr>
          <w:rFonts w:hint="cs"/>
          <w:rtl/>
        </w:rPr>
        <w:t xml:space="preserve"> العمل على المهمة 47 المنقحّة. </w:t>
      </w:r>
    </w:p>
    <w:p w:rsidR="0079074E" w:rsidRPr="00DC1851" w:rsidRDefault="0079074E" w:rsidP="0079074E">
      <w:pPr>
        <w:pStyle w:val="DecisionParaAR"/>
      </w:pPr>
      <w:r w:rsidRPr="00DC1851">
        <w:rPr>
          <w:rtl/>
        </w:rPr>
        <w:t xml:space="preserve">إن </w:t>
      </w:r>
      <w:r w:rsidR="00C679F6" w:rsidRPr="00DC1851">
        <w:rPr>
          <w:rtl/>
        </w:rPr>
        <w:t xml:space="preserve">لجنة </w:t>
      </w:r>
      <w:r w:rsidRPr="00DC1851">
        <w:rPr>
          <w:rFonts w:hint="cs"/>
          <w:rtl/>
        </w:rPr>
        <w:t>ال</w:t>
      </w:r>
      <w:r w:rsidR="00C679F6" w:rsidRPr="00DC1851">
        <w:rPr>
          <w:rtl/>
        </w:rPr>
        <w:t>معايير مدعوة إلى</w:t>
      </w:r>
      <w:r w:rsidR="009E2D02" w:rsidRPr="00DC1851">
        <w:rPr>
          <w:rFonts w:hint="cs"/>
          <w:rtl/>
        </w:rPr>
        <w:t>:</w:t>
      </w:r>
    </w:p>
    <w:p w:rsidR="00467796" w:rsidRPr="00DC1851" w:rsidRDefault="0079074E" w:rsidP="00F02A73">
      <w:pPr>
        <w:pStyle w:val="DecisionParaAR"/>
        <w:numPr>
          <w:ilvl w:val="0"/>
          <w:numId w:val="0"/>
        </w:numPr>
        <w:ind w:left="5527" w:firstLine="710"/>
        <w:rPr>
          <w:rtl/>
        </w:rPr>
      </w:pPr>
      <w:r w:rsidRPr="00DC1851">
        <w:rPr>
          <w:rFonts w:hint="cs"/>
          <w:rtl/>
        </w:rPr>
        <w:t>(</w:t>
      </w:r>
      <w:r w:rsidRPr="00DC1851">
        <w:rPr>
          <w:rFonts w:hint="cs"/>
          <w:i w:val="0"/>
          <w:iCs w:val="0"/>
          <w:rtl/>
        </w:rPr>
        <w:t>أ</w:t>
      </w:r>
      <w:r w:rsidRPr="00DC1851">
        <w:rPr>
          <w:rFonts w:hint="cs"/>
          <w:rtl/>
        </w:rPr>
        <w:t>)</w:t>
      </w:r>
      <w:r w:rsidR="00F02A73" w:rsidRPr="00DC1851">
        <w:rPr>
          <w:rtl/>
        </w:rPr>
        <w:tab/>
      </w:r>
      <w:r w:rsidRPr="00DC1851">
        <w:rPr>
          <w:rFonts w:hint="cs"/>
          <w:rtl/>
        </w:rPr>
        <w:t>الإحاطة علماً ب</w:t>
      </w:r>
      <w:r w:rsidR="004C569F" w:rsidRPr="00DC1851">
        <w:rPr>
          <w:rFonts w:hint="cs"/>
          <w:rtl/>
        </w:rPr>
        <w:t xml:space="preserve">نتائج </w:t>
      </w:r>
      <w:r w:rsidRPr="00DC1851">
        <w:rPr>
          <w:rFonts w:hint="cs"/>
          <w:rtl/>
        </w:rPr>
        <w:t xml:space="preserve">عمل فرقة العمل </w:t>
      </w:r>
      <w:r w:rsidRPr="00DC1851">
        <w:rPr>
          <w:rtl/>
        </w:rPr>
        <w:t>المعنية بالوضع القانوني</w:t>
      </w:r>
      <w:r w:rsidRPr="00DC1851">
        <w:rPr>
          <w:rFonts w:hint="cs"/>
          <w:rtl/>
        </w:rPr>
        <w:t>، كما ه</w:t>
      </w:r>
      <w:r w:rsidR="004C569F" w:rsidRPr="00DC1851">
        <w:rPr>
          <w:rFonts w:hint="cs"/>
          <w:rtl/>
        </w:rPr>
        <w:t>ي</w:t>
      </w:r>
      <w:r w:rsidRPr="00DC1851">
        <w:rPr>
          <w:rFonts w:hint="cs"/>
          <w:rtl/>
        </w:rPr>
        <w:t xml:space="preserve"> مبيّن</w:t>
      </w:r>
      <w:r w:rsidR="004C569F" w:rsidRPr="00DC1851">
        <w:rPr>
          <w:rFonts w:hint="cs"/>
          <w:rtl/>
        </w:rPr>
        <w:t>ة</w:t>
      </w:r>
      <w:r w:rsidRPr="00DC1851">
        <w:rPr>
          <w:rFonts w:hint="cs"/>
          <w:rtl/>
        </w:rPr>
        <w:t xml:space="preserve"> في هذه الوثيقة؛ </w:t>
      </w:r>
    </w:p>
    <w:p w:rsidR="00455457" w:rsidRPr="00DC1851" w:rsidRDefault="0079074E" w:rsidP="00C064EB">
      <w:pPr>
        <w:pStyle w:val="DecisionParaAR"/>
        <w:numPr>
          <w:ilvl w:val="0"/>
          <w:numId w:val="0"/>
        </w:numPr>
        <w:ind w:left="5527" w:firstLine="710"/>
        <w:rPr>
          <w:rtl/>
        </w:rPr>
      </w:pPr>
      <w:r w:rsidRPr="00DC1851">
        <w:rPr>
          <w:rFonts w:hint="cs"/>
          <w:rtl/>
        </w:rPr>
        <w:t>(ب)</w:t>
      </w:r>
      <w:r w:rsidRPr="00DC1851">
        <w:rPr>
          <w:rFonts w:hint="cs"/>
          <w:rtl/>
        </w:rPr>
        <w:tab/>
        <w:t>النظر في اسم المعيار المقترح</w:t>
      </w:r>
      <w:r w:rsidR="00871FF7" w:rsidRPr="00DC1851">
        <w:rPr>
          <w:rFonts w:hint="cs"/>
          <w:rtl/>
        </w:rPr>
        <w:t xml:space="preserve"> "معيار </w:t>
      </w:r>
      <w:r w:rsidR="00960A59" w:rsidRPr="00DC1851">
        <w:rPr>
          <w:rFonts w:hint="cs"/>
          <w:rtl/>
        </w:rPr>
        <w:t xml:space="preserve">الويبو </w:t>
      </w:r>
      <w:r w:rsidR="00871FF7" w:rsidRPr="00DC1851">
        <w:t>ST.27</w:t>
      </w:r>
      <w:r w:rsidR="00871FF7" w:rsidRPr="00DC1851">
        <w:rPr>
          <w:rFonts w:hint="cs"/>
          <w:rtl/>
        </w:rPr>
        <w:t xml:space="preserve"> - توصية بشأن تب</w:t>
      </w:r>
      <w:r w:rsidR="009506AF" w:rsidRPr="00DC1851">
        <w:rPr>
          <w:rFonts w:hint="cs"/>
          <w:rtl/>
        </w:rPr>
        <w:t xml:space="preserve">ادل </w:t>
      </w:r>
      <w:r w:rsidR="00871FF7" w:rsidRPr="00DC1851">
        <w:rPr>
          <w:rFonts w:hint="cs"/>
          <w:rtl/>
        </w:rPr>
        <w:t>بي</w:t>
      </w:r>
      <w:r w:rsidR="00455457" w:rsidRPr="00DC1851">
        <w:rPr>
          <w:rFonts w:hint="cs"/>
          <w:rtl/>
        </w:rPr>
        <w:t>انات الوضع القانوني للبراءا</w:t>
      </w:r>
      <w:r w:rsidR="009506AF" w:rsidRPr="00DC1851">
        <w:rPr>
          <w:rFonts w:hint="cs"/>
          <w:rtl/>
        </w:rPr>
        <w:t>ت</w:t>
      </w:r>
      <w:r w:rsidR="006B55CF" w:rsidRPr="00DC1851">
        <w:rPr>
          <w:rFonts w:hint="cs"/>
          <w:rtl/>
        </w:rPr>
        <w:t>"،</w:t>
      </w:r>
      <w:r w:rsidR="00455457" w:rsidRPr="00DC1851">
        <w:rPr>
          <w:rFonts w:hint="cs"/>
          <w:rtl/>
        </w:rPr>
        <w:t xml:space="preserve"> </w:t>
      </w:r>
      <w:r w:rsidR="00C064EB" w:rsidRPr="00DC1851">
        <w:rPr>
          <w:rFonts w:hint="cs"/>
          <w:rtl/>
        </w:rPr>
        <w:t>والبتّ فيه</w:t>
      </w:r>
      <w:r w:rsidR="00455457" w:rsidRPr="00DC1851">
        <w:rPr>
          <w:rFonts w:hint="cs"/>
          <w:rtl/>
        </w:rPr>
        <w:t xml:space="preserve">؛ </w:t>
      </w:r>
    </w:p>
    <w:p w:rsidR="00960A59" w:rsidRPr="00DC1851" w:rsidRDefault="00455457" w:rsidP="00960A59">
      <w:pPr>
        <w:pStyle w:val="DecisionParaAR"/>
        <w:numPr>
          <w:ilvl w:val="0"/>
          <w:numId w:val="0"/>
        </w:numPr>
        <w:ind w:left="5527" w:firstLine="710"/>
        <w:rPr>
          <w:rtl/>
        </w:rPr>
      </w:pPr>
      <w:r w:rsidRPr="00DC1851">
        <w:rPr>
          <w:rFonts w:hint="cs"/>
          <w:rtl/>
        </w:rPr>
        <w:t>(ج)</w:t>
      </w:r>
      <w:r w:rsidRPr="00DC1851">
        <w:rPr>
          <w:rFonts w:hint="cs"/>
          <w:rtl/>
        </w:rPr>
        <w:tab/>
      </w:r>
      <w:r w:rsidR="00960A59" w:rsidRPr="00DC1851">
        <w:rPr>
          <w:rFonts w:hint="cs"/>
          <w:rtl/>
        </w:rPr>
        <w:t xml:space="preserve">النظر في معيار الويبو الجديد المقترح </w:t>
      </w:r>
      <w:r w:rsidR="00960A59" w:rsidRPr="00DC1851">
        <w:t>ST.27</w:t>
      </w:r>
      <w:r w:rsidR="00960A59" w:rsidRPr="00DC1851">
        <w:rPr>
          <w:rFonts w:hint="cs"/>
          <w:rtl/>
        </w:rPr>
        <w:t xml:space="preserve">، كما يرد في مرفق هذه الوثيقة، والبتّ في اعتماده؛ </w:t>
      </w:r>
    </w:p>
    <w:p w:rsidR="006E3E07" w:rsidRPr="00DC1851" w:rsidRDefault="00960A59" w:rsidP="0019589C">
      <w:pPr>
        <w:pStyle w:val="DecisionParaAR"/>
        <w:numPr>
          <w:ilvl w:val="0"/>
          <w:numId w:val="0"/>
        </w:numPr>
        <w:ind w:left="5527" w:firstLine="710"/>
        <w:rPr>
          <w:rtl/>
        </w:rPr>
      </w:pPr>
      <w:r w:rsidRPr="00DC1851">
        <w:rPr>
          <w:rFonts w:hint="cs"/>
          <w:rtl/>
        </w:rPr>
        <w:t>(د)</w:t>
      </w:r>
      <w:r w:rsidRPr="00DC1851">
        <w:rPr>
          <w:rFonts w:hint="cs"/>
          <w:rtl/>
        </w:rPr>
        <w:tab/>
      </w:r>
      <w:r w:rsidR="0019589C" w:rsidRPr="00DC1851">
        <w:rPr>
          <w:rFonts w:hint="cs"/>
          <w:rtl/>
        </w:rPr>
        <w:t>الالتماس من</w:t>
      </w:r>
      <w:r w:rsidR="000B64D0" w:rsidRPr="00DC1851">
        <w:rPr>
          <w:rFonts w:hint="cs"/>
          <w:rtl/>
        </w:rPr>
        <w:t xml:space="preserve"> الأمانة </w:t>
      </w:r>
      <w:r w:rsidR="0019589C" w:rsidRPr="00DC1851">
        <w:rPr>
          <w:rFonts w:hint="cs"/>
          <w:rtl/>
        </w:rPr>
        <w:t>إصدار تعميم</w:t>
      </w:r>
      <w:r w:rsidR="000B64D0" w:rsidRPr="00DC1851">
        <w:rPr>
          <w:rFonts w:hint="cs"/>
          <w:rtl/>
        </w:rPr>
        <w:t xml:space="preserve"> تدعو فيه مكاتب الملكية الصناعية إلى تقييم ممارسات العم</w:t>
      </w:r>
      <w:r w:rsidR="006E3E07" w:rsidRPr="00DC1851">
        <w:rPr>
          <w:rFonts w:hint="cs"/>
          <w:rtl/>
        </w:rPr>
        <w:t xml:space="preserve">ل ونظم تكنولوجيا المعلومات التي </w:t>
      </w:r>
      <w:r w:rsidR="000B64D0" w:rsidRPr="00DC1851">
        <w:rPr>
          <w:rFonts w:hint="cs"/>
          <w:rtl/>
        </w:rPr>
        <w:t xml:space="preserve">تتبعها </w:t>
      </w:r>
      <w:r w:rsidR="006E3E07" w:rsidRPr="00DC1851">
        <w:rPr>
          <w:rFonts w:hint="cs"/>
          <w:rtl/>
        </w:rPr>
        <w:t>واستعراض الأحداث</w:t>
      </w:r>
      <w:r w:rsidR="008C500F" w:rsidRPr="00DC1851">
        <w:rPr>
          <w:rFonts w:hint="cs"/>
          <w:rtl/>
        </w:rPr>
        <w:t xml:space="preserve"> المفصّلة المؤقتة، وفق ما ورد ف</w:t>
      </w:r>
      <w:r w:rsidR="006E3E07" w:rsidRPr="00DC1851">
        <w:rPr>
          <w:rFonts w:hint="cs"/>
          <w:rtl/>
        </w:rPr>
        <w:t xml:space="preserve">ي الفقرتين 21 و22 أعلاه؛ </w:t>
      </w:r>
    </w:p>
    <w:p w:rsidR="008C500F" w:rsidRPr="00DC1851" w:rsidRDefault="006E3E07" w:rsidP="00DA0C6E">
      <w:pPr>
        <w:pStyle w:val="DecisionParaAR"/>
        <w:numPr>
          <w:ilvl w:val="0"/>
          <w:numId w:val="0"/>
        </w:numPr>
        <w:ind w:left="5527" w:firstLine="710"/>
        <w:rPr>
          <w:rtl/>
        </w:rPr>
      </w:pPr>
      <w:r w:rsidRPr="00DC1851">
        <w:rPr>
          <w:rFonts w:hint="cs"/>
          <w:rtl/>
        </w:rPr>
        <w:t>(هـ)</w:t>
      </w:r>
      <w:r w:rsidRPr="00DC1851">
        <w:rPr>
          <w:rFonts w:hint="cs"/>
          <w:rtl/>
        </w:rPr>
        <w:tab/>
      </w:r>
      <w:r w:rsidR="002041F6" w:rsidRPr="00DC1851">
        <w:rPr>
          <w:rFonts w:hint="cs"/>
          <w:rtl/>
        </w:rPr>
        <w:t xml:space="preserve">النظر في مسألة إدراج </w:t>
      </w:r>
      <w:r w:rsidR="005A0B55" w:rsidRPr="00DC1851">
        <w:rPr>
          <w:rtl/>
        </w:rPr>
        <w:t xml:space="preserve">الملاحظة التحريرية في </w:t>
      </w:r>
      <w:r w:rsidR="005A0B55" w:rsidRPr="00DC1851">
        <w:rPr>
          <w:rFonts w:hint="cs"/>
          <w:rtl/>
        </w:rPr>
        <w:t>معيار الويبو</w:t>
      </w:r>
      <w:r w:rsidR="005A0B55" w:rsidRPr="00DC1851">
        <w:rPr>
          <w:rtl/>
        </w:rPr>
        <w:t xml:space="preserve"> </w:t>
      </w:r>
      <w:r w:rsidR="005A0B55" w:rsidRPr="00DC1851">
        <w:rPr>
          <w:rFonts w:hint="cs"/>
          <w:rtl/>
        </w:rPr>
        <w:t>المقترح</w:t>
      </w:r>
      <w:r w:rsidR="008C500F" w:rsidRPr="00DC1851">
        <w:rPr>
          <w:rFonts w:hint="cs"/>
          <w:rtl/>
        </w:rPr>
        <w:t>، وفق ما ورد في الفقرة 23 أعلاه، والبتّ في</w:t>
      </w:r>
      <w:r w:rsidR="00DA0C6E" w:rsidRPr="00DC1851">
        <w:rPr>
          <w:rFonts w:hint="cs"/>
          <w:rtl/>
        </w:rPr>
        <w:t>ها</w:t>
      </w:r>
      <w:r w:rsidR="008C500F" w:rsidRPr="00DC1851">
        <w:rPr>
          <w:rFonts w:hint="cs"/>
          <w:rtl/>
        </w:rPr>
        <w:t xml:space="preserve">؛ </w:t>
      </w:r>
    </w:p>
    <w:p w:rsidR="00557006" w:rsidRPr="00DC1851" w:rsidRDefault="008C500F" w:rsidP="00AE300C">
      <w:pPr>
        <w:pStyle w:val="DecisionParaAR"/>
        <w:numPr>
          <w:ilvl w:val="0"/>
          <w:numId w:val="0"/>
        </w:numPr>
        <w:ind w:left="5527" w:firstLine="710"/>
        <w:rPr>
          <w:rtl/>
        </w:rPr>
      </w:pPr>
      <w:r w:rsidRPr="00DC1851">
        <w:rPr>
          <w:rFonts w:hint="cs"/>
          <w:rtl/>
        </w:rPr>
        <w:lastRenderedPageBreak/>
        <w:t>(و)</w:t>
      </w:r>
      <w:r w:rsidRPr="00DC1851">
        <w:rPr>
          <w:rFonts w:hint="cs"/>
          <w:rtl/>
        </w:rPr>
        <w:tab/>
      </w:r>
      <w:r w:rsidR="00AE300C" w:rsidRPr="00DC1851">
        <w:rPr>
          <w:rFonts w:hint="cs"/>
          <w:rtl/>
        </w:rPr>
        <w:t>الالتماس من</w:t>
      </w:r>
      <w:r w:rsidR="006149FA" w:rsidRPr="00DC1851">
        <w:rPr>
          <w:rFonts w:hint="cs"/>
          <w:rtl/>
        </w:rPr>
        <w:t xml:space="preserve"> فرقة العمل </w:t>
      </w:r>
      <w:r w:rsidR="006149FA" w:rsidRPr="00DC1851">
        <w:rPr>
          <w:rtl/>
        </w:rPr>
        <w:t>المعنية بالوضع القانوني</w:t>
      </w:r>
      <w:r w:rsidR="006149FA" w:rsidRPr="00DC1851">
        <w:rPr>
          <w:rFonts w:hint="cs"/>
          <w:rtl/>
        </w:rPr>
        <w:t xml:space="preserve"> إنجاز الصيغة النهائية من قائمة الأحداث المفصّلة والوثيقة الإرشادي</w:t>
      </w:r>
      <w:r w:rsidR="006149FA" w:rsidRPr="00DC1851">
        <w:rPr>
          <w:rFonts w:hint="eastAsia"/>
          <w:rtl/>
        </w:rPr>
        <w:t>ة</w:t>
      </w:r>
      <w:r w:rsidR="006149FA" w:rsidRPr="00DC1851">
        <w:rPr>
          <w:rFonts w:hint="cs"/>
          <w:rtl/>
        </w:rPr>
        <w:t xml:space="preserve"> بشأن بيانات الوضع القانوني للبراءات، وفق ما ورد في الفقرات من 22 إلى 25 أعلاه،</w:t>
      </w:r>
      <w:r w:rsidR="00AE300C" w:rsidRPr="00DC1851">
        <w:rPr>
          <w:rFonts w:hint="cs"/>
          <w:rtl/>
        </w:rPr>
        <w:t xml:space="preserve"> وعرضهما على</w:t>
      </w:r>
      <w:r w:rsidR="003037A3" w:rsidRPr="00DC1851">
        <w:rPr>
          <w:rFonts w:hint="cs"/>
          <w:rtl/>
        </w:rPr>
        <w:t xml:space="preserve"> </w:t>
      </w:r>
      <w:r w:rsidR="00557006" w:rsidRPr="00DC1851">
        <w:rPr>
          <w:rFonts w:hint="cs"/>
          <w:rtl/>
        </w:rPr>
        <w:t>لجنة المعايير في دورتها السادسة</w:t>
      </w:r>
      <w:r w:rsidR="00AE300C" w:rsidRPr="00DC1851">
        <w:rPr>
          <w:rtl/>
        </w:rPr>
        <w:t xml:space="preserve"> لتنظر فيه</w:t>
      </w:r>
      <w:r w:rsidR="00AE300C" w:rsidRPr="00DC1851">
        <w:rPr>
          <w:rFonts w:hint="cs"/>
          <w:rtl/>
        </w:rPr>
        <w:t>ما</w:t>
      </w:r>
      <w:r w:rsidR="00557006" w:rsidRPr="00DC1851">
        <w:rPr>
          <w:rtl/>
        </w:rPr>
        <w:t xml:space="preserve"> وتوافق عليه</w:t>
      </w:r>
      <w:r w:rsidR="00557006" w:rsidRPr="00DC1851">
        <w:rPr>
          <w:rFonts w:hint="cs"/>
          <w:rtl/>
        </w:rPr>
        <w:t>ما</w:t>
      </w:r>
      <w:r w:rsidR="00557006" w:rsidRPr="00DC1851">
        <w:rPr>
          <w:rtl/>
        </w:rPr>
        <w:t>؛</w:t>
      </w:r>
      <w:r w:rsidR="006149FA" w:rsidRPr="00DC1851">
        <w:rPr>
          <w:rFonts w:hint="cs"/>
          <w:rtl/>
        </w:rPr>
        <w:t xml:space="preserve"> </w:t>
      </w:r>
    </w:p>
    <w:p w:rsidR="00557006" w:rsidRPr="00DC1851" w:rsidRDefault="00557006" w:rsidP="00F907C8">
      <w:pPr>
        <w:pStyle w:val="DecisionParaAR"/>
        <w:numPr>
          <w:ilvl w:val="0"/>
          <w:numId w:val="0"/>
        </w:numPr>
        <w:ind w:left="5527" w:firstLine="710"/>
        <w:rPr>
          <w:rtl/>
        </w:rPr>
      </w:pPr>
      <w:r w:rsidRPr="00DC1851">
        <w:rPr>
          <w:rFonts w:hint="cs"/>
          <w:rtl/>
        </w:rPr>
        <w:t>(ز)</w:t>
      </w:r>
      <w:r w:rsidRPr="00DC1851">
        <w:rPr>
          <w:rFonts w:hint="cs"/>
          <w:rtl/>
        </w:rPr>
        <w:tab/>
      </w:r>
      <w:r w:rsidR="00B7455B" w:rsidRPr="00DC1851">
        <w:rPr>
          <w:rFonts w:hint="cs"/>
          <w:rtl/>
        </w:rPr>
        <w:t>الالتماس من</w:t>
      </w:r>
      <w:r w:rsidRPr="00DC1851">
        <w:rPr>
          <w:rtl/>
        </w:rPr>
        <w:t xml:space="preserve"> فرقة عمل </w:t>
      </w:r>
      <w:r w:rsidRPr="00DC1851">
        <w:t>XML4IP</w:t>
      </w:r>
      <w:r w:rsidRPr="00DC1851">
        <w:rPr>
          <w:rFonts w:hint="cs"/>
          <w:rtl/>
        </w:rPr>
        <w:t xml:space="preserve"> </w:t>
      </w:r>
      <w:r w:rsidRPr="00DC1851">
        <w:rPr>
          <w:rtl/>
        </w:rPr>
        <w:t xml:space="preserve">تطوير </w:t>
      </w:r>
      <w:r w:rsidRPr="00DC1851">
        <w:rPr>
          <w:rFonts w:hint="cs"/>
          <w:rtl/>
        </w:rPr>
        <w:t xml:space="preserve">مكونات </w:t>
      </w:r>
      <w:r w:rsidRPr="00DC1851">
        <w:rPr>
          <w:rtl/>
        </w:rPr>
        <w:t>مخطط</w:t>
      </w:r>
      <w:r w:rsidRPr="00DC1851">
        <w:rPr>
          <w:rFonts w:hint="cs"/>
          <w:rtl/>
        </w:rPr>
        <w:t xml:space="preserve"> بلغة </w:t>
      </w:r>
      <w:r w:rsidRPr="00DC1851">
        <w:rPr>
          <w:rtl/>
        </w:rPr>
        <w:t>(</w:t>
      </w:r>
      <w:r w:rsidRPr="00DC1851">
        <w:t>XML</w:t>
      </w:r>
      <w:r w:rsidRPr="00DC1851">
        <w:rPr>
          <w:rtl/>
        </w:rPr>
        <w:t>)</w:t>
      </w:r>
      <w:r w:rsidRPr="00DC1851">
        <w:rPr>
          <w:rFonts w:hint="cs"/>
          <w:rtl/>
        </w:rPr>
        <w:t xml:space="preserve">، وفق ما ورد في الفقرتين 26 و27 أعلاه، وعرض نتيجة عمل </w:t>
      </w:r>
      <w:r w:rsidR="00A46BC3">
        <w:rPr>
          <w:rFonts w:hint="cs"/>
          <w:rtl/>
        </w:rPr>
        <w:t>ال</w:t>
      </w:r>
      <w:r w:rsidRPr="00DC1851">
        <w:rPr>
          <w:rFonts w:hint="cs"/>
          <w:rtl/>
        </w:rPr>
        <w:t xml:space="preserve">فرقة </w:t>
      </w:r>
      <w:r w:rsidR="00F907C8" w:rsidRPr="00DC1851">
        <w:rPr>
          <w:rFonts w:hint="cs"/>
          <w:rtl/>
        </w:rPr>
        <w:t>على لجنة المعايير في دورتها السادسة</w:t>
      </w:r>
      <w:r w:rsidR="00F907C8" w:rsidRPr="00DC1851">
        <w:rPr>
          <w:rtl/>
        </w:rPr>
        <w:t xml:space="preserve"> لتنظر </w:t>
      </w:r>
      <w:r w:rsidR="00F907C8" w:rsidRPr="00DC1851">
        <w:rPr>
          <w:rFonts w:hint="cs"/>
          <w:rtl/>
        </w:rPr>
        <w:t>فيها</w:t>
      </w:r>
      <w:r w:rsidRPr="00DC1851">
        <w:rPr>
          <w:rFonts w:hint="cs"/>
          <w:rtl/>
        </w:rPr>
        <w:t xml:space="preserve">؛ </w:t>
      </w:r>
    </w:p>
    <w:p w:rsidR="00E15CEB" w:rsidRPr="00DC1851" w:rsidRDefault="00557006" w:rsidP="009506AF">
      <w:pPr>
        <w:pStyle w:val="DecisionParaAR"/>
        <w:numPr>
          <w:ilvl w:val="0"/>
          <w:numId w:val="0"/>
        </w:numPr>
        <w:ind w:left="5527" w:firstLine="710"/>
        <w:rPr>
          <w:rtl/>
        </w:rPr>
      </w:pPr>
      <w:r w:rsidRPr="00DC1851">
        <w:rPr>
          <w:rFonts w:hint="cs"/>
          <w:rtl/>
        </w:rPr>
        <w:t>(ح)</w:t>
      </w:r>
      <w:r w:rsidRPr="00DC1851">
        <w:rPr>
          <w:rFonts w:hint="cs"/>
          <w:rtl/>
        </w:rPr>
        <w:tab/>
        <w:t xml:space="preserve">الالتماس من فرقة العمل </w:t>
      </w:r>
      <w:r w:rsidRPr="00DC1851">
        <w:rPr>
          <w:rtl/>
        </w:rPr>
        <w:t>المعنية بالوضع القانوني</w:t>
      </w:r>
      <w:r w:rsidR="00B12620" w:rsidRPr="00DC1851">
        <w:rPr>
          <w:rFonts w:hint="cs"/>
          <w:rtl/>
        </w:rPr>
        <w:t xml:space="preserve"> إعداد توصية بشأن تبادل بيانات الوضع القانوني ل</w:t>
      </w:r>
      <w:r w:rsidR="00B12620" w:rsidRPr="00DC1851">
        <w:rPr>
          <w:rtl/>
        </w:rPr>
        <w:t>لعلامات التجارية والتصاميم الصناعية</w:t>
      </w:r>
      <w:r w:rsidR="00B12620" w:rsidRPr="00DC1851">
        <w:rPr>
          <w:rFonts w:hint="cs"/>
          <w:rtl/>
        </w:rPr>
        <w:t xml:space="preserve">، وفق ما ورد في الفقرة 28 أعلاه، وتقديم تقرير مرحلي </w:t>
      </w:r>
      <w:r w:rsidR="00E15CEB" w:rsidRPr="00DC1851">
        <w:rPr>
          <w:rFonts w:hint="cs"/>
          <w:rtl/>
        </w:rPr>
        <w:t xml:space="preserve">في هذا الشأن </w:t>
      </w:r>
      <w:r w:rsidR="00A10B88" w:rsidRPr="00DC1851">
        <w:rPr>
          <w:rFonts w:hint="cs"/>
          <w:rtl/>
        </w:rPr>
        <w:t>لتنظر فيه</w:t>
      </w:r>
      <w:r w:rsidR="00E15CEB" w:rsidRPr="00DC1851">
        <w:rPr>
          <w:rFonts w:hint="cs"/>
          <w:rtl/>
        </w:rPr>
        <w:t xml:space="preserve"> لجنة المعايير في دورتها السادسة؛ </w:t>
      </w:r>
    </w:p>
    <w:p w:rsidR="00E15CEB" w:rsidRPr="00DC1851" w:rsidRDefault="00E15CEB" w:rsidP="00882D7D">
      <w:pPr>
        <w:pStyle w:val="DecisionParaAR"/>
        <w:numPr>
          <w:ilvl w:val="0"/>
          <w:numId w:val="0"/>
        </w:numPr>
        <w:spacing w:after="0" w:line="240" w:lineRule="auto"/>
        <w:ind w:left="5527" w:firstLine="710"/>
        <w:rPr>
          <w:rtl/>
        </w:rPr>
      </w:pPr>
      <w:r w:rsidRPr="00DC1851">
        <w:rPr>
          <w:rFonts w:hint="cs"/>
          <w:rtl/>
        </w:rPr>
        <w:t>(ط)</w:t>
      </w:r>
      <w:r w:rsidRPr="00DC1851">
        <w:rPr>
          <w:rFonts w:hint="cs"/>
          <w:rtl/>
        </w:rPr>
        <w:tab/>
        <w:t xml:space="preserve">البتّ في تعديل المهمة رقم 47 </w:t>
      </w:r>
      <w:r w:rsidRPr="00DC1851">
        <w:rPr>
          <w:rtl/>
        </w:rPr>
        <w:t xml:space="preserve">وإسناد المهمة رقم </w:t>
      </w:r>
      <w:r w:rsidRPr="00DC1851">
        <w:rPr>
          <w:rFonts w:hint="cs"/>
          <w:rtl/>
        </w:rPr>
        <w:t>47</w:t>
      </w:r>
      <w:r w:rsidRPr="00DC1851">
        <w:rPr>
          <w:rtl/>
        </w:rPr>
        <w:t xml:space="preserve"> المعدَّلة إلى فرقة العمل المعنية </w:t>
      </w:r>
      <w:r w:rsidRPr="00DC1851">
        <w:rPr>
          <w:rFonts w:hint="cs"/>
          <w:rtl/>
        </w:rPr>
        <w:t xml:space="preserve">بالوضع القانوني، </w:t>
      </w:r>
      <w:r w:rsidRPr="00DC1851">
        <w:rPr>
          <w:rtl/>
        </w:rPr>
        <w:t xml:space="preserve">كما هو مقترح في الفقرة </w:t>
      </w:r>
      <w:r w:rsidR="00A10B88" w:rsidRPr="00DC1851">
        <w:rPr>
          <w:rFonts w:hint="cs"/>
          <w:rtl/>
        </w:rPr>
        <w:t>29</w:t>
      </w:r>
      <w:r w:rsidRPr="00DC1851">
        <w:rPr>
          <w:rtl/>
        </w:rPr>
        <w:t xml:space="preserve"> أعلاه.</w:t>
      </w:r>
    </w:p>
    <w:p w:rsidR="00882D7D" w:rsidRDefault="00882D7D" w:rsidP="00882D7D">
      <w:pPr>
        <w:pStyle w:val="EndofDocumentAR"/>
        <w:spacing w:after="0" w:line="240" w:lineRule="auto"/>
        <w:rPr>
          <w:lang w:val="fr-FR" w:bidi="ar-EG"/>
        </w:rPr>
      </w:pPr>
    </w:p>
    <w:p w:rsidR="00882D7D" w:rsidRDefault="00882D7D" w:rsidP="00882D7D">
      <w:pPr>
        <w:pStyle w:val="EndofDocumentAR"/>
        <w:spacing w:after="0" w:line="240" w:lineRule="auto"/>
        <w:rPr>
          <w:lang w:val="fr-FR" w:bidi="ar-EG"/>
        </w:rPr>
      </w:pPr>
    </w:p>
    <w:p w:rsidR="00972E42" w:rsidRPr="00DC1851" w:rsidRDefault="00972E42" w:rsidP="00882D7D">
      <w:pPr>
        <w:pStyle w:val="EndofDocumentAR"/>
        <w:spacing w:after="0" w:line="240" w:lineRule="auto"/>
        <w:rPr>
          <w:lang w:bidi="ar-EG"/>
        </w:rPr>
      </w:pPr>
      <w:r w:rsidRPr="00DC1851">
        <w:rPr>
          <w:rFonts w:hint="cs"/>
          <w:rtl/>
          <w:lang w:bidi="ar-EG"/>
        </w:rPr>
        <w:t>[يلي ذلك المرفق]</w:t>
      </w:r>
      <w:bookmarkStart w:id="2" w:name="_GoBack"/>
      <w:bookmarkEnd w:id="2"/>
    </w:p>
    <w:sectPr w:rsidR="00972E42" w:rsidRPr="00DC1851" w:rsidSect="00F27A7C">
      <w:headerReference w:type="defaul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496" w:rsidRDefault="008E5496">
      <w:r>
        <w:separator/>
      </w:r>
    </w:p>
  </w:endnote>
  <w:endnote w:type="continuationSeparator" w:id="0">
    <w:p w:rsidR="008E5496" w:rsidRDefault="008E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496" w:rsidRDefault="008E5496" w:rsidP="009622BF">
      <w:pPr>
        <w:bidi/>
      </w:pPr>
      <w:bookmarkStart w:id="0" w:name="OLE_LINK1"/>
      <w:bookmarkStart w:id="1" w:name="OLE_LINK2"/>
      <w:r>
        <w:separator/>
      </w:r>
      <w:bookmarkEnd w:id="0"/>
      <w:bookmarkEnd w:id="1"/>
    </w:p>
  </w:footnote>
  <w:footnote w:type="continuationSeparator" w:id="0">
    <w:p w:rsidR="008E5496" w:rsidRDefault="008E549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363C9A" w:rsidRDefault="00C2761A" w:rsidP="00326423">
    <w:pPr>
      <w:rPr>
        <w:szCs w:val="22"/>
      </w:rPr>
    </w:pPr>
    <w:r w:rsidRPr="00363C9A">
      <w:rPr>
        <w:szCs w:val="22"/>
      </w:rPr>
      <w:t>CWS</w:t>
    </w:r>
    <w:r w:rsidR="00065ED1" w:rsidRPr="00363C9A">
      <w:rPr>
        <w:szCs w:val="22"/>
      </w:rPr>
      <w:t>/</w:t>
    </w:r>
    <w:r w:rsidRPr="00363C9A">
      <w:rPr>
        <w:szCs w:val="22"/>
      </w:rPr>
      <w:t>5</w:t>
    </w:r>
    <w:r w:rsidR="002F77FC" w:rsidRPr="00363C9A">
      <w:rPr>
        <w:szCs w:val="22"/>
      </w:rPr>
      <w:t>/</w:t>
    </w:r>
    <w:r w:rsidR="00326423" w:rsidRPr="00363C9A">
      <w:rPr>
        <w:rFonts w:hint="cs"/>
        <w:szCs w:val="22"/>
        <w:rtl/>
      </w:rPr>
      <w:t>8</w:t>
    </w:r>
    <w:r w:rsidR="00C810A8">
      <w:rPr>
        <w:szCs w:val="22"/>
      </w:rPr>
      <w:t>/Rev.1</w:t>
    </w:r>
  </w:p>
  <w:p w:rsidR="002F77FC" w:rsidRPr="00363C9A" w:rsidRDefault="00F27A7C" w:rsidP="00D61541">
    <w:pPr>
      <w:rPr>
        <w:noProof/>
        <w:szCs w:val="22"/>
      </w:rPr>
    </w:pPr>
    <w:r w:rsidRPr="00363C9A">
      <w:rPr>
        <w:szCs w:val="22"/>
      </w:rPr>
      <w:fldChar w:fldCharType="begin"/>
    </w:r>
    <w:r w:rsidRPr="00363C9A">
      <w:rPr>
        <w:szCs w:val="22"/>
      </w:rPr>
      <w:instrText xml:space="preserve"> PAGE   \* MERGEFORMAT </w:instrText>
    </w:r>
    <w:r w:rsidRPr="00363C9A">
      <w:rPr>
        <w:szCs w:val="22"/>
      </w:rPr>
      <w:fldChar w:fldCharType="separate"/>
    </w:r>
    <w:r w:rsidR="00882D7D">
      <w:rPr>
        <w:noProof/>
        <w:szCs w:val="22"/>
      </w:rPr>
      <w:t>6</w:t>
    </w:r>
    <w:r w:rsidRPr="00363C9A">
      <w:rPr>
        <w:noProof/>
        <w:szCs w:val="22"/>
      </w:rPr>
      <w:fldChar w:fldCharType="end"/>
    </w:r>
  </w:p>
  <w:p w:rsidR="005677B7" w:rsidRDefault="005677B7" w:rsidP="00D61541"/>
  <w:p w:rsidR="00882D7D" w:rsidRDefault="00882D7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6">
    <w:nsid w:val="578E274F"/>
    <w:multiLevelType w:val="hybridMultilevel"/>
    <w:tmpl w:val="9FEEDD5C"/>
    <w:lvl w:ilvl="0" w:tplc="E77E7A48">
      <w:start w:val="1"/>
      <w:numFmt w:val="arabicAlpha"/>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7">
    <w:nsid w:val="583F29CF"/>
    <w:multiLevelType w:val="hybridMultilevel"/>
    <w:tmpl w:val="4EF8EB72"/>
    <w:lvl w:ilvl="0" w:tplc="40DED29C">
      <w:start w:val="1"/>
      <w:numFmt w:val="arabicAlpha"/>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9D0BAA"/>
    <w:multiLevelType w:val="hybridMultilevel"/>
    <w:tmpl w:val="4620BC44"/>
    <w:lvl w:ilvl="0" w:tplc="F11C8412">
      <w:start w:val="1"/>
      <w:numFmt w:val="arabicAlpha"/>
      <w:lvlText w:val="(%1)"/>
      <w:lvlJc w:val="left"/>
      <w:pPr>
        <w:ind w:left="6597" w:hanging="360"/>
      </w:pPr>
      <w:rPr>
        <w:rFonts w:hint="default"/>
        <w:i w:val="0"/>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21"/>
  </w:num>
  <w:num w:numId="5">
    <w:abstractNumId w:val="8"/>
  </w:num>
  <w:num w:numId="6">
    <w:abstractNumId w:val="22"/>
  </w:num>
  <w:num w:numId="7">
    <w:abstractNumId w:val="13"/>
  </w:num>
  <w:num w:numId="8">
    <w:abstractNumId w:val="19"/>
  </w:num>
  <w:num w:numId="9">
    <w:abstractNumId w:val="18"/>
  </w:num>
  <w:num w:numId="10">
    <w:abstractNumId w:val="2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12"/>
  </w:num>
  <w:num w:numId="23">
    <w:abstractNumId w:val="16"/>
  </w:num>
  <w:num w:numId="24">
    <w:abstractNumId w:val="17"/>
  </w:num>
  <w:num w:numId="25">
    <w:abstractNumId w:val="20"/>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96"/>
    <w:rsid w:val="000010B1"/>
    <w:rsid w:val="00002CBE"/>
    <w:rsid w:val="00003232"/>
    <w:rsid w:val="000033DA"/>
    <w:rsid w:val="0000579F"/>
    <w:rsid w:val="000074D1"/>
    <w:rsid w:val="000076BD"/>
    <w:rsid w:val="00010481"/>
    <w:rsid w:val="00010671"/>
    <w:rsid w:val="000114E2"/>
    <w:rsid w:val="00012E8C"/>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34"/>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20E"/>
    <w:rsid w:val="00053836"/>
    <w:rsid w:val="00053C1F"/>
    <w:rsid w:val="00054659"/>
    <w:rsid w:val="000547BC"/>
    <w:rsid w:val="00055F11"/>
    <w:rsid w:val="00055FA2"/>
    <w:rsid w:val="000571DD"/>
    <w:rsid w:val="000613A1"/>
    <w:rsid w:val="00061FF5"/>
    <w:rsid w:val="00062502"/>
    <w:rsid w:val="00063210"/>
    <w:rsid w:val="00063419"/>
    <w:rsid w:val="00063C91"/>
    <w:rsid w:val="000640E7"/>
    <w:rsid w:val="00065B34"/>
    <w:rsid w:val="00065ED1"/>
    <w:rsid w:val="00066DC7"/>
    <w:rsid w:val="0006794A"/>
    <w:rsid w:val="00067F31"/>
    <w:rsid w:val="00071138"/>
    <w:rsid w:val="00071160"/>
    <w:rsid w:val="00071B87"/>
    <w:rsid w:val="00073402"/>
    <w:rsid w:val="000748F2"/>
    <w:rsid w:val="00075745"/>
    <w:rsid w:val="00075A04"/>
    <w:rsid w:val="00075C6A"/>
    <w:rsid w:val="00075D39"/>
    <w:rsid w:val="000760C3"/>
    <w:rsid w:val="000763A4"/>
    <w:rsid w:val="00076901"/>
    <w:rsid w:val="0008237C"/>
    <w:rsid w:val="000833C3"/>
    <w:rsid w:val="00083441"/>
    <w:rsid w:val="0008421F"/>
    <w:rsid w:val="0008451C"/>
    <w:rsid w:val="00085A0B"/>
    <w:rsid w:val="000863B7"/>
    <w:rsid w:val="00086AC6"/>
    <w:rsid w:val="00087DB6"/>
    <w:rsid w:val="00090139"/>
    <w:rsid w:val="0009024C"/>
    <w:rsid w:val="00090ADD"/>
    <w:rsid w:val="000913C0"/>
    <w:rsid w:val="00091F52"/>
    <w:rsid w:val="00092982"/>
    <w:rsid w:val="00092B60"/>
    <w:rsid w:val="00092DD6"/>
    <w:rsid w:val="00094C85"/>
    <w:rsid w:val="00094D7E"/>
    <w:rsid w:val="0009517B"/>
    <w:rsid w:val="00095AE2"/>
    <w:rsid w:val="000962DF"/>
    <w:rsid w:val="0009661E"/>
    <w:rsid w:val="000A12BC"/>
    <w:rsid w:val="000A1306"/>
    <w:rsid w:val="000A1521"/>
    <w:rsid w:val="000A2FC1"/>
    <w:rsid w:val="000A327B"/>
    <w:rsid w:val="000A3A57"/>
    <w:rsid w:val="000A5408"/>
    <w:rsid w:val="000A6510"/>
    <w:rsid w:val="000B0BB4"/>
    <w:rsid w:val="000B1045"/>
    <w:rsid w:val="000B1BAE"/>
    <w:rsid w:val="000B29B3"/>
    <w:rsid w:val="000B3889"/>
    <w:rsid w:val="000B3B3B"/>
    <w:rsid w:val="000B42E7"/>
    <w:rsid w:val="000B64D0"/>
    <w:rsid w:val="000B70B7"/>
    <w:rsid w:val="000B73E6"/>
    <w:rsid w:val="000B74D0"/>
    <w:rsid w:val="000B7759"/>
    <w:rsid w:val="000C111E"/>
    <w:rsid w:val="000C1E3C"/>
    <w:rsid w:val="000C1FB4"/>
    <w:rsid w:val="000C2A3A"/>
    <w:rsid w:val="000C2A3E"/>
    <w:rsid w:val="000C2CE8"/>
    <w:rsid w:val="000C335E"/>
    <w:rsid w:val="000C4651"/>
    <w:rsid w:val="000C46EC"/>
    <w:rsid w:val="000C484D"/>
    <w:rsid w:val="000C523D"/>
    <w:rsid w:val="000C52A5"/>
    <w:rsid w:val="000C563F"/>
    <w:rsid w:val="000C5DA8"/>
    <w:rsid w:val="000C5DF9"/>
    <w:rsid w:val="000C5F21"/>
    <w:rsid w:val="000C662C"/>
    <w:rsid w:val="000C733A"/>
    <w:rsid w:val="000C76B0"/>
    <w:rsid w:val="000D0C07"/>
    <w:rsid w:val="000D0C58"/>
    <w:rsid w:val="000D0C7C"/>
    <w:rsid w:val="000D1A1D"/>
    <w:rsid w:val="000D35AC"/>
    <w:rsid w:val="000D5FB7"/>
    <w:rsid w:val="000D5FD6"/>
    <w:rsid w:val="000D6F1E"/>
    <w:rsid w:val="000E06A5"/>
    <w:rsid w:val="000E0AD4"/>
    <w:rsid w:val="000E16EB"/>
    <w:rsid w:val="000E4718"/>
    <w:rsid w:val="000E591F"/>
    <w:rsid w:val="000E5A23"/>
    <w:rsid w:val="000E6045"/>
    <w:rsid w:val="000E7872"/>
    <w:rsid w:val="000F0772"/>
    <w:rsid w:val="000F0BE5"/>
    <w:rsid w:val="000F0F0D"/>
    <w:rsid w:val="000F1869"/>
    <w:rsid w:val="000F1B52"/>
    <w:rsid w:val="000F1C70"/>
    <w:rsid w:val="000F1EAA"/>
    <w:rsid w:val="000F30D5"/>
    <w:rsid w:val="000F33C5"/>
    <w:rsid w:val="000F3ACF"/>
    <w:rsid w:val="000F49FA"/>
    <w:rsid w:val="000F58C4"/>
    <w:rsid w:val="000F5E56"/>
    <w:rsid w:val="000F70F9"/>
    <w:rsid w:val="000F74B3"/>
    <w:rsid w:val="000F76D8"/>
    <w:rsid w:val="001007AB"/>
    <w:rsid w:val="00100F97"/>
    <w:rsid w:val="001012E0"/>
    <w:rsid w:val="001013C4"/>
    <w:rsid w:val="001016F2"/>
    <w:rsid w:val="001024C1"/>
    <w:rsid w:val="0010385D"/>
    <w:rsid w:val="001042E0"/>
    <w:rsid w:val="00104C51"/>
    <w:rsid w:val="0010597B"/>
    <w:rsid w:val="00107FC9"/>
    <w:rsid w:val="00110107"/>
    <w:rsid w:val="00110531"/>
    <w:rsid w:val="00110794"/>
    <w:rsid w:val="0011193E"/>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064"/>
    <w:rsid w:val="00126897"/>
    <w:rsid w:val="0012696D"/>
    <w:rsid w:val="00130906"/>
    <w:rsid w:val="00130A05"/>
    <w:rsid w:val="00130FC9"/>
    <w:rsid w:val="001310EE"/>
    <w:rsid w:val="0013191A"/>
    <w:rsid w:val="00131E8F"/>
    <w:rsid w:val="00135C24"/>
    <w:rsid w:val="00136389"/>
    <w:rsid w:val="0013647F"/>
    <w:rsid w:val="00136A1A"/>
    <w:rsid w:val="00136A96"/>
    <w:rsid w:val="001376B6"/>
    <w:rsid w:val="00140A35"/>
    <w:rsid w:val="00141D33"/>
    <w:rsid w:val="00142F4D"/>
    <w:rsid w:val="00143428"/>
    <w:rsid w:val="0014412C"/>
    <w:rsid w:val="00144713"/>
    <w:rsid w:val="00144CC3"/>
    <w:rsid w:val="00144F7F"/>
    <w:rsid w:val="0014642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3D5"/>
    <w:rsid w:val="00167809"/>
    <w:rsid w:val="00167F30"/>
    <w:rsid w:val="00171844"/>
    <w:rsid w:val="0017385A"/>
    <w:rsid w:val="00175448"/>
    <w:rsid w:val="001757AF"/>
    <w:rsid w:val="00175825"/>
    <w:rsid w:val="0017666F"/>
    <w:rsid w:val="001769BA"/>
    <w:rsid w:val="00176D64"/>
    <w:rsid w:val="00176E2C"/>
    <w:rsid w:val="00177DBF"/>
    <w:rsid w:val="00181327"/>
    <w:rsid w:val="00182012"/>
    <w:rsid w:val="00182417"/>
    <w:rsid w:val="0018242F"/>
    <w:rsid w:val="001826FC"/>
    <w:rsid w:val="0018414E"/>
    <w:rsid w:val="00185718"/>
    <w:rsid w:val="001857AF"/>
    <w:rsid w:val="00185BBE"/>
    <w:rsid w:val="00186606"/>
    <w:rsid w:val="00190B6D"/>
    <w:rsid w:val="00191E75"/>
    <w:rsid w:val="00192022"/>
    <w:rsid w:val="0019301D"/>
    <w:rsid w:val="0019454F"/>
    <w:rsid w:val="00194719"/>
    <w:rsid w:val="00194774"/>
    <w:rsid w:val="0019589C"/>
    <w:rsid w:val="00195CE0"/>
    <w:rsid w:val="001A098F"/>
    <w:rsid w:val="001A10CB"/>
    <w:rsid w:val="001A110B"/>
    <w:rsid w:val="001A149A"/>
    <w:rsid w:val="001A2AB7"/>
    <w:rsid w:val="001A398F"/>
    <w:rsid w:val="001A4A9C"/>
    <w:rsid w:val="001A6B88"/>
    <w:rsid w:val="001A6C33"/>
    <w:rsid w:val="001A6E68"/>
    <w:rsid w:val="001B3131"/>
    <w:rsid w:val="001B4B2F"/>
    <w:rsid w:val="001B6F94"/>
    <w:rsid w:val="001B7C00"/>
    <w:rsid w:val="001C09D2"/>
    <w:rsid w:val="001C1620"/>
    <w:rsid w:val="001C18B2"/>
    <w:rsid w:val="001C1994"/>
    <w:rsid w:val="001C2933"/>
    <w:rsid w:val="001C421A"/>
    <w:rsid w:val="001C5EEE"/>
    <w:rsid w:val="001C6A73"/>
    <w:rsid w:val="001C73C2"/>
    <w:rsid w:val="001C73C5"/>
    <w:rsid w:val="001D0474"/>
    <w:rsid w:val="001D141D"/>
    <w:rsid w:val="001D1EBD"/>
    <w:rsid w:val="001D2184"/>
    <w:rsid w:val="001D24F3"/>
    <w:rsid w:val="001D2678"/>
    <w:rsid w:val="001D29F4"/>
    <w:rsid w:val="001D2DC4"/>
    <w:rsid w:val="001D6A48"/>
    <w:rsid w:val="001D6BDC"/>
    <w:rsid w:val="001D713F"/>
    <w:rsid w:val="001E1043"/>
    <w:rsid w:val="001E10E1"/>
    <w:rsid w:val="001E175F"/>
    <w:rsid w:val="001E19F7"/>
    <w:rsid w:val="001E2669"/>
    <w:rsid w:val="001E3FB9"/>
    <w:rsid w:val="001E4083"/>
    <w:rsid w:val="001E5588"/>
    <w:rsid w:val="001E56CB"/>
    <w:rsid w:val="001E56FC"/>
    <w:rsid w:val="001E582D"/>
    <w:rsid w:val="001E5ADC"/>
    <w:rsid w:val="001E6318"/>
    <w:rsid w:val="001F0AD5"/>
    <w:rsid w:val="001F0C0A"/>
    <w:rsid w:val="001F1509"/>
    <w:rsid w:val="001F1853"/>
    <w:rsid w:val="001F18E7"/>
    <w:rsid w:val="001F3A75"/>
    <w:rsid w:val="001F3A9D"/>
    <w:rsid w:val="001F3FDB"/>
    <w:rsid w:val="001F58D5"/>
    <w:rsid w:val="001F6545"/>
    <w:rsid w:val="001F66B5"/>
    <w:rsid w:val="001F6F36"/>
    <w:rsid w:val="001F7662"/>
    <w:rsid w:val="001F76FD"/>
    <w:rsid w:val="002004C0"/>
    <w:rsid w:val="002012F2"/>
    <w:rsid w:val="002014D7"/>
    <w:rsid w:val="002016DE"/>
    <w:rsid w:val="00202F07"/>
    <w:rsid w:val="00203030"/>
    <w:rsid w:val="00203D45"/>
    <w:rsid w:val="002041F6"/>
    <w:rsid w:val="00204398"/>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AC"/>
    <w:rsid w:val="002412D4"/>
    <w:rsid w:val="0024220D"/>
    <w:rsid w:val="00242BD3"/>
    <w:rsid w:val="00242C02"/>
    <w:rsid w:val="00243155"/>
    <w:rsid w:val="0024328E"/>
    <w:rsid w:val="002449CE"/>
    <w:rsid w:val="00247783"/>
    <w:rsid w:val="0025172C"/>
    <w:rsid w:val="00252328"/>
    <w:rsid w:val="00252CF8"/>
    <w:rsid w:val="00252E2E"/>
    <w:rsid w:val="00253210"/>
    <w:rsid w:val="0025353E"/>
    <w:rsid w:val="00253DE1"/>
    <w:rsid w:val="0025425F"/>
    <w:rsid w:val="00254468"/>
    <w:rsid w:val="00254DE4"/>
    <w:rsid w:val="002559DA"/>
    <w:rsid w:val="00256955"/>
    <w:rsid w:val="0026071A"/>
    <w:rsid w:val="00261B27"/>
    <w:rsid w:val="002622F6"/>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BE2"/>
    <w:rsid w:val="00273D91"/>
    <w:rsid w:val="002743E2"/>
    <w:rsid w:val="0027447E"/>
    <w:rsid w:val="0027520A"/>
    <w:rsid w:val="00275419"/>
    <w:rsid w:val="00275A2D"/>
    <w:rsid w:val="0027655E"/>
    <w:rsid w:val="002772A5"/>
    <w:rsid w:val="002806F8"/>
    <w:rsid w:val="002810B5"/>
    <w:rsid w:val="00281F4F"/>
    <w:rsid w:val="0028491D"/>
    <w:rsid w:val="00286744"/>
    <w:rsid w:val="00286A6F"/>
    <w:rsid w:val="002909B9"/>
    <w:rsid w:val="00292CEE"/>
    <w:rsid w:val="00292CF9"/>
    <w:rsid w:val="00292D22"/>
    <w:rsid w:val="0029470D"/>
    <w:rsid w:val="00297B80"/>
    <w:rsid w:val="002A076C"/>
    <w:rsid w:val="002A1059"/>
    <w:rsid w:val="002A3C9D"/>
    <w:rsid w:val="002A5250"/>
    <w:rsid w:val="002A5403"/>
    <w:rsid w:val="002A6C9F"/>
    <w:rsid w:val="002A6E32"/>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2E58"/>
    <w:rsid w:val="002D323E"/>
    <w:rsid w:val="002D3506"/>
    <w:rsid w:val="002D3670"/>
    <w:rsid w:val="002D37F5"/>
    <w:rsid w:val="002D4807"/>
    <w:rsid w:val="002D5265"/>
    <w:rsid w:val="002D5DDC"/>
    <w:rsid w:val="002D5F16"/>
    <w:rsid w:val="002D62F1"/>
    <w:rsid w:val="002D6FD8"/>
    <w:rsid w:val="002D727B"/>
    <w:rsid w:val="002D7D46"/>
    <w:rsid w:val="002D7EAD"/>
    <w:rsid w:val="002E1169"/>
    <w:rsid w:val="002E1218"/>
    <w:rsid w:val="002E28F3"/>
    <w:rsid w:val="002E675F"/>
    <w:rsid w:val="002E7615"/>
    <w:rsid w:val="002E7A2A"/>
    <w:rsid w:val="002E7F16"/>
    <w:rsid w:val="002F0C85"/>
    <w:rsid w:val="002F1425"/>
    <w:rsid w:val="002F2EC8"/>
    <w:rsid w:val="002F4CE2"/>
    <w:rsid w:val="002F5F6A"/>
    <w:rsid w:val="002F60A4"/>
    <w:rsid w:val="002F6B0C"/>
    <w:rsid w:val="002F77FC"/>
    <w:rsid w:val="003004A6"/>
    <w:rsid w:val="0030129C"/>
    <w:rsid w:val="003013E2"/>
    <w:rsid w:val="00301FE4"/>
    <w:rsid w:val="003037A3"/>
    <w:rsid w:val="00303E3A"/>
    <w:rsid w:val="00305417"/>
    <w:rsid w:val="00306127"/>
    <w:rsid w:val="0030641B"/>
    <w:rsid w:val="003067C8"/>
    <w:rsid w:val="00311453"/>
    <w:rsid w:val="003114C9"/>
    <w:rsid w:val="003120A7"/>
    <w:rsid w:val="0031229D"/>
    <w:rsid w:val="00314E12"/>
    <w:rsid w:val="003166A5"/>
    <w:rsid w:val="00316C8C"/>
    <w:rsid w:val="003174C2"/>
    <w:rsid w:val="00317CE4"/>
    <w:rsid w:val="00320DF4"/>
    <w:rsid w:val="003219A9"/>
    <w:rsid w:val="00321B00"/>
    <w:rsid w:val="00321C54"/>
    <w:rsid w:val="00321DCD"/>
    <w:rsid w:val="00322392"/>
    <w:rsid w:val="0032261F"/>
    <w:rsid w:val="003237A2"/>
    <w:rsid w:val="00324729"/>
    <w:rsid w:val="00325C8B"/>
    <w:rsid w:val="00326423"/>
    <w:rsid w:val="00327011"/>
    <w:rsid w:val="00333D17"/>
    <w:rsid w:val="00334127"/>
    <w:rsid w:val="00334AD0"/>
    <w:rsid w:val="00335CA6"/>
    <w:rsid w:val="003365F0"/>
    <w:rsid w:val="00336C50"/>
    <w:rsid w:val="00337388"/>
    <w:rsid w:val="0034007D"/>
    <w:rsid w:val="003433E5"/>
    <w:rsid w:val="00344082"/>
    <w:rsid w:val="0034582C"/>
    <w:rsid w:val="00345916"/>
    <w:rsid w:val="00345CAC"/>
    <w:rsid w:val="0034789E"/>
    <w:rsid w:val="003501DA"/>
    <w:rsid w:val="003503E2"/>
    <w:rsid w:val="00351691"/>
    <w:rsid w:val="00351DC1"/>
    <w:rsid w:val="003534EE"/>
    <w:rsid w:val="00355029"/>
    <w:rsid w:val="00357216"/>
    <w:rsid w:val="003600A2"/>
    <w:rsid w:val="003612D8"/>
    <w:rsid w:val="00362049"/>
    <w:rsid w:val="003637B6"/>
    <w:rsid w:val="00363C9A"/>
    <w:rsid w:val="00363F89"/>
    <w:rsid w:val="00363FB0"/>
    <w:rsid w:val="003646D6"/>
    <w:rsid w:val="00364792"/>
    <w:rsid w:val="00364FC6"/>
    <w:rsid w:val="0036541D"/>
    <w:rsid w:val="00370504"/>
    <w:rsid w:val="0037158B"/>
    <w:rsid w:val="00371814"/>
    <w:rsid w:val="00372BAE"/>
    <w:rsid w:val="00372EE9"/>
    <w:rsid w:val="00373F07"/>
    <w:rsid w:val="00374A60"/>
    <w:rsid w:val="00375181"/>
    <w:rsid w:val="003764C0"/>
    <w:rsid w:val="003767A4"/>
    <w:rsid w:val="003774F6"/>
    <w:rsid w:val="003801D2"/>
    <w:rsid w:val="003818B3"/>
    <w:rsid w:val="0038356A"/>
    <w:rsid w:val="0038382F"/>
    <w:rsid w:val="0038443F"/>
    <w:rsid w:val="00384487"/>
    <w:rsid w:val="00385427"/>
    <w:rsid w:val="00387542"/>
    <w:rsid w:val="00387C6B"/>
    <w:rsid w:val="00390FC0"/>
    <w:rsid w:val="003911B2"/>
    <w:rsid w:val="00391AFE"/>
    <w:rsid w:val="00392705"/>
    <w:rsid w:val="00393A79"/>
    <w:rsid w:val="0039419C"/>
    <w:rsid w:val="0039453A"/>
    <w:rsid w:val="00395987"/>
    <w:rsid w:val="00395AB0"/>
    <w:rsid w:val="00396375"/>
    <w:rsid w:val="00396801"/>
    <w:rsid w:val="00396E82"/>
    <w:rsid w:val="003A07FF"/>
    <w:rsid w:val="003A146E"/>
    <w:rsid w:val="003A26CD"/>
    <w:rsid w:val="003A2A7A"/>
    <w:rsid w:val="003A3558"/>
    <w:rsid w:val="003A37F7"/>
    <w:rsid w:val="003A54E9"/>
    <w:rsid w:val="003A5E7C"/>
    <w:rsid w:val="003A78C7"/>
    <w:rsid w:val="003A7E9A"/>
    <w:rsid w:val="003B15FE"/>
    <w:rsid w:val="003B1C41"/>
    <w:rsid w:val="003B2198"/>
    <w:rsid w:val="003B46AD"/>
    <w:rsid w:val="003B5C96"/>
    <w:rsid w:val="003B65FB"/>
    <w:rsid w:val="003B6A26"/>
    <w:rsid w:val="003C218D"/>
    <w:rsid w:val="003C3D89"/>
    <w:rsid w:val="003C3EE2"/>
    <w:rsid w:val="003C4224"/>
    <w:rsid w:val="003C426D"/>
    <w:rsid w:val="003C4877"/>
    <w:rsid w:val="003C4B42"/>
    <w:rsid w:val="003C4E91"/>
    <w:rsid w:val="003C6D76"/>
    <w:rsid w:val="003C72BB"/>
    <w:rsid w:val="003C72F6"/>
    <w:rsid w:val="003D073C"/>
    <w:rsid w:val="003D0791"/>
    <w:rsid w:val="003D1130"/>
    <w:rsid w:val="003D37D4"/>
    <w:rsid w:val="003D47A7"/>
    <w:rsid w:val="003D5186"/>
    <w:rsid w:val="003D56B5"/>
    <w:rsid w:val="003D5DCC"/>
    <w:rsid w:val="003D5EEB"/>
    <w:rsid w:val="003D6B84"/>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5926"/>
    <w:rsid w:val="003F67AE"/>
    <w:rsid w:val="003F6BBB"/>
    <w:rsid w:val="003F719F"/>
    <w:rsid w:val="003F7453"/>
    <w:rsid w:val="0040033D"/>
    <w:rsid w:val="004007E1"/>
    <w:rsid w:val="00400B1F"/>
    <w:rsid w:val="00400E7D"/>
    <w:rsid w:val="004032D2"/>
    <w:rsid w:val="00403C4F"/>
    <w:rsid w:val="004058B4"/>
    <w:rsid w:val="00405C45"/>
    <w:rsid w:val="004062EF"/>
    <w:rsid w:val="004062F0"/>
    <w:rsid w:val="00406CB5"/>
    <w:rsid w:val="00410B8F"/>
    <w:rsid w:val="00412057"/>
    <w:rsid w:val="004126C1"/>
    <w:rsid w:val="004130C8"/>
    <w:rsid w:val="004133D3"/>
    <w:rsid w:val="00413BA5"/>
    <w:rsid w:val="00413FA6"/>
    <w:rsid w:val="00414FD0"/>
    <w:rsid w:val="00417E93"/>
    <w:rsid w:val="00422A2A"/>
    <w:rsid w:val="00423375"/>
    <w:rsid w:val="00424B5A"/>
    <w:rsid w:val="00424BB4"/>
    <w:rsid w:val="00425393"/>
    <w:rsid w:val="004258CD"/>
    <w:rsid w:val="004261D2"/>
    <w:rsid w:val="00427D35"/>
    <w:rsid w:val="004303D1"/>
    <w:rsid w:val="00432C75"/>
    <w:rsid w:val="00433297"/>
    <w:rsid w:val="00433C0A"/>
    <w:rsid w:val="004349FA"/>
    <w:rsid w:val="004406BD"/>
    <w:rsid w:val="00442FBE"/>
    <w:rsid w:val="004433B1"/>
    <w:rsid w:val="00443411"/>
    <w:rsid w:val="00443571"/>
    <w:rsid w:val="004444E3"/>
    <w:rsid w:val="004447FD"/>
    <w:rsid w:val="00445032"/>
    <w:rsid w:val="004450CB"/>
    <w:rsid w:val="00446967"/>
    <w:rsid w:val="00446AB6"/>
    <w:rsid w:val="00450EEE"/>
    <w:rsid w:val="004512B2"/>
    <w:rsid w:val="004528EE"/>
    <w:rsid w:val="00453360"/>
    <w:rsid w:val="00455457"/>
    <w:rsid w:val="00456409"/>
    <w:rsid w:val="004564FB"/>
    <w:rsid w:val="004569C6"/>
    <w:rsid w:val="00456ADC"/>
    <w:rsid w:val="00457515"/>
    <w:rsid w:val="0045768F"/>
    <w:rsid w:val="00457769"/>
    <w:rsid w:val="00460C5D"/>
    <w:rsid w:val="004627AE"/>
    <w:rsid w:val="0046298E"/>
    <w:rsid w:val="004647BB"/>
    <w:rsid w:val="0046482B"/>
    <w:rsid w:val="004648E0"/>
    <w:rsid w:val="00467796"/>
    <w:rsid w:val="00472043"/>
    <w:rsid w:val="00472F56"/>
    <w:rsid w:val="0047335E"/>
    <w:rsid w:val="00473CA1"/>
    <w:rsid w:val="0047572C"/>
    <w:rsid w:val="0047636C"/>
    <w:rsid w:val="00476407"/>
    <w:rsid w:val="004773F7"/>
    <w:rsid w:val="00481F5F"/>
    <w:rsid w:val="004821D0"/>
    <w:rsid w:val="00482CB2"/>
    <w:rsid w:val="004838D7"/>
    <w:rsid w:val="00483D06"/>
    <w:rsid w:val="004857AF"/>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399"/>
    <w:rsid w:val="004A2E85"/>
    <w:rsid w:val="004A31A2"/>
    <w:rsid w:val="004A48A7"/>
    <w:rsid w:val="004A655D"/>
    <w:rsid w:val="004B01B1"/>
    <w:rsid w:val="004B08D1"/>
    <w:rsid w:val="004B10E6"/>
    <w:rsid w:val="004B170E"/>
    <w:rsid w:val="004B198F"/>
    <w:rsid w:val="004B3570"/>
    <w:rsid w:val="004B42D5"/>
    <w:rsid w:val="004B46D0"/>
    <w:rsid w:val="004B57B0"/>
    <w:rsid w:val="004B60CE"/>
    <w:rsid w:val="004B61C9"/>
    <w:rsid w:val="004B73DC"/>
    <w:rsid w:val="004C0B26"/>
    <w:rsid w:val="004C12FE"/>
    <w:rsid w:val="004C1D57"/>
    <w:rsid w:val="004C2F7C"/>
    <w:rsid w:val="004C34F8"/>
    <w:rsid w:val="004C375F"/>
    <w:rsid w:val="004C482F"/>
    <w:rsid w:val="004C49C9"/>
    <w:rsid w:val="004C569F"/>
    <w:rsid w:val="004C627F"/>
    <w:rsid w:val="004C76C1"/>
    <w:rsid w:val="004C7DDE"/>
    <w:rsid w:val="004D0D1A"/>
    <w:rsid w:val="004D169F"/>
    <w:rsid w:val="004D18CF"/>
    <w:rsid w:val="004D30CE"/>
    <w:rsid w:val="004D3A88"/>
    <w:rsid w:val="004D4071"/>
    <w:rsid w:val="004D421A"/>
    <w:rsid w:val="004D4D0C"/>
    <w:rsid w:val="004D4EEE"/>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5CC"/>
    <w:rsid w:val="00504666"/>
    <w:rsid w:val="00504DC1"/>
    <w:rsid w:val="00505332"/>
    <w:rsid w:val="00505A57"/>
    <w:rsid w:val="00505BE1"/>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9A5"/>
    <w:rsid w:val="005266BD"/>
    <w:rsid w:val="0052772D"/>
    <w:rsid w:val="00530442"/>
    <w:rsid w:val="00534AF0"/>
    <w:rsid w:val="00535060"/>
    <w:rsid w:val="00535738"/>
    <w:rsid w:val="005409EB"/>
    <w:rsid w:val="00540F30"/>
    <w:rsid w:val="00541DD2"/>
    <w:rsid w:val="0054230E"/>
    <w:rsid w:val="00543A63"/>
    <w:rsid w:val="00543AB5"/>
    <w:rsid w:val="005457CF"/>
    <w:rsid w:val="00545976"/>
    <w:rsid w:val="005461A3"/>
    <w:rsid w:val="0054660F"/>
    <w:rsid w:val="00547628"/>
    <w:rsid w:val="00547B01"/>
    <w:rsid w:val="005533C3"/>
    <w:rsid w:val="005536E6"/>
    <w:rsid w:val="00553AC3"/>
    <w:rsid w:val="00553DBA"/>
    <w:rsid w:val="00554335"/>
    <w:rsid w:val="00554A75"/>
    <w:rsid w:val="00555631"/>
    <w:rsid w:val="0055621D"/>
    <w:rsid w:val="00557006"/>
    <w:rsid w:val="0055764D"/>
    <w:rsid w:val="005608FE"/>
    <w:rsid w:val="00560C6A"/>
    <w:rsid w:val="00560F85"/>
    <w:rsid w:val="005610A0"/>
    <w:rsid w:val="0056248F"/>
    <w:rsid w:val="00564985"/>
    <w:rsid w:val="00565379"/>
    <w:rsid w:val="005674C3"/>
    <w:rsid w:val="005677B7"/>
    <w:rsid w:val="00567990"/>
    <w:rsid w:val="00567C4C"/>
    <w:rsid w:val="005721A1"/>
    <w:rsid w:val="005728C8"/>
    <w:rsid w:val="005733AD"/>
    <w:rsid w:val="0057381A"/>
    <w:rsid w:val="00573ABD"/>
    <w:rsid w:val="00574B91"/>
    <w:rsid w:val="00574E5C"/>
    <w:rsid w:val="005750F7"/>
    <w:rsid w:val="0057512C"/>
    <w:rsid w:val="00576319"/>
    <w:rsid w:val="0057648C"/>
    <w:rsid w:val="005766EA"/>
    <w:rsid w:val="00576AF3"/>
    <w:rsid w:val="00581FF0"/>
    <w:rsid w:val="005825FC"/>
    <w:rsid w:val="00583437"/>
    <w:rsid w:val="00583CE0"/>
    <w:rsid w:val="00584854"/>
    <w:rsid w:val="00584B4A"/>
    <w:rsid w:val="00584DCB"/>
    <w:rsid w:val="00585A16"/>
    <w:rsid w:val="00585B98"/>
    <w:rsid w:val="005863D8"/>
    <w:rsid w:val="005865B2"/>
    <w:rsid w:val="00586812"/>
    <w:rsid w:val="00587BC2"/>
    <w:rsid w:val="0059089E"/>
    <w:rsid w:val="005918E4"/>
    <w:rsid w:val="00591C6D"/>
    <w:rsid w:val="00591C71"/>
    <w:rsid w:val="00592392"/>
    <w:rsid w:val="00592484"/>
    <w:rsid w:val="0059283D"/>
    <w:rsid w:val="005928D3"/>
    <w:rsid w:val="00592D5D"/>
    <w:rsid w:val="005955C0"/>
    <w:rsid w:val="00595812"/>
    <w:rsid w:val="00595B68"/>
    <w:rsid w:val="00595EAA"/>
    <w:rsid w:val="0059672B"/>
    <w:rsid w:val="00597413"/>
    <w:rsid w:val="005A0B55"/>
    <w:rsid w:val="005A0C60"/>
    <w:rsid w:val="005A255F"/>
    <w:rsid w:val="005A330E"/>
    <w:rsid w:val="005A5554"/>
    <w:rsid w:val="005A5651"/>
    <w:rsid w:val="005A6AFE"/>
    <w:rsid w:val="005A7BF3"/>
    <w:rsid w:val="005A7DE0"/>
    <w:rsid w:val="005B0AEF"/>
    <w:rsid w:val="005B37D9"/>
    <w:rsid w:val="005B3DB0"/>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298"/>
    <w:rsid w:val="005C6474"/>
    <w:rsid w:val="005C6A68"/>
    <w:rsid w:val="005D0805"/>
    <w:rsid w:val="005D0AE3"/>
    <w:rsid w:val="005D1103"/>
    <w:rsid w:val="005D2033"/>
    <w:rsid w:val="005D276D"/>
    <w:rsid w:val="005D5912"/>
    <w:rsid w:val="005D5FF0"/>
    <w:rsid w:val="005D794C"/>
    <w:rsid w:val="005D7A9F"/>
    <w:rsid w:val="005D7AA2"/>
    <w:rsid w:val="005E2154"/>
    <w:rsid w:val="005E22C5"/>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79B"/>
    <w:rsid w:val="005F39A0"/>
    <w:rsid w:val="005F4F1D"/>
    <w:rsid w:val="005F6B68"/>
    <w:rsid w:val="005F6F2E"/>
    <w:rsid w:val="005F7D85"/>
    <w:rsid w:val="00600791"/>
    <w:rsid w:val="00601A1F"/>
    <w:rsid w:val="00602655"/>
    <w:rsid w:val="00603B68"/>
    <w:rsid w:val="00603D8D"/>
    <w:rsid w:val="00605297"/>
    <w:rsid w:val="00605CB9"/>
    <w:rsid w:val="00605EE7"/>
    <w:rsid w:val="006065BF"/>
    <w:rsid w:val="00607C00"/>
    <w:rsid w:val="00610430"/>
    <w:rsid w:val="00611858"/>
    <w:rsid w:val="00613229"/>
    <w:rsid w:val="006149FA"/>
    <w:rsid w:val="00614EB1"/>
    <w:rsid w:val="00614F67"/>
    <w:rsid w:val="00615277"/>
    <w:rsid w:val="00615519"/>
    <w:rsid w:val="00615CED"/>
    <w:rsid w:val="00615CFC"/>
    <w:rsid w:val="00616740"/>
    <w:rsid w:val="00617A92"/>
    <w:rsid w:val="00620467"/>
    <w:rsid w:val="00620CEE"/>
    <w:rsid w:val="00622558"/>
    <w:rsid w:val="00622D5F"/>
    <w:rsid w:val="00622EAE"/>
    <w:rsid w:val="0062334E"/>
    <w:rsid w:val="00623A4F"/>
    <w:rsid w:val="00624D17"/>
    <w:rsid w:val="00624F56"/>
    <w:rsid w:val="00625159"/>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A38"/>
    <w:rsid w:val="0064656E"/>
    <w:rsid w:val="00646DF5"/>
    <w:rsid w:val="00650397"/>
    <w:rsid w:val="006507E8"/>
    <w:rsid w:val="00650C73"/>
    <w:rsid w:val="00651143"/>
    <w:rsid w:val="00651959"/>
    <w:rsid w:val="00653149"/>
    <w:rsid w:val="006531E4"/>
    <w:rsid w:val="00654505"/>
    <w:rsid w:val="0065672B"/>
    <w:rsid w:val="006575ED"/>
    <w:rsid w:val="006578FD"/>
    <w:rsid w:val="0066001C"/>
    <w:rsid w:val="00660060"/>
    <w:rsid w:val="00660368"/>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B69"/>
    <w:rsid w:val="00675E37"/>
    <w:rsid w:val="0067663E"/>
    <w:rsid w:val="00676EAF"/>
    <w:rsid w:val="00677850"/>
    <w:rsid w:val="00680657"/>
    <w:rsid w:val="00680BD9"/>
    <w:rsid w:val="00681B4A"/>
    <w:rsid w:val="00681D07"/>
    <w:rsid w:val="00681EDA"/>
    <w:rsid w:val="00682017"/>
    <w:rsid w:val="00682605"/>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E9"/>
    <w:rsid w:val="006A044A"/>
    <w:rsid w:val="006A0C22"/>
    <w:rsid w:val="006A20FB"/>
    <w:rsid w:val="006A339D"/>
    <w:rsid w:val="006A4462"/>
    <w:rsid w:val="006A5B59"/>
    <w:rsid w:val="006A6A14"/>
    <w:rsid w:val="006A753A"/>
    <w:rsid w:val="006A7671"/>
    <w:rsid w:val="006A777C"/>
    <w:rsid w:val="006A7B70"/>
    <w:rsid w:val="006A7C46"/>
    <w:rsid w:val="006B0F76"/>
    <w:rsid w:val="006B1923"/>
    <w:rsid w:val="006B1F20"/>
    <w:rsid w:val="006B22B1"/>
    <w:rsid w:val="006B3976"/>
    <w:rsid w:val="006B398A"/>
    <w:rsid w:val="006B3E04"/>
    <w:rsid w:val="006B4024"/>
    <w:rsid w:val="006B47D7"/>
    <w:rsid w:val="006B499D"/>
    <w:rsid w:val="006B5041"/>
    <w:rsid w:val="006B55CF"/>
    <w:rsid w:val="006B643D"/>
    <w:rsid w:val="006B74BD"/>
    <w:rsid w:val="006B7900"/>
    <w:rsid w:val="006B79A4"/>
    <w:rsid w:val="006C1254"/>
    <w:rsid w:val="006C2DC5"/>
    <w:rsid w:val="006C480B"/>
    <w:rsid w:val="006C4FB7"/>
    <w:rsid w:val="006C570B"/>
    <w:rsid w:val="006C572E"/>
    <w:rsid w:val="006C5997"/>
    <w:rsid w:val="006C5CD2"/>
    <w:rsid w:val="006D0636"/>
    <w:rsid w:val="006D06DC"/>
    <w:rsid w:val="006D36DA"/>
    <w:rsid w:val="006D4300"/>
    <w:rsid w:val="006D6E46"/>
    <w:rsid w:val="006D7FA8"/>
    <w:rsid w:val="006E0E2D"/>
    <w:rsid w:val="006E14BF"/>
    <w:rsid w:val="006E2F98"/>
    <w:rsid w:val="006E3DBD"/>
    <w:rsid w:val="006E3E07"/>
    <w:rsid w:val="006E4601"/>
    <w:rsid w:val="006E59D7"/>
    <w:rsid w:val="006E5B86"/>
    <w:rsid w:val="006E63FF"/>
    <w:rsid w:val="006E652D"/>
    <w:rsid w:val="006E7572"/>
    <w:rsid w:val="006F2CC8"/>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3BE4"/>
    <w:rsid w:val="007260FE"/>
    <w:rsid w:val="00726C10"/>
    <w:rsid w:val="00726DD6"/>
    <w:rsid w:val="0073076E"/>
    <w:rsid w:val="00733416"/>
    <w:rsid w:val="0073377E"/>
    <w:rsid w:val="00733E05"/>
    <w:rsid w:val="00735C8A"/>
    <w:rsid w:val="00735FE2"/>
    <w:rsid w:val="0073719A"/>
    <w:rsid w:val="00737C62"/>
    <w:rsid w:val="00737C91"/>
    <w:rsid w:val="00740A52"/>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AE7"/>
    <w:rsid w:val="00757105"/>
    <w:rsid w:val="00757B82"/>
    <w:rsid w:val="00760157"/>
    <w:rsid w:val="007601A8"/>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194"/>
    <w:rsid w:val="007779ED"/>
    <w:rsid w:val="00780B1A"/>
    <w:rsid w:val="007810D3"/>
    <w:rsid w:val="0078264A"/>
    <w:rsid w:val="007828FF"/>
    <w:rsid w:val="00783D11"/>
    <w:rsid w:val="00785E46"/>
    <w:rsid w:val="00787917"/>
    <w:rsid w:val="0079074E"/>
    <w:rsid w:val="00791489"/>
    <w:rsid w:val="007915BE"/>
    <w:rsid w:val="00791683"/>
    <w:rsid w:val="00792F0C"/>
    <w:rsid w:val="00793114"/>
    <w:rsid w:val="00795460"/>
    <w:rsid w:val="00796CF7"/>
    <w:rsid w:val="007A0313"/>
    <w:rsid w:val="007A0A83"/>
    <w:rsid w:val="007A0F05"/>
    <w:rsid w:val="007A4BB3"/>
    <w:rsid w:val="007A6307"/>
    <w:rsid w:val="007A6822"/>
    <w:rsid w:val="007A724D"/>
    <w:rsid w:val="007A749D"/>
    <w:rsid w:val="007A7B37"/>
    <w:rsid w:val="007B024C"/>
    <w:rsid w:val="007B1C4C"/>
    <w:rsid w:val="007B23FE"/>
    <w:rsid w:val="007B2800"/>
    <w:rsid w:val="007B38F7"/>
    <w:rsid w:val="007B40D4"/>
    <w:rsid w:val="007B4511"/>
    <w:rsid w:val="007B5C86"/>
    <w:rsid w:val="007B5F18"/>
    <w:rsid w:val="007B6071"/>
    <w:rsid w:val="007B6540"/>
    <w:rsid w:val="007B69A2"/>
    <w:rsid w:val="007C09C4"/>
    <w:rsid w:val="007C25E9"/>
    <w:rsid w:val="007C2F78"/>
    <w:rsid w:val="007C34C5"/>
    <w:rsid w:val="007C4079"/>
    <w:rsid w:val="007C4827"/>
    <w:rsid w:val="007C4A20"/>
    <w:rsid w:val="007D0A51"/>
    <w:rsid w:val="007D0B7F"/>
    <w:rsid w:val="007D1266"/>
    <w:rsid w:val="007D1B94"/>
    <w:rsid w:val="007D458D"/>
    <w:rsid w:val="007D4E8C"/>
    <w:rsid w:val="007D538F"/>
    <w:rsid w:val="007D668A"/>
    <w:rsid w:val="007E09E2"/>
    <w:rsid w:val="007E0FF5"/>
    <w:rsid w:val="007E1012"/>
    <w:rsid w:val="007E17CD"/>
    <w:rsid w:val="007E1B35"/>
    <w:rsid w:val="007E24ED"/>
    <w:rsid w:val="007E2B53"/>
    <w:rsid w:val="007E374B"/>
    <w:rsid w:val="007E39DE"/>
    <w:rsid w:val="007E3F53"/>
    <w:rsid w:val="007E7997"/>
    <w:rsid w:val="007E7B47"/>
    <w:rsid w:val="007F04EF"/>
    <w:rsid w:val="007F311F"/>
    <w:rsid w:val="007F342F"/>
    <w:rsid w:val="007F38D1"/>
    <w:rsid w:val="007F56BB"/>
    <w:rsid w:val="007F63CE"/>
    <w:rsid w:val="007F6EA4"/>
    <w:rsid w:val="008002A5"/>
    <w:rsid w:val="0080050E"/>
    <w:rsid w:val="00801329"/>
    <w:rsid w:val="00801424"/>
    <w:rsid w:val="00801AA4"/>
    <w:rsid w:val="00801B7E"/>
    <w:rsid w:val="008021B9"/>
    <w:rsid w:val="0080453E"/>
    <w:rsid w:val="00806E68"/>
    <w:rsid w:val="00807FC3"/>
    <w:rsid w:val="00810034"/>
    <w:rsid w:val="00810EEE"/>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043"/>
    <w:rsid w:val="008344C4"/>
    <w:rsid w:val="008348DA"/>
    <w:rsid w:val="00835621"/>
    <w:rsid w:val="008362AE"/>
    <w:rsid w:val="00837719"/>
    <w:rsid w:val="00840419"/>
    <w:rsid w:val="00840A24"/>
    <w:rsid w:val="00840D73"/>
    <w:rsid w:val="00840F1B"/>
    <w:rsid w:val="0084117A"/>
    <w:rsid w:val="00842827"/>
    <w:rsid w:val="00842965"/>
    <w:rsid w:val="00844300"/>
    <w:rsid w:val="008458BD"/>
    <w:rsid w:val="00846956"/>
    <w:rsid w:val="00846CF1"/>
    <w:rsid w:val="0084748F"/>
    <w:rsid w:val="00847622"/>
    <w:rsid w:val="008505B8"/>
    <w:rsid w:val="00851005"/>
    <w:rsid w:val="00851ADD"/>
    <w:rsid w:val="008522DF"/>
    <w:rsid w:val="008530AA"/>
    <w:rsid w:val="008551C2"/>
    <w:rsid w:val="008551DD"/>
    <w:rsid w:val="00855CA6"/>
    <w:rsid w:val="00860323"/>
    <w:rsid w:val="00860F4F"/>
    <w:rsid w:val="008610B9"/>
    <w:rsid w:val="00862656"/>
    <w:rsid w:val="00863013"/>
    <w:rsid w:val="00863F67"/>
    <w:rsid w:val="0086483A"/>
    <w:rsid w:val="0087049C"/>
    <w:rsid w:val="00870AAD"/>
    <w:rsid w:val="00870EDE"/>
    <w:rsid w:val="00871DA0"/>
    <w:rsid w:val="00871FF7"/>
    <w:rsid w:val="00872030"/>
    <w:rsid w:val="00873973"/>
    <w:rsid w:val="00875C28"/>
    <w:rsid w:val="00875E75"/>
    <w:rsid w:val="0087658F"/>
    <w:rsid w:val="0087762E"/>
    <w:rsid w:val="00877823"/>
    <w:rsid w:val="008803F5"/>
    <w:rsid w:val="008812BF"/>
    <w:rsid w:val="00881341"/>
    <w:rsid w:val="00882931"/>
    <w:rsid w:val="00882D7D"/>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C8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4E4"/>
    <w:rsid w:val="008C2729"/>
    <w:rsid w:val="008C3347"/>
    <w:rsid w:val="008C39D6"/>
    <w:rsid w:val="008C3B96"/>
    <w:rsid w:val="008C43BF"/>
    <w:rsid w:val="008C500F"/>
    <w:rsid w:val="008C532F"/>
    <w:rsid w:val="008C60C3"/>
    <w:rsid w:val="008C7736"/>
    <w:rsid w:val="008D0948"/>
    <w:rsid w:val="008D311C"/>
    <w:rsid w:val="008D31D2"/>
    <w:rsid w:val="008D3CC5"/>
    <w:rsid w:val="008D4712"/>
    <w:rsid w:val="008D564A"/>
    <w:rsid w:val="008D5779"/>
    <w:rsid w:val="008D5E47"/>
    <w:rsid w:val="008D7D8C"/>
    <w:rsid w:val="008E004E"/>
    <w:rsid w:val="008E04FB"/>
    <w:rsid w:val="008E378C"/>
    <w:rsid w:val="008E3E79"/>
    <w:rsid w:val="008E483F"/>
    <w:rsid w:val="008E5282"/>
    <w:rsid w:val="008E5496"/>
    <w:rsid w:val="008E5E2C"/>
    <w:rsid w:val="008E78F1"/>
    <w:rsid w:val="008F03CE"/>
    <w:rsid w:val="008F075B"/>
    <w:rsid w:val="008F0E9E"/>
    <w:rsid w:val="008F2783"/>
    <w:rsid w:val="008F2913"/>
    <w:rsid w:val="008F2A4E"/>
    <w:rsid w:val="008F2AE9"/>
    <w:rsid w:val="008F332B"/>
    <w:rsid w:val="008F51DA"/>
    <w:rsid w:val="008F52D0"/>
    <w:rsid w:val="008F58BB"/>
    <w:rsid w:val="008F6106"/>
    <w:rsid w:val="008F791D"/>
    <w:rsid w:val="00900959"/>
    <w:rsid w:val="00901900"/>
    <w:rsid w:val="00901B7A"/>
    <w:rsid w:val="00901EE8"/>
    <w:rsid w:val="00901F6C"/>
    <w:rsid w:val="0090266B"/>
    <w:rsid w:val="0090287C"/>
    <w:rsid w:val="00902F06"/>
    <w:rsid w:val="009035DB"/>
    <w:rsid w:val="00904671"/>
    <w:rsid w:val="00905BC5"/>
    <w:rsid w:val="009064AA"/>
    <w:rsid w:val="00912257"/>
    <w:rsid w:val="00913495"/>
    <w:rsid w:val="00913722"/>
    <w:rsid w:val="00913874"/>
    <w:rsid w:val="00913DCF"/>
    <w:rsid w:val="00913EEC"/>
    <w:rsid w:val="00915B0B"/>
    <w:rsid w:val="009163CC"/>
    <w:rsid w:val="0091674C"/>
    <w:rsid w:val="00916862"/>
    <w:rsid w:val="00916B2A"/>
    <w:rsid w:val="00916B4B"/>
    <w:rsid w:val="00916D96"/>
    <w:rsid w:val="009174F7"/>
    <w:rsid w:val="00917E76"/>
    <w:rsid w:val="00920167"/>
    <w:rsid w:val="0092109C"/>
    <w:rsid w:val="00921BB8"/>
    <w:rsid w:val="00921D28"/>
    <w:rsid w:val="00922034"/>
    <w:rsid w:val="0092266C"/>
    <w:rsid w:val="009241E8"/>
    <w:rsid w:val="00925956"/>
    <w:rsid w:val="00925DD2"/>
    <w:rsid w:val="00926344"/>
    <w:rsid w:val="00926929"/>
    <w:rsid w:val="00927301"/>
    <w:rsid w:val="00927E9D"/>
    <w:rsid w:val="00931652"/>
    <w:rsid w:val="00931859"/>
    <w:rsid w:val="0093205C"/>
    <w:rsid w:val="009343F5"/>
    <w:rsid w:val="0093456A"/>
    <w:rsid w:val="009345AE"/>
    <w:rsid w:val="009348BE"/>
    <w:rsid w:val="00935301"/>
    <w:rsid w:val="00936F64"/>
    <w:rsid w:val="00937B8E"/>
    <w:rsid w:val="00940C5B"/>
    <w:rsid w:val="009411F7"/>
    <w:rsid w:val="009417F1"/>
    <w:rsid w:val="00941A84"/>
    <w:rsid w:val="0094204A"/>
    <w:rsid w:val="009443ED"/>
    <w:rsid w:val="00945DBF"/>
    <w:rsid w:val="00946042"/>
    <w:rsid w:val="00946AB3"/>
    <w:rsid w:val="00947056"/>
    <w:rsid w:val="00947074"/>
    <w:rsid w:val="0094752A"/>
    <w:rsid w:val="00947D01"/>
    <w:rsid w:val="009503EA"/>
    <w:rsid w:val="009506AF"/>
    <w:rsid w:val="0095112D"/>
    <w:rsid w:val="00952124"/>
    <w:rsid w:val="0095466C"/>
    <w:rsid w:val="00956244"/>
    <w:rsid w:val="00956A06"/>
    <w:rsid w:val="00957435"/>
    <w:rsid w:val="009578D0"/>
    <w:rsid w:val="009600C6"/>
    <w:rsid w:val="00960A59"/>
    <w:rsid w:val="00960D80"/>
    <w:rsid w:val="009621CE"/>
    <w:rsid w:val="009622BF"/>
    <w:rsid w:val="00965050"/>
    <w:rsid w:val="009651B8"/>
    <w:rsid w:val="009653F3"/>
    <w:rsid w:val="00965762"/>
    <w:rsid w:val="0096587A"/>
    <w:rsid w:val="009666E7"/>
    <w:rsid w:val="00967278"/>
    <w:rsid w:val="00971568"/>
    <w:rsid w:val="00971929"/>
    <w:rsid w:val="009728F2"/>
    <w:rsid w:val="00972BEF"/>
    <w:rsid w:val="00972E42"/>
    <w:rsid w:val="00973BCF"/>
    <w:rsid w:val="009744BC"/>
    <w:rsid w:val="00974E60"/>
    <w:rsid w:val="00975896"/>
    <w:rsid w:val="00975DF1"/>
    <w:rsid w:val="00976AFE"/>
    <w:rsid w:val="009834EF"/>
    <w:rsid w:val="00983CEA"/>
    <w:rsid w:val="00984198"/>
    <w:rsid w:val="00984E04"/>
    <w:rsid w:val="00986194"/>
    <w:rsid w:val="009861D2"/>
    <w:rsid w:val="00986E53"/>
    <w:rsid w:val="00987CE5"/>
    <w:rsid w:val="00993CF0"/>
    <w:rsid w:val="0099428D"/>
    <w:rsid w:val="009949A7"/>
    <w:rsid w:val="00994D40"/>
    <w:rsid w:val="00995AC1"/>
    <w:rsid w:val="00995CDC"/>
    <w:rsid w:val="009963DD"/>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606"/>
    <w:rsid w:val="009C2943"/>
    <w:rsid w:val="009C40A8"/>
    <w:rsid w:val="009C458D"/>
    <w:rsid w:val="009C4B2C"/>
    <w:rsid w:val="009C4CB3"/>
    <w:rsid w:val="009C4F15"/>
    <w:rsid w:val="009C511C"/>
    <w:rsid w:val="009C5416"/>
    <w:rsid w:val="009C587B"/>
    <w:rsid w:val="009C64C5"/>
    <w:rsid w:val="009C6F87"/>
    <w:rsid w:val="009C7166"/>
    <w:rsid w:val="009C742C"/>
    <w:rsid w:val="009D2376"/>
    <w:rsid w:val="009D2D48"/>
    <w:rsid w:val="009D30D3"/>
    <w:rsid w:val="009D30E9"/>
    <w:rsid w:val="009D3103"/>
    <w:rsid w:val="009D331A"/>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D02"/>
    <w:rsid w:val="009E2D7D"/>
    <w:rsid w:val="009E2E0C"/>
    <w:rsid w:val="009E2F8F"/>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2F4"/>
    <w:rsid w:val="009F6807"/>
    <w:rsid w:val="009F68DF"/>
    <w:rsid w:val="009F6A24"/>
    <w:rsid w:val="009F729C"/>
    <w:rsid w:val="00A0042C"/>
    <w:rsid w:val="00A00495"/>
    <w:rsid w:val="00A01925"/>
    <w:rsid w:val="00A01DEB"/>
    <w:rsid w:val="00A039DB"/>
    <w:rsid w:val="00A06D32"/>
    <w:rsid w:val="00A07545"/>
    <w:rsid w:val="00A10B88"/>
    <w:rsid w:val="00A13947"/>
    <w:rsid w:val="00A13E2B"/>
    <w:rsid w:val="00A1562A"/>
    <w:rsid w:val="00A15901"/>
    <w:rsid w:val="00A1618E"/>
    <w:rsid w:val="00A161A1"/>
    <w:rsid w:val="00A20562"/>
    <w:rsid w:val="00A205B3"/>
    <w:rsid w:val="00A20F75"/>
    <w:rsid w:val="00A212B1"/>
    <w:rsid w:val="00A24B42"/>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28E"/>
    <w:rsid w:val="00A43904"/>
    <w:rsid w:val="00A4582E"/>
    <w:rsid w:val="00A45BD2"/>
    <w:rsid w:val="00A45DFA"/>
    <w:rsid w:val="00A46A1E"/>
    <w:rsid w:val="00A46BC3"/>
    <w:rsid w:val="00A50595"/>
    <w:rsid w:val="00A50918"/>
    <w:rsid w:val="00A50A39"/>
    <w:rsid w:val="00A51DF1"/>
    <w:rsid w:val="00A52AFB"/>
    <w:rsid w:val="00A53967"/>
    <w:rsid w:val="00A5455C"/>
    <w:rsid w:val="00A545EC"/>
    <w:rsid w:val="00A54C5F"/>
    <w:rsid w:val="00A54D3B"/>
    <w:rsid w:val="00A5578A"/>
    <w:rsid w:val="00A560E6"/>
    <w:rsid w:val="00A577D6"/>
    <w:rsid w:val="00A61365"/>
    <w:rsid w:val="00A61759"/>
    <w:rsid w:val="00A61B88"/>
    <w:rsid w:val="00A62C70"/>
    <w:rsid w:val="00A63982"/>
    <w:rsid w:val="00A64098"/>
    <w:rsid w:val="00A65845"/>
    <w:rsid w:val="00A65A41"/>
    <w:rsid w:val="00A666AA"/>
    <w:rsid w:val="00A671FC"/>
    <w:rsid w:val="00A71670"/>
    <w:rsid w:val="00A72874"/>
    <w:rsid w:val="00A72E48"/>
    <w:rsid w:val="00A7359C"/>
    <w:rsid w:val="00A73616"/>
    <w:rsid w:val="00A76648"/>
    <w:rsid w:val="00A76DF7"/>
    <w:rsid w:val="00A7701A"/>
    <w:rsid w:val="00A77523"/>
    <w:rsid w:val="00A81712"/>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1BA"/>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017"/>
    <w:rsid w:val="00AA628B"/>
    <w:rsid w:val="00AA6DE4"/>
    <w:rsid w:val="00AA7408"/>
    <w:rsid w:val="00AA7D1F"/>
    <w:rsid w:val="00AB02C6"/>
    <w:rsid w:val="00AB246B"/>
    <w:rsid w:val="00AB2E96"/>
    <w:rsid w:val="00AB36D4"/>
    <w:rsid w:val="00AB5500"/>
    <w:rsid w:val="00AB5564"/>
    <w:rsid w:val="00AB57FB"/>
    <w:rsid w:val="00AB7348"/>
    <w:rsid w:val="00AC13B0"/>
    <w:rsid w:val="00AC2D59"/>
    <w:rsid w:val="00AC2FD0"/>
    <w:rsid w:val="00AC3DBD"/>
    <w:rsid w:val="00AC5E85"/>
    <w:rsid w:val="00AC60E1"/>
    <w:rsid w:val="00AD03D8"/>
    <w:rsid w:val="00AD0D5F"/>
    <w:rsid w:val="00AD34CF"/>
    <w:rsid w:val="00AD36C8"/>
    <w:rsid w:val="00AD37C9"/>
    <w:rsid w:val="00AD445C"/>
    <w:rsid w:val="00AD47D3"/>
    <w:rsid w:val="00AD652F"/>
    <w:rsid w:val="00AD7D05"/>
    <w:rsid w:val="00AE01F6"/>
    <w:rsid w:val="00AE16F0"/>
    <w:rsid w:val="00AE2328"/>
    <w:rsid w:val="00AE300C"/>
    <w:rsid w:val="00AE3F10"/>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2D8"/>
    <w:rsid w:val="00AF5D2C"/>
    <w:rsid w:val="00AF5D6E"/>
    <w:rsid w:val="00AF617D"/>
    <w:rsid w:val="00AF6318"/>
    <w:rsid w:val="00B0072E"/>
    <w:rsid w:val="00B03B63"/>
    <w:rsid w:val="00B0513A"/>
    <w:rsid w:val="00B0620B"/>
    <w:rsid w:val="00B0704B"/>
    <w:rsid w:val="00B072A3"/>
    <w:rsid w:val="00B07FCD"/>
    <w:rsid w:val="00B1149C"/>
    <w:rsid w:val="00B11F60"/>
    <w:rsid w:val="00B121EF"/>
    <w:rsid w:val="00B12620"/>
    <w:rsid w:val="00B127AA"/>
    <w:rsid w:val="00B130CB"/>
    <w:rsid w:val="00B14D9C"/>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63F"/>
    <w:rsid w:val="00B32589"/>
    <w:rsid w:val="00B3398B"/>
    <w:rsid w:val="00B33B1E"/>
    <w:rsid w:val="00B3619D"/>
    <w:rsid w:val="00B362D9"/>
    <w:rsid w:val="00B36B99"/>
    <w:rsid w:val="00B36D20"/>
    <w:rsid w:val="00B36F67"/>
    <w:rsid w:val="00B40633"/>
    <w:rsid w:val="00B406D6"/>
    <w:rsid w:val="00B429A6"/>
    <w:rsid w:val="00B44049"/>
    <w:rsid w:val="00B44318"/>
    <w:rsid w:val="00B4444B"/>
    <w:rsid w:val="00B44C4B"/>
    <w:rsid w:val="00B467EA"/>
    <w:rsid w:val="00B46B51"/>
    <w:rsid w:val="00B477CB"/>
    <w:rsid w:val="00B508A7"/>
    <w:rsid w:val="00B52081"/>
    <w:rsid w:val="00B52695"/>
    <w:rsid w:val="00B545AF"/>
    <w:rsid w:val="00B55B09"/>
    <w:rsid w:val="00B56711"/>
    <w:rsid w:val="00B57EF2"/>
    <w:rsid w:val="00B604F3"/>
    <w:rsid w:val="00B6101C"/>
    <w:rsid w:val="00B615ED"/>
    <w:rsid w:val="00B61D87"/>
    <w:rsid w:val="00B63A9D"/>
    <w:rsid w:val="00B6420B"/>
    <w:rsid w:val="00B64888"/>
    <w:rsid w:val="00B652A3"/>
    <w:rsid w:val="00B672E3"/>
    <w:rsid w:val="00B675F9"/>
    <w:rsid w:val="00B70849"/>
    <w:rsid w:val="00B726CC"/>
    <w:rsid w:val="00B72C1C"/>
    <w:rsid w:val="00B73BB7"/>
    <w:rsid w:val="00B7455B"/>
    <w:rsid w:val="00B750E4"/>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7D7"/>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DE5"/>
    <w:rsid w:val="00BE707F"/>
    <w:rsid w:val="00BE7F5D"/>
    <w:rsid w:val="00BF0707"/>
    <w:rsid w:val="00BF164F"/>
    <w:rsid w:val="00BF1AAF"/>
    <w:rsid w:val="00BF204A"/>
    <w:rsid w:val="00BF268B"/>
    <w:rsid w:val="00BF4D03"/>
    <w:rsid w:val="00BF4E85"/>
    <w:rsid w:val="00BF54BD"/>
    <w:rsid w:val="00BF5892"/>
    <w:rsid w:val="00C01804"/>
    <w:rsid w:val="00C026BC"/>
    <w:rsid w:val="00C02AD4"/>
    <w:rsid w:val="00C03869"/>
    <w:rsid w:val="00C064EB"/>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113"/>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155E"/>
    <w:rsid w:val="00C523A3"/>
    <w:rsid w:val="00C5294D"/>
    <w:rsid w:val="00C52F83"/>
    <w:rsid w:val="00C54548"/>
    <w:rsid w:val="00C54C1B"/>
    <w:rsid w:val="00C54DBA"/>
    <w:rsid w:val="00C56E9C"/>
    <w:rsid w:val="00C57643"/>
    <w:rsid w:val="00C57ED3"/>
    <w:rsid w:val="00C61640"/>
    <w:rsid w:val="00C61AA7"/>
    <w:rsid w:val="00C61B8E"/>
    <w:rsid w:val="00C629D0"/>
    <w:rsid w:val="00C6418B"/>
    <w:rsid w:val="00C668DE"/>
    <w:rsid w:val="00C676FD"/>
    <w:rsid w:val="00C679F6"/>
    <w:rsid w:val="00C67CDA"/>
    <w:rsid w:val="00C7044F"/>
    <w:rsid w:val="00C720F8"/>
    <w:rsid w:val="00C7294B"/>
    <w:rsid w:val="00C7492C"/>
    <w:rsid w:val="00C75139"/>
    <w:rsid w:val="00C7525C"/>
    <w:rsid w:val="00C76CF7"/>
    <w:rsid w:val="00C810A8"/>
    <w:rsid w:val="00C83A4C"/>
    <w:rsid w:val="00C8533B"/>
    <w:rsid w:val="00C858BA"/>
    <w:rsid w:val="00C86977"/>
    <w:rsid w:val="00C90C54"/>
    <w:rsid w:val="00C916C8"/>
    <w:rsid w:val="00C9398D"/>
    <w:rsid w:val="00C939EE"/>
    <w:rsid w:val="00C93C6E"/>
    <w:rsid w:val="00C93F93"/>
    <w:rsid w:val="00C9475A"/>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041D"/>
    <w:rsid w:val="00CC2689"/>
    <w:rsid w:val="00CC4CB6"/>
    <w:rsid w:val="00CC4DB0"/>
    <w:rsid w:val="00CC5038"/>
    <w:rsid w:val="00CC5326"/>
    <w:rsid w:val="00CC7426"/>
    <w:rsid w:val="00CC75E0"/>
    <w:rsid w:val="00CC7910"/>
    <w:rsid w:val="00CD0C20"/>
    <w:rsid w:val="00CD297A"/>
    <w:rsid w:val="00CD3DB0"/>
    <w:rsid w:val="00CD4129"/>
    <w:rsid w:val="00CD537F"/>
    <w:rsid w:val="00CD5DBB"/>
    <w:rsid w:val="00CD67E7"/>
    <w:rsid w:val="00CD7388"/>
    <w:rsid w:val="00CE130A"/>
    <w:rsid w:val="00CE23CD"/>
    <w:rsid w:val="00CE247A"/>
    <w:rsid w:val="00CE2A1A"/>
    <w:rsid w:val="00CE2F05"/>
    <w:rsid w:val="00CE3648"/>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0F"/>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21"/>
    <w:rsid w:val="00D11B8E"/>
    <w:rsid w:val="00D11D8D"/>
    <w:rsid w:val="00D12B12"/>
    <w:rsid w:val="00D12DD7"/>
    <w:rsid w:val="00D13A8C"/>
    <w:rsid w:val="00D149E1"/>
    <w:rsid w:val="00D14A44"/>
    <w:rsid w:val="00D15BCC"/>
    <w:rsid w:val="00D1628F"/>
    <w:rsid w:val="00D20399"/>
    <w:rsid w:val="00D21D89"/>
    <w:rsid w:val="00D22522"/>
    <w:rsid w:val="00D22657"/>
    <w:rsid w:val="00D228DF"/>
    <w:rsid w:val="00D23557"/>
    <w:rsid w:val="00D2427F"/>
    <w:rsid w:val="00D24BB7"/>
    <w:rsid w:val="00D2506D"/>
    <w:rsid w:val="00D263AE"/>
    <w:rsid w:val="00D27855"/>
    <w:rsid w:val="00D27E5A"/>
    <w:rsid w:val="00D30D9A"/>
    <w:rsid w:val="00D31021"/>
    <w:rsid w:val="00D329B9"/>
    <w:rsid w:val="00D33106"/>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648"/>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2F79"/>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969"/>
    <w:rsid w:val="00D93012"/>
    <w:rsid w:val="00D94564"/>
    <w:rsid w:val="00D9536E"/>
    <w:rsid w:val="00D954A2"/>
    <w:rsid w:val="00D97426"/>
    <w:rsid w:val="00D97568"/>
    <w:rsid w:val="00DA06B0"/>
    <w:rsid w:val="00DA0C6E"/>
    <w:rsid w:val="00DA29BA"/>
    <w:rsid w:val="00DA3249"/>
    <w:rsid w:val="00DA38CE"/>
    <w:rsid w:val="00DA3BF5"/>
    <w:rsid w:val="00DA4B01"/>
    <w:rsid w:val="00DA5322"/>
    <w:rsid w:val="00DA55AC"/>
    <w:rsid w:val="00DA5600"/>
    <w:rsid w:val="00DA608B"/>
    <w:rsid w:val="00DA6F31"/>
    <w:rsid w:val="00DA7413"/>
    <w:rsid w:val="00DA7C31"/>
    <w:rsid w:val="00DB0066"/>
    <w:rsid w:val="00DB0F9E"/>
    <w:rsid w:val="00DB1307"/>
    <w:rsid w:val="00DB1E1A"/>
    <w:rsid w:val="00DB2AF6"/>
    <w:rsid w:val="00DB3033"/>
    <w:rsid w:val="00DB364F"/>
    <w:rsid w:val="00DB39E7"/>
    <w:rsid w:val="00DB3AAE"/>
    <w:rsid w:val="00DB3B3E"/>
    <w:rsid w:val="00DB71DB"/>
    <w:rsid w:val="00DB71E1"/>
    <w:rsid w:val="00DB7B0F"/>
    <w:rsid w:val="00DB7CB3"/>
    <w:rsid w:val="00DC0D57"/>
    <w:rsid w:val="00DC16F7"/>
    <w:rsid w:val="00DC1851"/>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146"/>
    <w:rsid w:val="00DE7822"/>
    <w:rsid w:val="00DE7BBB"/>
    <w:rsid w:val="00DF081A"/>
    <w:rsid w:val="00DF168F"/>
    <w:rsid w:val="00DF265D"/>
    <w:rsid w:val="00DF2EB0"/>
    <w:rsid w:val="00DF31C1"/>
    <w:rsid w:val="00DF427A"/>
    <w:rsid w:val="00DF45C5"/>
    <w:rsid w:val="00DF5138"/>
    <w:rsid w:val="00DF5A8C"/>
    <w:rsid w:val="00DF69A9"/>
    <w:rsid w:val="00DF71D8"/>
    <w:rsid w:val="00E00CCA"/>
    <w:rsid w:val="00E01623"/>
    <w:rsid w:val="00E01E9F"/>
    <w:rsid w:val="00E03FE3"/>
    <w:rsid w:val="00E0542C"/>
    <w:rsid w:val="00E06951"/>
    <w:rsid w:val="00E10C94"/>
    <w:rsid w:val="00E10EC4"/>
    <w:rsid w:val="00E118D7"/>
    <w:rsid w:val="00E13F46"/>
    <w:rsid w:val="00E15BD4"/>
    <w:rsid w:val="00E15CEB"/>
    <w:rsid w:val="00E16458"/>
    <w:rsid w:val="00E166C5"/>
    <w:rsid w:val="00E16FB6"/>
    <w:rsid w:val="00E17001"/>
    <w:rsid w:val="00E17814"/>
    <w:rsid w:val="00E17CEF"/>
    <w:rsid w:val="00E20FBC"/>
    <w:rsid w:val="00E244CA"/>
    <w:rsid w:val="00E2512D"/>
    <w:rsid w:val="00E2548C"/>
    <w:rsid w:val="00E2662B"/>
    <w:rsid w:val="00E26691"/>
    <w:rsid w:val="00E26736"/>
    <w:rsid w:val="00E268AC"/>
    <w:rsid w:val="00E271DA"/>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4A3"/>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86E"/>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886"/>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08E"/>
    <w:rsid w:val="00E9739F"/>
    <w:rsid w:val="00EA04AE"/>
    <w:rsid w:val="00EA062F"/>
    <w:rsid w:val="00EA17A9"/>
    <w:rsid w:val="00EA2F79"/>
    <w:rsid w:val="00EA311B"/>
    <w:rsid w:val="00EA36CA"/>
    <w:rsid w:val="00EA38CA"/>
    <w:rsid w:val="00EA3D9C"/>
    <w:rsid w:val="00EA43C0"/>
    <w:rsid w:val="00EA4CB0"/>
    <w:rsid w:val="00EA566F"/>
    <w:rsid w:val="00EA7654"/>
    <w:rsid w:val="00EB2857"/>
    <w:rsid w:val="00EB30B7"/>
    <w:rsid w:val="00EB3F8A"/>
    <w:rsid w:val="00EB416F"/>
    <w:rsid w:val="00EB43B9"/>
    <w:rsid w:val="00EB4482"/>
    <w:rsid w:val="00EB4C01"/>
    <w:rsid w:val="00EB4D59"/>
    <w:rsid w:val="00EB4E58"/>
    <w:rsid w:val="00EB573D"/>
    <w:rsid w:val="00EB583A"/>
    <w:rsid w:val="00EB65CB"/>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1877"/>
    <w:rsid w:val="00ED247F"/>
    <w:rsid w:val="00ED27E4"/>
    <w:rsid w:val="00ED2F27"/>
    <w:rsid w:val="00ED3370"/>
    <w:rsid w:val="00ED48E7"/>
    <w:rsid w:val="00ED4D96"/>
    <w:rsid w:val="00ED5A40"/>
    <w:rsid w:val="00ED5F21"/>
    <w:rsid w:val="00ED602C"/>
    <w:rsid w:val="00ED62B5"/>
    <w:rsid w:val="00ED6DDB"/>
    <w:rsid w:val="00ED7985"/>
    <w:rsid w:val="00ED7E28"/>
    <w:rsid w:val="00EE2465"/>
    <w:rsid w:val="00EE270D"/>
    <w:rsid w:val="00EE6989"/>
    <w:rsid w:val="00EE6C77"/>
    <w:rsid w:val="00EE7604"/>
    <w:rsid w:val="00EE7912"/>
    <w:rsid w:val="00EE7915"/>
    <w:rsid w:val="00EF0465"/>
    <w:rsid w:val="00EF077A"/>
    <w:rsid w:val="00EF093D"/>
    <w:rsid w:val="00EF13C5"/>
    <w:rsid w:val="00EF16D8"/>
    <w:rsid w:val="00EF1A3D"/>
    <w:rsid w:val="00EF28EF"/>
    <w:rsid w:val="00EF2D93"/>
    <w:rsid w:val="00EF2EB9"/>
    <w:rsid w:val="00EF40E7"/>
    <w:rsid w:val="00EF4529"/>
    <w:rsid w:val="00EF5B34"/>
    <w:rsid w:val="00EF657C"/>
    <w:rsid w:val="00F004D1"/>
    <w:rsid w:val="00F00C0D"/>
    <w:rsid w:val="00F0128B"/>
    <w:rsid w:val="00F02663"/>
    <w:rsid w:val="00F02A73"/>
    <w:rsid w:val="00F03106"/>
    <w:rsid w:val="00F03369"/>
    <w:rsid w:val="00F04E62"/>
    <w:rsid w:val="00F050AA"/>
    <w:rsid w:val="00F05E6D"/>
    <w:rsid w:val="00F11800"/>
    <w:rsid w:val="00F11B61"/>
    <w:rsid w:val="00F135D6"/>
    <w:rsid w:val="00F13922"/>
    <w:rsid w:val="00F13DBC"/>
    <w:rsid w:val="00F15FCF"/>
    <w:rsid w:val="00F16613"/>
    <w:rsid w:val="00F20706"/>
    <w:rsid w:val="00F20A12"/>
    <w:rsid w:val="00F21496"/>
    <w:rsid w:val="00F21E77"/>
    <w:rsid w:val="00F24D27"/>
    <w:rsid w:val="00F2520C"/>
    <w:rsid w:val="00F25BCB"/>
    <w:rsid w:val="00F25ECC"/>
    <w:rsid w:val="00F264C1"/>
    <w:rsid w:val="00F26D7F"/>
    <w:rsid w:val="00F27305"/>
    <w:rsid w:val="00F27A7C"/>
    <w:rsid w:val="00F30790"/>
    <w:rsid w:val="00F31570"/>
    <w:rsid w:val="00F3174D"/>
    <w:rsid w:val="00F33355"/>
    <w:rsid w:val="00F34363"/>
    <w:rsid w:val="00F34CE9"/>
    <w:rsid w:val="00F354B9"/>
    <w:rsid w:val="00F3552D"/>
    <w:rsid w:val="00F35705"/>
    <w:rsid w:val="00F35B93"/>
    <w:rsid w:val="00F3684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6FA"/>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0EE3"/>
    <w:rsid w:val="00F80EF8"/>
    <w:rsid w:val="00F818A5"/>
    <w:rsid w:val="00F8197C"/>
    <w:rsid w:val="00F8465D"/>
    <w:rsid w:val="00F848B3"/>
    <w:rsid w:val="00F85755"/>
    <w:rsid w:val="00F86A0B"/>
    <w:rsid w:val="00F87431"/>
    <w:rsid w:val="00F8765C"/>
    <w:rsid w:val="00F87A53"/>
    <w:rsid w:val="00F9031B"/>
    <w:rsid w:val="00F907C8"/>
    <w:rsid w:val="00F91DA4"/>
    <w:rsid w:val="00F92728"/>
    <w:rsid w:val="00F937AF"/>
    <w:rsid w:val="00F94494"/>
    <w:rsid w:val="00F94700"/>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A51"/>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5AD"/>
    <w:rsid w:val="00FD66A9"/>
    <w:rsid w:val="00FD6712"/>
    <w:rsid w:val="00FD6853"/>
    <w:rsid w:val="00FD6E54"/>
    <w:rsid w:val="00FE01B5"/>
    <w:rsid w:val="00FE03BB"/>
    <w:rsid w:val="00FE0BF0"/>
    <w:rsid w:val="00FE15A2"/>
    <w:rsid w:val="00FE3B37"/>
    <w:rsid w:val="00FE4B40"/>
    <w:rsid w:val="00FE5DC4"/>
    <w:rsid w:val="00FE6E94"/>
    <w:rsid w:val="00FE6F29"/>
    <w:rsid w:val="00FE6F66"/>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2387</Words>
  <Characters>12769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CWS/5/-- (Arabic)</vt:lpstr>
    </vt:vector>
  </TitlesOfParts>
  <Company>World Intellectual Property Organization</Company>
  <LinksUpToDate>false</LinksUpToDate>
  <CharactersWithSpaces>15126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CWS/5/8 Rev.1 (in Arabic)</dc:title>
  <dc:subject>New WIPO Standard for the Exchange of Patent Legal Status Data by Industrial Property offices</dc:subject>
  <dc:creator>WIPO</dc:creator>
  <cp:keywords>CWS</cp:keywords>
  <cp:lastModifiedBy>ZAGO Bétina</cp:lastModifiedBy>
  <cp:revision>6</cp:revision>
  <cp:lastPrinted>2017-05-09T08:40:00Z</cp:lastPrinted>
  <dcterms:created xsi:type="dcterms:W3CDTF">2017-05-15T13:00:00Z</dcterms:created>
  <dcterms:modified xsi:type="dcterms:W3CDTF">2017-05-15T13:06:00Z</dcterms:modified>
</cp:coreProperties>
</file>