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3FC1E4DB" wp14:editId="0C757E5A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03B50" w:rsidRDefault="00F03B50" w:rsidP="00DC3276">
            <w:pPr>
              <w:pStyle w:val="DocumentCodeAR"/>
              <w:bidi/>
              <w:rPr>
                <w:rtl/>
                <w:lang w:val="fr-CH"/>
              </w:rPr>
            </w:pPr>
            <w:r w:rsidRPr="00F03B50">
              <w:t>CWS/5/7 REV.1 ADD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DC327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C3276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F03B50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F03B50">
              <w:rPr>
                <w:rFonts w:hint="cs"/>
                <w:rtl/>
              </w:rPr>
              <w:t>9</w:t>
            </w:r>
            <w:r w:rsidR="00DC3276">
              <w:rPr>
                <w:rFonts w:hint="cs"/>
                <w:rtl/>
              </w:rPr>
              <w:t xml:space="preserve"> </w:t>
            </w:r>
            <w:r w:rsidR="00F03B50">
              <w:rPr>
                <w:rFonts w:hint="cs"/>
                <w:rtl/>
              </w:rPr>
              <w:t>مايو</w:t>
            </w:r>
            <w:r w:rsidR="00DC3276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DC3276" w:rsidP="00C2761A">
      <w:pPr>
        <w:pStyle w:val="DocumentTitleAR"/>
        <w:bidi/>
        <w:rPr>
          <w:rtl/>
        </w:rPr>
      </w:pPr>
      <w:r w:rsidRPr="00DC3276">
        <w:rPr>
          <w:rtl/>
        </w:rPr>
        <w:t xml:space="preserve">توصيات بشأن أحكام الانتقال من معيار الويبو </w:t>
      </w:r>
      <w:r w:rsidRPr="00DC3276">
        <w:t>ST.25</w:t>
      </w:r>
      <w:r w:rsidRPr="00DC3276">
        <w:rPr>
          <w:rtl/>
        </w:rPr>
        <w:t xml:space="preserve"> إلى معيار الويبو </w:t>
      </w:r>
      <w:r w:rsidRPr="00DC3276">
        <w:t>ST.26</w:t>
      </w:r>
    </w:p>
    <w:p w:rsidR="00C2761A" w:rsidRPr="00D61541" w:rsidRDefault="00DC3276" w:rsidP="00C2761A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C3276" w:rsidRDefault="008D58CF" w:rsidP="009D576A">
      <w:pPr>
        <w:pStyle w:val="NumberedParaAR"/>
      </w:pPr>
      <w:r>
        <w:rPr>
          <w:rFonts w:hint="cs"/>
          <w:rtl/>
        </w:rPr>
        <w:t>تضمّ</w:t>
      </w:r>
      <w:r w:rsidR="00F03B50">
        <w:rPr>
          <w:rFonts w:hint="cs"/>
          <w:rtl/>
        </w:rPr>
        <w:t xml:space="preserve"> الوثيقة </w:t>
      </w:r>
      <w:r w:rsidR="00F03B50" w:rsidRPr="00F03B50">
        <w:t>CWS/5/7 Rev. 1</w:t>
      </w:r>
      <w:r w:rsidR="00F03B50">
        <w:rPr>
          <w:rFonts w:hint="cs"/>
          <w:rtl/>
        </w:rPr>
        <w:t xml:space="preserve"> </w:t>
      </w:r>
      <w:r w:rsidR="00F03B50" w:rsidRPr="00F03B50">
        <w:rPr>
          <w:rtl/>
        </w:rPr>
        <w:t xml:space="preserve">توصيات بشأن أحكام الانتقال من معيار الويبو </w:t>
      </w:r>
      <w:r w:rsidR="00F03B50" w:rsidRPr="00F03B50">
        <w:t>ST.25</w:t>
      </w:r>
      <w:r w:rsidR="00F03B50" w:rsidRPr="00F03B50">
        <w:rPr>
          <w:rtl/>
        </w:rPr>
        <w:t xml:space="preserve"> إلى معيار الويبو</w:t>
      </w:r>
      <w:r w:rsidR="009D576A">
        <w:rPr>
          <w:rFonts w:hint="cs"/>
          <w:rtl/>
        </w:rPr>
        <w:t> </w:t>
      </w:r>
      <w:r w:rsidR="00F03B50" w:rsidRPr="00F03B50">
        <w:t>ST.26</w:t>
      </w:r>
      <w:r w:rsidR="00F03B50">
        <w:rPr>
          <w:rFonts w:hint="cs"/>
          <w:rtl/>
        </w:rPr>
        <w:t xml:space="preserve">. وفيما يخص </w:t>
      </w:r>
      <w:r w:rsidR="00F03B50" w:rsidRPr="00F03B50">
        <w:rPr>
          <w:rtl/>
        </w:rPr>
        <w:t>إمكانية تحديد تاريخ الانتقال بالاعتماد على تاريخ الإيداع الدولي للطلبات الدولية أو على تاريخ الأولوية أو أن يترك الخيار للمودع</w:t>
      </w:r>
      <w:r w:rsidR="00F03B50">
        <w:rPr>
          <w:rFonts w:hint="cs"/>
          <w:rtl/>
        </w:rPr>
        <w:t xml:space="preserve">، </w:t>
      </w:r>
      <w:r w:rsidR="00F03B50" w:rsidRPr="00F03B50">
        <w:rPr>
          <w:rtl/>
        </w:rPr>
        <w:t>قرّرت فرقة العمل المعنية بقوائم التسلسل</w:t>
      </w:r>
      <w:r w:rsidR="00F03B50">
        <w:rPr>
          <w:rFonts w:hint="cs"/>
          <w:rtl/>
        </w:rPr>
        <w:t>،</w:t>
      </w:r>
      <w:r w:rsidR="00F03B50" w:rsidRPr="00F03B50">
        <w:rPr>
          <w:rtl/>
        </w:rPr>
        <w:t xml:space="preserve"> مؤقتا</w:t>
      </w:r>
      <w:r w:rsidR="00F03B50">
        <w:rPr>
          <w:rFonts w:hint="cs"/>
          <w:rtl/>
        </w:rPr>
        <w:t>ً،</w:t>
      </w:r>
      <w:r w:rsidR="00F03B50" w:rsidRPr="00F03B50">
        <w:rPr>
          <w:rtl/>
        </w:rPr>
        <w:t xml:space="preserve"> أن تاريخ الإيداع الدولي سيكون التاريخ الأنسب، في انتظار مزيد من التحليل للنظر في احتمال إضافة مادة أو حذفها جراء تحويل قائمة تسلسل من المعيار </w:t>
      </w:r>
      <w:r w:rsidR="00F03B50" w:rsidRPr="00F03B50">
        <w:t>ST.25</w:t>
      </w:r>
      <w:r w:rsidR="00F03B50" w:rsidRPr="00F03B50">
        <w:rPr>
          <w:rtl/>
        </w:rPr>
        <w:t xml:space="preserve">، وشرط توافر أداة للإصدار والتثبيت يمكن الاستعانة بها في تحويل قوائم التسلسل من المعيار </w:t>
      </w:r>
      <w:r w:rsidR="00F03B50" w:rsidRPr="00F03B50">
        <w:t>ST.25</w:t>
      </w:r>
      <w:r w:rsidR="00F03B50" w:rsidRPr="00F03B50">
        <w:rPr>
          <w:rtl/>
        </w:rPr>
        <w:t xml:space="preserve"> إلى </w:t>
      </w:r>
      <w:r w:rsidR="00F03B50" w:rsidRPr="00F03B50">
        <w:t>ST.26</w:t>
      </w:r>
      <w:r w:rsidR="00F03B50" w:rsidRPr="00F03B50">
        <w:rPr>
          <w:rtl/>
        </w:rPr>
        <w:t xml:space="preserve"> دون إضافة مادة أو حذفها</w:t>
      </w:r>
      <w:r w:rsidR="00F03B50">
        <w:rPr>
          <w:rFonts w:hint="cs"/>
          <w:rtl/>
        </w:rPr>
        <w:t xml:space="preserve"> (انظر الفقرتين 5 و6 من مرفق الوثيقة </w:t>
      </w:r>
      <w:r w:rsidR="00F03B50" w:rsidRPr="00F03B50">
        <w:t>CWS/5/7 Rev.1</w:t>
      </w:r>
      <w:r w:rsidR="00F03B50">
        <w:rPr>
          <w:rFonts w:hint="cs"/>
          <w:rtl/>
        </w:rPr>
        <w:t>).</w:t>
      </w:r>
    </w:p>
    <w:p w:rsidR="00973B37" w:rsidRDefault="00F03B50" w:rsidP="00EA3D19">
      <w:pPr>
        <w:pStyle w:val="NumberedParaAR"/>
      </w:pPr>
      <w:r>
        <w:rPr>
          <w:rFonts w:hint="cs"/>
          <w:rtl/>
          <w:lang w:bidi="ar-EG"/>
        </w:rPr>
        <w:t>و</w:t>
      </w:r>
      <w:r w:rsidR="008A349E">
        <w:rPr>
          <w:rFonts w:hint="cs"/>
          <w:rtl/>
          <w:lang w:bidi="ar-EG"/>
        </w:rPr>
        <w:t>أجرت فرقة العمل الم</w:t>
      </w:r>
      <w:r>
        <w:rPr>
          <w:rFonts w:hint="cs"/>
          <w:rtl/>
          <w:lang w:bidi="ar-EG"/>
        </w:rPr>
        <w:t xml:space="preserve">عنية بقوائم التسلسل مناقشات </w:t>
      </w:r>
      <w:r w:rsidRPr="00F03B50">
        <w:rPr>
          <w:rtl/>
          <w:lang w:bidi="ar-EG"/>
        </w:rPr>
        <w:t>بشأن المسألة المعل</w:t>
      </w:r>
      <w:r>
        <w:rPr>
          <w:rFonts w:hint="cs"/>
          <w:rtl/>
          <w:lang w:bidi="ar-EG"/>
        </w:rPr>
        <w:t>ّ</w:t>
      </w:r>
      <w:r>
        <w:rPr>
          <w:rtl/>
          <w:lang w:bidi="ar-EG"/>
        </w:rPr>
        <w:t>قة المتعلقة ب</w:t>
      </w:r>
      <w:r>
        <w:rPr>
          <w:rtl/>
        </w:rPr>
        <w:t>إضافة مادة أو حذفه</w:t>
      </w:r>
      <w:r>
        <w:rPr>
          <w:rFonts w:hint="cs"/>
          <w:rtl/>
        </w:rPr>
        <w:t>ا</w:t>
      </w:r>
      <w:r w:rsidR="00EA3D19">
        <w:rPr>
          <w:rtl/>
          <w:lang w:bidi="ar-EG"/>
        </w:rPr>
        <w:t xml:space="preserve">، وقدمت </w:t>
      </w:r>
      <w:r w:rsidR="006558F3">
        <w:rPr>
          <w:rFonts w:hint="cs"/>
          <w:rtl/>
          <w:lang w:bidi="ar-EG"/>
        </w:rPr>
        <w:t xml:space="preserve">أخيراً </w:t>
      </w:r>
      <w:r w:rsidRPr="00F03B50">
        <w:rPr>
          <w:rtl/>
          <w:lang w:bidi="ar-EG"/>
        </w:rPr>
        <w:t>نتيجة مناقشتها على الن</w:t>
      </w:r>
      <w:r w:rsidR="00EA3D19">
        <w:rPr>
          <w:rtl/>
          <w:lang w:bidi="ar-EG"/>
        </w:rPr>
        <w:t>حو الوارد في مرفق هذه الوثيقة ل</w:t>
      </w:r>
      <w:r w:rsidR="00EA3D19">
        <w:rPr>
          <w:rFonts w:hint="cs"/>
          <w:rtl/>
          <w:lang w:bidi="ar-EG"/>
        </w:rPr>
        <w:t>ت</w:t>
      </w:r>
      <w:r w:rsidR="00EA3D19">
        <w:rPr>
          <w:rtl/>
          <w:lang w:bidi="ar-EG"/>
        </w:rPr>
        <w:t>نظر فيها</w:t>
      </w:r>
      <w:r w:rsidRPr="00F03B50">
        <w:rPr>
          <w:rtl/>
          <w:lang w:bidi="ar-EG"/>
        </w:rPr>
        <w:t xml:space="preserve"> الدورة الخا</w:t>
      </w:r>
      <w:r w:rsidR="00EA3D19">
        <w:rPr>
          <w:rtl/>
          <w:lang w:bidi="ar-EG"/>
        </w:rPr>
        <w:t>مسة للجنة</w:t>
      </w:r>
      <w:r w:rsidRPr="00F03B50">
        <w:rPr>
          <w:rtl/>
          <w:lang w:bidi="ar-EG"/>
        </w:rPr>
        <w:t>. و</w:t>
      </w:r>
      <w:r w:rsidR="00EA3D19">
        <w:rPr>
          <w:rFonts w:hint="cs"/>
          <w:rtl/>
          <w:lang w:bidi="ar-EG"/>
        </w:rPr>
        <w:t>انطلاقا من حصيلة ا</w:t>
      </w:r>
      <w:r w:rsidRPr="00F03B50">
        <w:rPr>
          <w:rtl/>
          <w:lang w:bidi="ar-EG"/>
        </w:rPr>
        <w:t xml:space="preserve">لمناقشات التي أجرتها، </w:t>
      </w:r>
      <w:r w:rsidR="00EA3D19">
        <w:rPr>
          <w:rFonts w:hint="cs"/>
          <w:rtl/>
          <w:lang w:bidi="ar-EG"/>
        </w:rPr>
        <w:t>و</w:t>
      </w:r>
      <w:r w:rsidR="00EA3D19">
        <w:rPr>
          <w:rtl/>
          <w:lang w:bidi="ar-EG"/>
        </w:rPr>
        <w:t>افقت فرقة العمل على أن</w:t>
      </w:r>
      <w:r w:rsidR="00EA3D19">
        <w:rPr>
          <w:rFonts w:hint="cs"/>
          <w:rtl/>
          <w:lang w:bidi="ar-EG"/>
        </w:rPr>
        <w:t xml:space="preserve">ّ </w:t>
      </w:r>
      <w:r w:rsidR="00EA3D19">
        <w:rPr>
          <w:rtl/>
        </w:rPr>
        <w:t>تاريخ الإيداع الدولي</w:t>
      </w:r>
      <w:r w:rsidRPr="00F03B50">
        <w:rPr>
          <w:rtl/>
          <w:lang w:bidi="ar-EG"/>
        </w:rPr>
        <w:t xml:space="preserve"> هو </w:t>
      </w:r>
      <w:r w:rsidR="00EA3D19">
        <w:rPr>
          <w:rtl/>
          <w:lang w:bidi="ar-EG"/>
        </w:rPr>
        <w:t>التاريخ المرجعي الأنسب ل</w:t>
      </w:r>
      <w:r w:rsidR="00EA3D19">
        <w:rPr>
          <w:rFonts w:hint="cs"/>
          <w:rtl/>
          <w:lang w:bidi="ar-EG"/>
        </w:rPr>
        <w:t>ل</w:t>
      </w:r>
      <w:r w:rsidR="00EA3D19">
        <w:rPr>
          <w:rtl/>
          <w:lang w:bidi="ar-EG"/>
        </w:rPr>
        <w:t>انتقال. و</w:t>
      </w:r>
      <w:r w:rsidRPr="00F03B50">
        <w:rPr>
          <w:rtl/>
          <w:lang w:bidi="ar-EG"/>
        </w:rPr>
        <w:t xml:space="preserve">تجدر الإشارة إلى أن المكتب الدولي يعتزم إدراج وظيفة في </w:t>
      </w:r>
      <w:r w:rsidR="00EA3D19">
        <w:rPr>
          <w:rtl/>
          <w:lang w:bidi="ar-EG"/>
        </w:rPr>
        <w:t xml:space="preserve">أداة </w:t>
      </w:r>
      <w:r w:rsidR="00EA3D19">
        <w:rPr>
          <w:rFonts w:hint="cs"/>
          <w:rtl/>
          <w:lang w:bidi="ar-EG"/>
        </w:rPr>
        <w:t>ا</w:t>
      </w:r>
      <w:r w:rsidR="00EA3D19" w:rsidRPr="00EA3D19">
        <w:rPr>
          <w:rtl/>
          <w:lang w:bidi="ar-EG"/>
        </w:rPr>
        <w:t>لإصدار والتثبيت</w:t>
      </w:r>
      <w:r w:rsidR="00EA3D19">
        <w:rPr>
          <w:rtl/>
          <w:lang w:bidi="ar-EG"/>
        </w:rPr>
        <w:t xml:space="preserve"> </w:t>
      </w:r>
      <w:r w:rsidR="00EA3D19">
        <w:rPr>
          <w:rFonts w:hint="cs"/>
          <w:rtl/>
          <w:lang w:bidi="ar-EG"/>
        </w:rPr>
        <w:t>ل</w:t>
      </w:r>
      <w:r w:rsidRPr="00F03B50">
        <w:rPr>
          <w:rtl/>
          <w:lang w:bidi="ar-EG"/>
        </w:rPr>
        <w:t xml:space="preserve">لمعيار </w:t>
      </w:r>
      <w:r w:rsidRPr="00F03B50">
        <w:rPr>
          <w:lang w:bidi="ar-EG"/>
        </w:rPr>
        <w:t>ST.26</w:t>
      </w:r>
      <w:r w:rsidRPr="00F03B50">
        <w:rPr>
          <w:rtl/>
          <w:lang w:bidi="ar-EG"/>
        </w:rPr>
        <w:t xml:space="preserve"> </w:t>
      </w:r>
      <w:r w:rsidR="00EA3D19">
        <w:rPr>
          <w:rFonts w:hint="cs"/>
          <w:rtl/>
          <w:lang w:bidi="ar-EG"/>
        </w:rPr>
        <w:t>ت</w:t>
      </w:r>
      <w:r w:rsidR="00EA3D19">
        <w:rPr>
          <w:rtl/>
          <w:lang w:bidi="ar-EG"/>
        </w:rPr>
        <w:t>ساعد</w:t>
      </w:r>
      <w:r w:rsidRPr="00F03B50">
        <w:rPr>
          <w:rtl/>
          <w:lang w:bidi="ar-EG"/>
        </w:rPr>
        <w:t xml:space="preserve"> المودعين على تحويل بيانات قائمة </w:t>
      </w:r>
      <w:r w:rsidR="00EA3D19" w:rsidRPr="00F03B50">
        <w:rPr>
          <w:rtl/>
        </w:rPr>
        <w:t xml:space="preserve">التسلسل من المعيار </w:t>
      </w:r>
      <w:r w:rsidR="00EA3D19" w:rsidRPr="00F03B50">
        <w:t>ST.25</w:t>
      </w:r>
      <w:r w:rsidR="00EA3D19" w:rsidRPr="00F03B50">
        <w:rPr>
          <w:rtl/>
        </w:rPr>
        <w:t xml:space="preserve"> إلى </w:t>
      </w:r>
      <w:r w:rsidR="00EA3D19" w:rsidRPr="00F03B50">
        <w:t>ST.26</w:t>
      </w:r>
      <w:r w:rsidR="00EA3D19" w:rsidRPr="00F03B50">
        <w:rPr>
          <w:rtl/>
        </w:rPr>
        <w:t xml:space="preserve"> دون إضافة مادة أو حذفها</w:t>
      </w:r>
      <w:r w:rsidR="00EA3D19" w:rsidRPr="00F03B50">
        <w:rPr>
          <w:lang w:bidi="ar-EG"/>
        </w:rPr>
        <w:t xml:space="preserve"> </w:t>
      </w:r>
      <w:r w:rsidRPr="00F03B50">
        <w:rPr>
          <w:rtl/>
          <w:lang w:bidi="ar-EG"/>
        </w:rPr>
        <w:t>على أساس الاستنتاجات والتوصيات الواردة في المرفق.</w:t>
      </w:r>
    </w:p>
    <w:p w:rsidR="00EA3D19" w:rsidRDefault="00EA3D19" w:rsidP="005173A4">
      <w:pPr>
        <w:pStyle w:val="DecisionParaAR"/>
      </w:pPr>
      <w:r w:rsidRPr="00EA3D19">
        <w:rPr>
          <w:rtl/>
        </w:rPr>
        <w:t>إن لجنة المعايير مدعوة إلى</w:t>
      </w:r>
      <w:r>
        <w:rPr>
          <w:rFonts w:hint="cs"/>
          <w:rtl/>
        </w:rPr>
        <w:t xml:space="preserve"> </w:t>
      </w:r>
      <w:r w:rsidRPr="00EA3D19">
        <w:rPr>
          <w:rtl/>
        </w:rPr>
        <w:t>الإحاطة علما بمضمون هذه الوثيقة</w:t>
      </w:r>
      <w:r>
        <w:rPr>
          <w:rFonts w:hint="cs"/>
          <w:rtl/>
        </w:rPr>
        <w:t xml:space="preserve"> ومرفقها </w:t>
      </w:r>
      <w:r w:rsidRPr="00EA3D19">
        <w:rPr>
          <w:rtl/>
        </w:rPr>
        <w:t xml:space="preserve">والنظر في </w:t>
      </w:r>
      <w:r w:rsidR="005173A4">
        <w:rPr>
          <w:rFonts w:hint="cs"/>
          <w:rtl/>
        </w:rPr>
        <w:t xml:space="preserve">اتفاق فرقة العمل </w:t>
      </w:r>
      <w:r w:rsidR="005173A4" w:rsidRPr="005173A4">
        <w:rPr>
          <w:rtl/>
        </w:rPr>
        <w:t xml:space="preserve">لاتخاذ قرار بشأن التاريخ المرجعي للانتقال من معيار الويبو </w:t>
      </w:r>
      <w:r w:rsidR="005173A4" w:rsidRPr="005173A4">
        <w:t>ST.25</w:t>
      </w:r>
      <w:r w:rsidR="005173A4" w:rsidRPr="005173A4">
        <w:rPr>
          <w:rtl/>
        </w:rPr>
        <w:t xml:space="preserve"> إلى </w:t>
      </w:r>
      <w:r w:rsidR="005173A4" w:rsidRPr="005173A4">
        <w:t>ST.26</w:t>
      </w:r>
      <w:r w:rsidR="005173A4" w:rsidRPr="005173A4">
        <w:rPr>
          <w:rtl/>
        </w:rPr>
        <w:t>.</w:t>
      </w:r>
      <w:bookmarkStart w:id="2" w:name="_GoBack"/>
      <w:bookmarkEnd w:id="2"/>
    </w:p>
    <w:p w:rsidR="005173A4" w:rsidRDefault="005173A4" w:rsidP="005173A4">
      <w:pPr>
        <w:pStyle w:val="EndofDocumentAR"/>
      </w:pPr>
      <w:r>
        <w:rPr>
          <w:rFonts w:hint="cs"/>
          <w:rtl/>
        </w:rPr>
        <w:lastRenderedPageBreak/>
        <w:t>[يلي ذلك المرفق]</w:t>
      </w:r>
    </w:p>
    <w:sectPr w:rsidR="005173A4" w:rsidSect="00F46DB7">
      <w:headerReference w:type="default" r:id="rId9"/>
      <w:pgSz w:w="11907" w:h="16840" w:code="9"/>
      <w:pgMar w:top="567" w:right="1418" w:bottom="993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65" w:rsidRDefault="00E44065">
      <w:r>
        <w:separator/>
      </w:r>
    </w:p>
  </w:endnote>
  <w:endnote w:type="continuationSeparator" w:id="0">
    <w:p w:rsidR="00E44065" w:rsidRDefault="00E4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65" w:rsidRDefault="00E4406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44065" w:rsidRDefault="00E4406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2761A" w:rsidP="008A349E">
    <w:r>
      <w:t>CWS</w:t>
    </w:r>
    <w:r w:rsidR="00065ED1">
      <w:t>/</w:t>
    </w:r>
    <w:r>
      <w:t>5</w:t>
    </w:r>
    <w:r w:rsidR="002F77FC">
      <w:t>/</w:t>
    </w:r>
    <w:r w:rsidR="008A349E">
      <w:t>7</w:t>
    </w:r>
  </w:p>
  <w:p w:rsidR="002F77FC" w:rsidRDefault="00F27A7C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46DB7">
      <w:rPr>
        <w:noProof/>
      </w:rPr>
      <w:t>2</w:t>
    </w:r>
    <w:r>
      <w:rPr>
        <w:noProof/>
      </w:rPr>
      <w:fldChar w:fldCharType="end"/>
    </w:r>
  </w:p>
  <w:p w:rsidR="005677B7" w:rsidRDefault="005677B7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7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004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04F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28A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5F3C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4E66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3A4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4B01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58F3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5B90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349E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8CF"/>
    <w:rsid w:val="008D5E47"/>
    <w:rsid w:val="008D7099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712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A63"/>
    <w:rsid w:val="00972BEF"/>
    <w:rsid w:val="00973B37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76A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9D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4C39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0A57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61A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074F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276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065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19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6CC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3B50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6DB7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A3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A3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1</TotalTime>
  <Pages>1</Pages>
  <Words>266</Words>
  <Characters>1343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REV. 1 ADD. (Arabic)</vt:lpstr>
    </vt:vector>
  </TitlesOfParts>
  <Company>World Intellectual Property Organization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ADD (in Arabic)</dc:title>
  <dc:subject>Recommendations for the Transition Provision from WIPO Standard ST.25 to ST.26</dc:subject>
  <dc:creator>WIPO</dc:creator>
  <cp:keywords>CWS</cp:keywords>
  <cp:lastModifiedBy>ZAGO Bétina</cp:lastModifiedBy>
  <cp:revision>4</cp:revision>
  <cp:lastPrinted>2017-04-19T16:27:00Z</cp:lastPrinted>
  <dcterms:created xsi:type="dcterms:W3CDTF">2017-05-16T07:41:00Z</dcterms:created>
  <dcterms:modified xsi:type="dcterms:W3CDTF">2017-05-16T07:42:00Z</dcterms:modified>
</cp:coreProperties>
</file>