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3FC1E4DB" wp14:editId="0C757E5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D2741F" w:rsidP="00DC3276">
            <w:pPr>
              <w:pStyle w:val="DocumentCodeAR"/>
              <w:bidi/>
              <w:rPr>
                <w:rtl/>
              </w:rPr>
            </w:pPr>
            <w:r w:rsidRPr="004C079B">
              <w:rPr>
                <w:caps/>
                <w:sz w:val="15"/>
              </w:rPr>
              <w:t>CWS/</w:t>
            </w:r>
            <w:r>
              <w:rPr>
                <w:caps/>
                <w:sz w:val="15"/>
              </w:rPr>
              <w:t>5</w:t>
            </w:r>
            <w:r w:rsidRPr="004C079B">
              <w:rPr>
                <w:caps/>
                <w:sz w:val="15"/>
              </w:rPr>
              <w:t>/</w:t>
            </w:r>
            <w:r>
              <w:rPr>
                <w:caps/>
                <w:sz w:val="15"/>
              </w:rPr>
              <w:t>7 Rev.1</w:t>
            </w:r>
          </w:p>
        </w:tc>
      </w:tr>
      <w:tr w:rsidR="00F468A2" w:rsidRPr="00F468A2" w:rsidTr="00BF164F">
        <w:tc>
          <w:tcPr>
            <w:tcW w:w="9571" w:type="dxa"/>
            <w:gridSpan w:val="3"/>
          </w:tcPr>
          <w:p w:rsidR="001667B6" w:rsidRPr="00F468A2" w:rsidRDefault="00F27A7C" w:rsidP="00DC3276">
            <w:pPr>
              <w:pStyle w:val="DocumentLanguageAR"/>
              <w:bidi/>
              <w:rPr>
                <w:rtl/>
              </w:rPr>
            </w:pPr>
            <w:r w:rsidRPr="00B6101C">
              <w:rPr>
                <w:rFonts w:hint="cs"/>
                <w:rtl/>
              </w:rPr>
              <w:t xml:space="preserve">الأصل: </w:t>
            </w:r>
            <w:r w:rsidR="00DC3276">
              <w:rPr>
                <w:rFonts w:hint="cs"/>
                <w:rtl/>
              </w:rPr>
              <w:t>بالإنكليزية</w:t>
            </w:r>
          </w:p>
        </w:tc>
      </w:tr>
      <w:tr w:rsidR="001667B6" w:rsidRPr="00F468A2" w:rsidTr="00BF164F">
        <w:tc>
          <w:tcPr>
            <w:tcW w:w="9571" w:type="dxa"/>
            <w:gridSpan w:val="3"/>
          </w:tcPr>
          <w:p w:rsidR="001667B6" w:rsidRPr="00F468A2" w:rsidRDefault="00B6101C" w:rsidP="005A4B01">
            <w:pPr>
              <w:pStyle w:val="DocumentDateAR"/>
              <w:bidi/>
              <w:rPr>
                <w:rtl/>
              </w:rPr>
            </w:pPr>
            <w:r w:rsidRPr="00F468A2">
              <w:rPr>
                <w:rFonts w:hint="cs"/>
                <w:rtl/>
              </w:rPr>
              <w:t xml:space="preserve">التاريخ: </w:t>
            </w:r>
            <w:r w:rsidR="005A4B01">
              <w:rPr>
                <w:rFonts w:hint="cs"/>
                <w:rtl/>
              </w:rPr>
              <w:t>19</w:t>
            </w:r>
            <w:r w:rsidR="00DC3276">
              <w:rPr>
                <w:rFonts w:hint="cs"/>
                <w:rtl/>
              </w:rPr>
              <w:t xml:space="preserve"> أبريل </w:t>
            </w:r>
            <w:r w:rsidR="008D5779" w:rsidRPr="00F468A2">
              <w:rPr>
                <w:rFonts w:hint="cs"/>
                <w:rtl/>
              </w:rPr>
              <w:t>201</w:t>
            </w:r>
            <w:r w:rsidR="006E3DBD" w:rsidRPr="00F468A2">
              <w:rPr>
                <w:rFonts w:hint="cs"/>
                <w:rtl/>
              </w:rPr>
              <w:t>7</w:t>
            </w:r>
          </w:p>
        </w:tc>
      </w:tr>
    </w:tbl>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7828FF" w:rsidRDefault="00C2761A" w:rsidP="00C2761A">
      <w:pPr>
        <w:pStyle w:val="MeetingTitleAR"/>
        <w:bidi/>
        <w:ind w:right="550"/>
        <w:rPr>
          <w:rtl/>
        </w:rPr>
      </w:pPr>
      <w:r w:rsidRPr="007828FF">
        <w:rPr>
          <w:rtl/>
        </w:rPr>
        <w:t>اللجنة المعنية بمعايير الويبو</w:t>
      </w:r>
    </w:p>
    <w:p w:rsidR="00C2761A" w:rsidRDefault="00C2761A" w:rsidP="00C2761A">
      <w:pPr>
        <w:bidi/>
        <w:spacing w:line="360" w:lineRule="exact"/>
        <w:rPr>
          <w:rFonts w:ascii="Arabic Typesetting" w:hAnsi="Arabic Typesetting" w:cs="Arabic Typesetting"/>
          <w:sz w:val="36"/>
          <w:szCs w:val="36"/>
          <w:rtl/>
        </w:rPr>
      </w:pPr>
    </w:p>
    <w:p w:rsidR="00C2761A" w:rsidRPr="00783D11" w:rsidRDefault="00C2761A" w:rsidP="00C2761A">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w:t>
      </w:r>
    </w:p>
    <w:p w:rsidR="00C2761A" w:rsidRPr="00D61541" w:rsidRDefault="00C2761A" w:rsidP="00C2761A">
      <w:pPr>
        <w:pStyle w:val="MeetingDatesAR"/>
        <w:bidi/>
        <w:rPr>
          <w:rtl/>
        </w:rPr>
      </w:pPr>
      <w:r w:rsidRPr="00D61541">
        <w:rPr>
          <w:rFonts w:hint="cs"/>
          <w:rtl/>
        </w:rPr>
        <w:t xml:space="preserve">جنيف، من </w:t>
      </w:r>
      <w:r>
        <w:rPr>
          <w:rFonts w:hint="cs"/>
          <w:rtl/>
        </w:rPr>
        <w:t>29 مايو إلى 2 يونيو 2017</w:t>
      </w: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D61541" w:rsidRDefault="00DC3276" w:rsidP="00C2761A">
      <w:pPr>
        <w:pStyle w:val="DocumentTitleAR"/>
        <w:bidi/>
        <w:rPr>
          <w:rtl/>
        </w:rPr>
      </w:pPr>
      <w:r w:rsidRPr="00DC3276">
        <w:rPr>
          <w:rtl/>
        </w:rPr>
        <w:t xml:space="preserve">توصيات بشأن أحكام الانتقال من معيار الويبو </w:t>
      </w:r>
      <w:r w:rsidRPr="00DC3276">
        <w:t>ST.25</w:t>
      </w:r>
      <w:r w:rsidRPr="00DC3276">
        <w:rPr>
          <w:rtl/>
        </w:rPr>
        <w:t xml:space="preserve"> إلى معيار الويبو </w:t>
      </w:r>
      <w:r w:rsidRPr="00DC3276">
        <w:t>ST.26</w:t>
      </w:r>
    </w:p>
    <w:p w:rsidR="00C2761A" w:rsidRPr="00D61541" w:rsidRDefault="00DC3276" w:rsidP="00C2761A">
      <w:pPr>
        <w:pStyle w:val="PreparedbyAR"/>
        <w:bidi/>
        <w:rPr>
          <w:rtl/>
        </w:rPr>
      </w:pPr>
      <w:r>
        <w:rPr>
          <w:rFonts w:hint="cs"/>
          <w:rtl/>
        </w:rPr>
        <w:t xml:space="preserve">وثيقة </w:t>
      </w:r>
      <w:r w:rsidR="00C2761A" w:rsidRPr="00D61541">
        <w:rPr>
          <w:rFonts w:hint="cs"/>
          <w:rtl/>
        </w:rPr>
        <w:t xml:space="preserve">من </w:t>
      </w:r>
      <w:r w:rsidR="00C2761A" w:rsidRPr="00931859">
        <w:rPr>
          <w:rFonts w:hint="cs"/>
          <w:rtl/>
        </w:rPr>
        <w:t>إعداد</w:t>
      </w:r>
      <w:r>
        <w:rPr>
          <w:rFonts w:hint="cs"/>
          <w:rtl/>
        </w:rPr>
        <w:t xml:space="preserve"> الأمانة</w:t>
      </w:r>
    </w:p>
    <w:p w:rsidR="00DC3276" w:rsidRDefault="00945712" w:rsidP="002C4004">
      <w:pPr>
        <w:pStyle w:val="NumberedParaAR"/>
      </w:pPr>
      <w:r>
        <w:rPr>
          <w:rFonts w:hint="cs"/>
          <w:rtl/>
        </w:rPr>
        <w:t>في الدورة الرابعة المجتمعة مجدّدا في مارس 2016، اتفقت اللجنة المعنية بمعايير الويبو (لجنة المعايير) على الوصف المعدّل للمهمة 44</w:t>
      </w:r>
      <w:r>
        <w:rPr>
          <w:rFonts w:hint="cs"/>
          <w:rtl/>
          <w:lang w:bidi="ar-EG"/>
        </w:rPr>
        <w:t>: "</w:t>
      </w:r>
      <w:r w:rsidR="00DC3276">
        <w:rPr>
          <w:rtl/>
        </w:rPr>
        <w:t xml:space="preserve">إعداد توصيات </w:t>
      </w:r>
      <w:r w:rsidR="002C4004">
        <w:rPr>
          <w:rFonts w:hint="cs"/>
          <w:rtl/>
        </w:rPr>
        <w:t xml:space="preserve">بشأن أحكام </w:t>
      </w:r>
      <w:r w:rsidR="002C4004">
        <w:rPr>
          <w:rtl/>
        </w:rPr>
        <w:t>الانتقال</w:t>
      </w:r>
      <w:r w:rsidR="00DC3276">
        <w:rPr>
          <w:rtl/>
        </w:rPr>
        <w:t xml:space="preserve"> من المعيار </w:t>
      </w:r>
      <w:r w:rsidR="00DC3276">
        <w:t>ST.25</w:t>
      </w:r>
      <w:r w:rsidR="00DC3276">
        <w:rPr>
          <w:rtl/>
        </w:rPr>
        <w:t xml:space="preserve"> إلى المعيار </w:t>
      </w:r>
      <w:r w:rsidR="00DC3276">
        <w:t>ST.26</w:t>
      </w:r>
      <w:r w:rsidR="00DC3276">
        <w:rPr>
          <w:rtl/>
        </w:rPr>
        <w:t>؛ واقتراح مراجعة معيار الويبو</w:t>
      </w:r>
      <w:r>
        <w:rPr>
          <w:rFonts w:hint="cs"/>
          <w:rtl/>
        </w:rPr>
        <w:t> </w:t>
      </w:r>
      <w:r w:rsidR="00DC3276">
        <w:t>ST.26</w:t>
      </w:r>
      <w:r w:rsidR="00DC3276">
        <w:rPr>
          <w:rtl/>
        </w:rPr>
        <w:t>، عند الحاجة".</w:t>
      </w:r>
      <w:r>
        <w:rPr>
          <w:rFonts w:hint="cs"/>
          <w:rtl/>
        </w:rPr>
        <w:t xml:space="preserve"> </w:t>
      </w:r>
      <w:r w:rsidRPr="00945712">
        <w:rPr>
          <w:rtl/>
        </w:rPr>
        <w:t xml:space="preserve">والتمست </w:t>
      </w:r>
      <w:r>
        <w:rPr>
          <w:rtl/>
        </w:rPr>
        <w:t>لجنة</w:t>
      </w:r>
      <w:r>
        <w:rPr>
          <w:rFonts w:hint="cs"/>
          <w:rtl/>
        </w:rPr>
        <w:t xml:space="preserve"> المعايير </w:t>
      </w:r>
      <w:r w:rsidRPr="00945712">
        <w:rPr>
          <w:rtl/>
        </w:rPr>
        <w:t xml:space="preserve">من فرقة العمل المعنية بقوائم التسلسل </w:t>
      </w:r>
      <w:r w:rsidR="00464E66">
        <w:rPr>
          <w:lang w:bidi="ar-EG"/>
        </w:rPr>
        <w:t>(SEQL)</w:t>
      </w:r>
      <w:r w:rsidR="00464E66">
        <w:rPr>
          <w:rFonts w:hint="cs"/>
          <w:rtl/>
          <w:lang w:bidi="ar-EG"/>
        </w:rPr>
        <w:t xml:space="preserve"> </w:t>
      </w:r>
      <w:r w:rsidRPr="00945712">
        <w:rPr>
          <w:rtl/>
        </w:rPr>
        <w:t xml:space="preserve">تقديم اقتراح بشأن أحكام الانتقال من معيار الويبو </w:t>
      </w:r>
      <w:r w:rsidRPr="00945712">
        <w:t>ST.25</w:t>
      </w:r>
      <w:r w:rsidRPr="00945712">
        <w:rPr>
          <w:rtl/>
        </w:rPr>
        <w:t xml:space="preserve"> إلى معيار الويبو </w:t>
      </w:r>
      <w:r w:rsidRPr="00945712">
        <w:t>ST.26</w:t>
      </w:r>
      <w:r w:rsidRPr="00945712">
        <w:rPr>
          <w:rtl/>
        </w:rPr>
        <w:t xml:space="preserve"> كي تنظر فيه اللجنة وتوافق عليه في دورتها المقبلة.</w:t>
      </w:r>
      <w:r>
        <w:rPr>
          <w:rFonts w:hint="cs"/>
          <w:rtl/>
        </w:rPr>
        <w:t xml:space="preserve"> (انظر الفقرات 82 إلى 84 من الوثيقة </w:t>
      </w:r>
      <w:r>
        <w:rPr>
          <w:lang w:val="fr-CH"/>
        </w:rPr>
        <w:t>CWS/4BIS/16</w:t>
      </w:r>
      <w:r>
        <w:rPr>
          <w:rFonts w:hint="cs"/>
          <w:rtl/>
        </w:rPr>
        <w:t>)</w:t>
      </w:r>
      <w:r>
        <w:rPr>
          <w:rFonts w:hint="cs"/>
          <w:rtl/>
          <w:lang w:bidi="ar-EG"/>
        </w:rPr>
        <w:t>.</w:t>
      </w:r>
    </w:p>
    <w:p w:rsidR="008A349E" w:rsidRDefault="008A349E" w:rsidP="00EE6CC7">
      <w:pPr>
        <w:pStyle w:val="NumberedParaAR"/>
      </w:pPr>
      <w:r>
        <w:rPr>
          <w:rFonts w:hint="cs"/>
          <w:rtl/>
          <w:lang w:bidi="ar-EG"/>
        </w:rPr>
        <w:t xml:space="preserve">وتنفيذا لقرار لجنة المعايير، أجرت فرقة العمل المعنية بقوائم التسلسل مناقشات حول </w:t>
      </w:r>
      <w:r w:rsidR="00EE6CC7">
        <w:rPr>
          <w:rFonts w:hint="cs"/>
          <w:rtl/>
          <w:lang w:bidi="ar-EG"/>
        </w:rPr>
        <w:t>أحكام الانتقال</w:t>
      </w:r>
      <w:r>
        <w:rPr>
          <w:rFonts w:hint="cs"/>
          <w:rtl/>
          <w:lang w:bidi="ar-EG"/>
        </w:rPr>
        <w:t xml:space="preserve"> الممكنة (من ال</w:t>
      </w:r>
      <w:r w:rsidRPr="00945712">
        <w:rPr>
          <w:rtl/>
        </w:rPr>
        <w:t xml:space="preserve">معيار </w:t>
      </w:r>
      <w:r w:rsidRPr="00945712">
        <w:t>ST.25</w:t>
      </w:r>
      <w:r w:rsidRPr="00945712">
        <w:rPr>
          <w:rtl/>
        </w:rPr>
        <w:t xml:space="preserve"> إلى </w:t>
      </w:r>
      <w:r w:rsidRPr="00945712">
        <w:t>ST.26</w:t>
      </w:r>
      <w:r>
        <w:rPr>
          <w:rFonts w:hint="cs"/>
          <w:rtl/>
          <w:lang w:bidi="ar-EG"/>
        </w:rPr>
        <w:t>)، مع مراعاة الوقع المحتمل على الأعمال وأنظمة تكنولوجيا المعلومات في مكاتب الملكية الصناعية وعلى المودعين على المستوى الوطني والإقليمي والدولي.</w:t>
      </w:r>
    </w:p>
    <w:p w:rsidR="008A349E" w:rsidRDefault="008A349E" w:rsidP="00464E66">
      <w:pPr>
        <w:pStyle w:val="NumberedParaAR"/>
        <w:rPr>
          <w:rtl/>
        </w:rPr>
      </w:pPr>
      <w:r>
        <w:rPr>
          <w:rFonts w:hint="cs"/>
          <w:rtl/>
        </w:rPr>
        <w:t xml:space="preserve">وبالنظر إلى علاقة هذا الانتقال </w:t>
      </w:r>
      <w:r>
        <w:rPr>
          <w:rFonts w:hint="cs"/>
          <w:rtl/>
          <w:lang w:bidi="ar-EG"/>
        </w:rPr>
        <w:t xml:space="preserve">من </w:t>
      </w:r>
      <w:r w:rsidRPr="00945712">
        <w:rPr>
          <w:rtl/>
        </w:rPr>
        <w:t xml:space="preserve">معيار </w:t>
      </w:r>
      <w:r>
        <w:rPr>
          <w:rFonts w:hint="cs"/>
          <w:rtl/>
        </w:rPr>
        <w:t xml:space="preserve">الويبو </w:t>
      </w:r>
      <w:r w:rsidRPr="00945712">
        <w:t>ST.25</w:t>
      </w:r>
      <w:r w:rsidRPr="00945712">
        <w:rPr>
          <w:rtl/>
        </w:rPr>
        <w:t xml:space="preserve"> إلى </w:t>
      </w:r>
      <w:r w:rsidRPr="00945712">
        <w:t>ST.26</w:t>
      </w:r>
      <w:r>
        <w:rPr>
          <w:rFonts w:hint="cs"/>
          <w:rtl/>
        </w:rPr>
        <w:t xml:space="preserve"> بمعاهدة التعاون بشأن البراءات، التمست فرقة العمل من المكتب الدولي أن تشاور مع أعضاء المعاهدة ومع أعضاء لجنة المعايير بغية الإفادة في عملها لإعداد اقتراح بشأن الانتقال بين المعيارين. ونزولا عن</w:t>
      </w:r>
      <w:r w:rsidR="003B528A">
        <w:rPr>
          <w:rFonts w:hint="cs"/>
          <w:rtl/>
        </w:rPr>
        <w:t>د</w:t>
      </w:r>
      <w:r>
        <w:rPr>
          <w:rFonts w:hint="cs"/>
          <w:rtl/>
        </w:rPr>
        <w:t xml:space="preserve"> ذلك الالتماس الذي وجّهته فرقة العمل، أرسل المكتب الدولي </w:t>
      </w:r>
      <w:r w:rsidR="00973B37">
        <w:rPr>
          <w:rFonts w:hint="cs"/>
          <w:rtl/>
        </w:rPr>
        <w:t>خطابا معمّما</w:t>
      </w:r>
      <w:r>
        <w:rPr>
          <w:rFonts w:hint="cs"/>
          <w:rtl/>
        </w:rPr>
        <w:t xml:space="preserve"> مشتركا برقم</w:t>
      </w:r>
      <w:r>
        <w:rPr>
          <w:rFonts w:hint="eastAsia"/>
          <w:rtl/>
        </w:rPr>
        <w:t> </w:t>
      </w:r>
      <w:r w:rsidRPr="00CE074F">
        <w:t>C. PCT 1485/C. CWS 74</w:t>
      </w:r>
      <w:r>
        <w:rPr>
          <w:rFonts w:hint="cs"/>
          <w:rtl/>
          <w:lang w:bidi="ar-EG"/>
        </w:rPr>
        <w:t xml:space="preserve">، وبتاريخ 18 نوفمبر 2016 إلى مكاتب الملكية الصناعية بصفتها أعضاء في لجنة المعايير و/أو بحسب صفاتها المختلفة في إطار معاهدة التعاون بشأن البراءات، وإلى بعض المنظمات غير الحكومية والمنظمات الممثلة لمستخدمي نظام المعاهدة. </w:t>
      </w:r>
      <w:r w:rsidR="00973B37">
        <w:rPr>
          <w:rFonts w:hint="cs"/>
          <w:rtl/>
          <w:lang w:bidi="ar-EG"/>
        </w:rPr>
        <w:t>والخطاب المشترك متاح</w:t>
      </w:r>
      <w:r>
        <w:rPr>
          <w:rFonts w:hint="cs"/>
          <w:rtl/>
          <w:lang w:bidi="ar-EG"/>
        </w:rPr>
        <w:t xml:space="preserve"> على موقع الويبو في العنوان التالي: </w:t>
      </w:r>
      <w:hyperlink r:id="rId9" w:history="1">
        <w:r w:rsidRPr="001C4852">
          <w:rPr>
            <w:rStyle w:val="Hyperlink"/>
          </w:rPr>
          <w:t>http://www.wipo.int/export/sites/www/cws/en/circulars/2016/cws-075.pdf</w:t>
        </w:r>
      </w:hyperlink>
      <w:r>
        <w:rPr>
          <w:rFonts w:hint="cs"/>
          <w:rtl/>
          <w:lang w:bidi="ar-EG"/>
        </w:rPr>
        <w:t>.</w:t>
      </w:r>
    </w:p>
    <w:p w:rsidR="00065ED1" w:rsidRDefault="00973B37" w:rsidP="00973B37">
      <w:pPr>
        <w:pStyle w:val="NumberedParaAR"/>
        <w:rPr>
          <w:lang w:bidi="ar-EG"/>
        </w:rPr>
      </w:pPr>
      <w:r>
        <w:rPr>
          <w:rFonts w:hint="cs"/>
          <w:rtl/>
          <w:lang w:bidi="ar-EG"/>
        </w:rPr>
        <w:lastRenderedPageBreak/>
        <w:t xml:space="preserve">وردّ على الخطاب المعمَّم 29 مكتبا للملكية الصناعية ومنظمتان تمثّلان المستخدمين. وشاطر المكتب الدولي مع فرقة العمل الردود المستلمة بشأن الخطاب المعمَّم. وقدّم المكتب الدولي تحليلا لتلك الردود في الدورة الرابعة والعشرين لاجتماع الإدارات الدولية لمعاهدة التعاون بشأن البراءات </w:t>
      </w:r>
      <w:r>
        <w:rPr>
          <w:lang w:bidi="ar-EG"/>
        </w:rPr>
        <w:t>(PCT/MIA)</w:t>
      </w:r>
      <w:r>
        <w:rPr>
          <w:rFonts w:hint="cs"/>
          <w:rtl/>
          <w:lang w:bidi="ar-EG"/>
        </w:rPr>
        <w:t xml:space="preserve"> في فبراير 2017 (انظر الوثيقة </w:t>
      </w:r>
      <w:r>
        <w:rPr>
          <w:lang w:bidi="ar-EG"/>
        </w:rPr>
        <w:t>PCT/MIA/24/14</w:t>
      </w:r>
      <w:r>
        <w:rPr>
          <w:rFonts w:hint="cs"/>
          <w:rtl/>
          <w:lang w:bidi="ar-EG"/>
        </w:rPr>
        <w:t>).</w:t>
      </w:r>
    </w:p>
    <w:p w:rsidR="00973B37" w:rsidRDefault="00973B37" w:rsidP="00EE6CC7">
      <w:pPr>
        <w:pStyle w:val="NumberedParaAR"/>
        <w:rPr>
          <w:lang w:bidi="ar-EG"/>
        </w:rPr>
      </w:pPr>
      <w:r>
        <w:rPr>
          <w:rFonts w:hint="cs"/>
          <w:rtl/>
          <w:lang w:bidi="ar-EG"/>
        </w:rPr>
        <w:t>وناقش أعضاء فرقة العمل نتائج ال</w:t>
      </w:r>
      <w:r>
        <w:rPr>
          <w:rFonts w:hint="cs"/>
          <w:rtl/>
        </w:rPr>
        <w:t xml:space="preserve">خطاب المعمّم </w:t>
      </w:r>
      <w:r w:rsidRPr="00CE074F">
        <w:t>C. PCT 1485/C. CWS 74</w:t>
      </w:r>
      <w:r w:rsidRPr="00CE074F">
        <w:rPr>
          <w:rtl/>
          <w:lang w:bidi="ar-EG"/>
        </w:rPr>
        <w:t xml:space="preserve"> </w:t>
      </w:r>
      <w:r>
        <w:rPr>
          <w:rFonts w:hint="cs"/>
          <w:rtl/>
          <w:lang w:bidi="ar-EG"/>
        </w:rPr>
        <w:t xml:space="preserve">ومسائل </w:t>
      </w:r>
      <w:r w:rsidR="00EE6CC7">
        <w:rPr>
          <w:rFonts w:hint="cs"/>
          <w:rtl/>
          <w:lang w:bidi="ar-EG"/>
        </w:rPr>
        <w:t>عملية الانتقال</w:t>
      </w:r>
      <w:r>
        <w:rPr>
          <w:rFonts w:hint="cs"/>
          <w:rtl/>
          <w:lang w:bidi="ar-EG"/>
        </w:rPr>
        <w:t xml:space="preserve"> في العديد من الاجتماعات عن بعد </w:t>
      </w:r>
      <w:r>
        <w:rPr>
          <w:lang w:bidi="ar-EG"/>
        </w:rPr>
        <w:t>(WebEx)</w:t>
      </w:r>
      <w:r>
        <w:rPr>
          <w:rFonts w:hint="cs"/>
          <w:rtl/>
          <w:lang w:bidi="ar-EG"/>
        </w:rPr>
        <w:t xml:space="preserve"> وعلى المنتدى الإلكتروني. وكانت نتيجة تلك المناقشات أن قدّم المكتب الأوروبي للبراءات، بصفته المشرف على فرقة العمل المعنية بقوائم التسلسل، اقتراحا بعنوان "توصيات بشأن </w:t>
      </w:r>
      <w:r w:rsidR="00EE6CC7">
        <w:rPr>
          <w:rFonts w:hint="cs"/>
          <w:rtl/>
          <w:lang w:bidi="ar-EG"/>
        </w:rPr>
        <w:t xml:space="preserve">أحكام </w:t>
      </w:r>
      <w:r w:rsidR="00EE6CC7">
        <w:rPr>
          <w:rtl/>
          <w:lang w:bidi="ar-EG"/>
        </w:rPr>
        <w:t>الانتقال</w:t>
      </w:r>
      <w:r w:rsidRPr="00973B37">
        <w:rPr>
          <w:rtl/>
          <w:lang w:bidi="ar-EG"/>
        </w:rPr>
        <w:t xml:space="preserve"> من معيار الويبو </w:t>
      </w:r>
      <w:r w:rsidRPr="00973B37">
        <w:rPr>
          <w:lang w:bidi="ar-EG"/>
        </w:rPr>
        <w:t>ST.25</w:t>
      </w:r>
      <w:r w:rsidRPr="00973B37">
        <w:rPr>
          <w:rtl/>
          <w:lang w:bidi="ar-EG"/>
        </w:rPr>
        <w:t xml:space="preserve"> إلى </w:t>
      </w:r>
      <w:r w:rsidRPr="00973B37">
        <w:rPr>
          <w:lang w:bidi="ar-EG"/>
        </w:rPr>
        <w:t>ST.26</w:t>
      </w:r>
      <w:r w:rsidR="00AA4C39">
        <w:rPr>
          <w:rFonts w:hint="cs"/>
          <w:rtl/>
          <w:lang w:bidi="ar-EG"/>
        </w:rPr>
        <w:t xml:space="preserve">" </w:t>
      </w:r>
      <w:r w:rsidRPr="00973B37">
        <w:rPr>
          <w:rtl/>
          <w:lang w:bidi="ar-EG"/>
        </w:rPr>
        <w:t>كي تنظر فيه</w:t>
      </w:r>
      <w:r w:rsidR="00AA4C39">
        <w:rPr>
          <w:rFonts w:hint="cs"/>
          <w:rtl/>
          <w:lang w:bidi="ar-EG"/>
        </w:rPr>
        <w:t>ا</w:t>
      </w:r>
      <w:r w:rsidRPr="00973B37">
        <w:rPr>
          <w:rtl/>
          <w:lang w:bidi="ar-EG"/>
        </w:rPr>
        <w:t xml:space="preserve"> لجنة </w:t>
      </w:r>
      <w:r w:rsidR="00AA4C39">
        <w:rPr>
          <w:rFonts w:hint="cs"/>
          <w:rtl/>
          <w:lang w:bidi="ar-EG"/>
        </w:rPr>
        <w:t xml:space="preserve">المعايير </w:t>
      </w:r>
      <w:r w:rsidRPr="00973B37">
        <w:rPr>
          <w:rtl/>
          <w:lang w:bidi="ar-EG"/>
        </w:rPr>
        <w:t>وتوافق عليه</w:t>
      </w:r>
      <w:r w:rsidR="00AA4C39">
        <w:rPr>
          <w:rFonts w:hint="cs"/>
          <w:rtl/>
          <w:lang w:bidi="ar-EG"/>
        </w:rPr>
        <w:t>ا</w:t>
      </w:r>
      <w:r w:rsidRPr="00973B37">
        <w:rPr>
          <w:rtl/>
          <w:lang w:bidi="ar-EG"/>
        </w:rPr>
        <w:t xml:space="preserve"> في دورتها الخامسة</w:t>
      </w:r>
      <w:r w:rsidR="00AA4C39">
        <w:rPr>
          <w:rFonts w:hint="cs"/>
          <w:rtl/>
          <w:lang w:bidi="ar-EG"/>
        </w:rPr>
        <w:t xml:space="preserve"> (انظر مرفق هذه الوثيقة).</w:t>
      </w:r>
    </w:p>
    <w:p w:rsidR="00AA4C39" w:rsidRDefault="00AA4C39" w:rsidP="00AA4C39">
      <w:pPr>
        <w:pStyle w:val="DecisionParaAR"/>
        <w:rPr>
          <w:lang w:bidi="ar-EG"/>
        </w:rPr>
      </w:pPr>
      <w:r>
        <w:rPr>
          <w:rFonts w:hint="cs"/>
          <w:rtl/>
          <w:lang w:bidi="ar-EG"/>
        </w:rPr>
        <w:t>إن لجنة المعايير مدعوة إلى:</w:t>
      </w:r>
    </w:p>
    <w:p w:rsidR="00AA4C39" w:rsidRDefault="00AA4C39" w:rsidP="00AA4C39">
      <w:pPr>
        <w:pStyle w:val="DecisionParaAR"/>
        <w:numPr>
          <w:ilvl w:val="0"/>
          <w:numId w:val="0"/>
        </w:numPr>
        <w:ind w:left="5534" w:firstLine="702"/>
        <w:rPr>
          <w:rtl/>
          <w:lang w:bidi="ar-EG"/>
        </w:rPr>
      </w:pPr>
      <w:r>
        <w:rPr>
          <w:rFonts w:hint="cs"/>
          <w:rtl/>
          <w:lang w:bidi="ar-EG"/>
        </w:rPr>
        <w:t>(أ)</w:t>
      </w:r>
      <w:r>
        <w:rPr>
          <w:rFonts w:hint="cs"/>
          <w:rtl/>
          <w:lang w:bidi="ar-EG"/>
        </w:rPr>
        <w:tab/>
        <w:t>الإحاطة علما بمضمون هذه الوثيقة؛</w:t>
      </w:r>
    </w:p>
    <w:p w:rsidR="00AA4C39" w:rsidRDefault="00AA4C39" w:rsidP="00AA4C39">
      <w:pPr>
        <w:pStyle w:val="DecisionParaAR"/>
        <w:numPr>
          <w:ilvl w:val="0"/>
          <w:numId w:val="0"/>
        </w:numPr>
        <w:ind w:left="5534" w:firstLine="702"/>
        <w:rPr>
          <w:rtl/>
          <w:lang w:bidi="ar-EG"/>
        </w:rPr>
      </w:pPr>
      <w:r>
        <w:rPr>
          <w:rFonts w:hint="cs"/>
          <w:rtl/>
          <w:lang w:bidi="ar-EG"/>
        </w:rPr>
        <w:t>(ب)</w:t>
      </w:r>
      <w:r>
        <w:rPr>
          <w:rFonts w:hint="cs"/>
          <w:rtl/>
          <w:lang w:bidi="ar-EG"/>
        </w:rPr>
        <w:tab/>
        <w:t>والنظر في سيناريو العملية الانتقالية واتخاذ قرار بشأنه، كما هو مشار إليه في الفقرة 4 من مرفق هذه الوثيقة؛</w:t>
      </w:r>
    </w:p>
    <w:p w:rsidR="00AA4C39" w:rsidRDefault="00AA4C39" w:rsidP="00CE074F">
      <w:pPr>
        <w:pStyle w:val="DecisionParaAR"/>
        <w:numPr>
          <w:ilvl w:val="0"/>
          <w:numId w:val="0"/>
        </w:numPr>
        <w:ind w:left="5534" w:firstLine="702"/>
        <w:rPr>
          <w:rtl/>
          <w:lang w:bidi="ar-EG"/>
        </w:rPr>
      </w:pPr>
      <w:r>
        <w:rPr>
          <w:rFonts w:hint="cs"/>
          <w:rtl/>
          <w:lang w:bidi="ar-EG"/>
        </w:rPr>
        <w:t>(ج)</w:t>
      </w:r>
      <w:r>
        <w:rPr>
          <w:rFonts w:hint="cs"/>
          <w:rtl/>
          <w:lang w:bidi="ar-EG"/>
        </w:rPr>
        <w:tab/>
        <w:t xml:space="preserve">والنظر في إمكانية تحديد تاريخ العملية الانتقالية بالاعتماد على تاريخ الإيداع الدولي للطلبات الدولية أو تاريخ الأولوية، </w:t>
      </w:r>
      <w:r w:rsidR="0033504F">
        <w:rPr>
          <w:rFonts w:hint="cs"/>
          <w:rtl/>
          <w:lang w:bidi="ar-EG"/>
        </w:rPr>
        <w:t xml:space="preserve">أو ترك الخيار للمودع </w:t>
      </w:r>
      <w:r w:rsidR="00CE074F">
        <w:rPr>
          <w:rFonts w:hint="cs"/>
          <w:rtl/>
          <w:lang w:bidi="ar-EG"/>
        </w:rPr>
        <w:t>كما هو مشار إليه في الفقرات 5 إلى 7 من مرفق هذه الوثيقة، واتخاذ قرار بشأن ذلك؛</w:t>
      </w:r>
    </w:p>
    <w:p w:rsidR="00CE074F" w:rsidRDefault="00CE074F" w:rsidP="0033504F">
      <w:pPr>
        <w:pStyle w:val="DecisionParaAR"/>
        <w:numPr>
          <w:ilvl w:val="0"/>
          <w:numId w:val="0"/>
        </w:numPr>
        <w:ind w:left="5534" w:firstLine="702"/>
        <w:rPr>
          <w:rtl/>
          <w:lang w:bidi="ar-EG"/>
        </w:rPr>
      </w:pPr>
      <w:r>
        <w:rPr>
          <w:rFonts w:hint="cs"/>
          <w:rtl/>
          <w:lang w:bidi="ar-EG"/>
        </w:rPr>
        <w:t>(د)</w:t>
      </w:r>
      <w:r>
        <w:rPr>
          <w:rFonts w:hint="cs"/>
          <w:rtl/>
          <w:lang w:bidi="ar-EG"/>
        </w:rPr>
        <w:tab/>
        <w:t>والنظر في "يناير 2022" كتاريخ للانتقال، كما هو مشار إليه في الفقرة 8 من مرفق هذه الوثيقة، واتخاذ قرار بشأن ذلك؛</w:t>
      </w:r>
    </w:p>
    <w:p w:rsidR="00CE074F" w:rsidRDefault="00CE074F" w:rsidP="00D2741F">
      <w:pPr>
        <w:pStyle w:val="DecisionParaAR"/>
        <w:numPr>
          <w:ilvl w:val="0"/>
          <w:numId w:val="0"/>
        </w:numPr>
        <w:spacing w:after="0"/>
        <w:ind w:left="5534" w:firstLine="702"/>
        <w:rPr>
          <w:lang w:bidi="ar-EG"/>
        </w:rPr>
      </w:pPr>
      <w:r>
        <w:rPr>
          <w:rFonts w:hint="cs"/>
          <w:rtl/>
          <w:lang w:bidi="ar-EG"/>
        </w:rPr>
        <w:t>(ه)</w:t>
      </w:r>
      <w:r>
        <w:rPr>
          <w:rFonts w:hint="cs"/>
          <w:rtl/>
          <w:lang w:bidi="ar-EG"/>
        </w:rPr>
        <w:tab/>
        <w:t>والإحاطة علما بمهام فقرة العمل المعنية بقوائم التسلسل، كما هي مشار إليها في الفقرة 9 من مرفق هذه الوثيقة.</w:t>
      </w:r>
    </w:p>
    <w:p w:rsidR="00CE074F" w:rsidRDefault="00CE074F" w:rsidP="00D2741F">
      <w:pPr>
        <w:pStyle w:val="EndofDocumentAR"/>
        <w:spacing w:after="0"/>
        <w:ind w:left="5527"/>
        <w:rPr>
          <w:lang w:val="fr-FR" w:bidi="ar-EG"/>
        </w:rPr>
      </w:pPr>
    </w:p>
    <w:p w:rsidR="00D2741F" w:rsidRPr="00D2741F" w:rsidRDefault="00D2741F" w:rsidP="00D2741F">
      <w:pPr>
        <w:pStyle w:val="NormalParaAR"/>
        <w:spacing w:after="0"/>
        <w:ind w:left="5527"/>
        <w:rPr>
          <w:lang w:val="fr-FR" w:bidi="ar-EG"/>
        </w:rPr>
      </w:pPr>
    </w:p>
    <w:p w:rsidR="00973B37" w:rsidRDefault="00CE074F" w:rsidP="00D2741F">
      <w:pPr>
        <w:pStyle w:val="EndofDocumentAR"/>
        <w:spacing w:after="0"/>
        <w:ind w:left="5527"/>
        <w:rPr>
          <w:lang w:bidi="ar-EG"/>
        </w:rPr>
      </w:pPr>
      <w:r>
        <w:rPr>
          <w:rFonts w:hint="cs"/>
          <w:rtl/>
          <w:lang w:bidi="ar-EG"/>
        </w:rPr>
        <w:t>[يلي ذلك المرفق]</w:t>
      </w:r>
    </w:p>
    <w:sectPr w:rsidR="00973B37" w:rsidSect="00F27A7C">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76" w:rsidRDefault="00DC3276">
      <w:r>
        <w:separator/>
      </w:r>
    </w:p>
  </w:endnote>
  <w:endnote w:type="continuationSeparator" w:id="0">
    <w:p w:rsidR="00DC3276" w:rsidRDefault="00DC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76" w:rsidRDefault="00DC3276" w:rsidP="009622BF">
      <w:pPr>
        <w:bidi/>
      </w:pPr>
      <w:bookmarkStart w:id="0" w:name="OLE_LINK1"/>
      <w:bookmarkStart w:id="1" w:name="OLE_LINK2"/>
      <w:r>
        <w:separator/>
      </w:r>
      <w:bookmarkEnd w:id="0"/>
      <w:bookmarkEnd w:id="1"/>
    </w:p>
  </w:footnote>
  <w:footnote w:type="continuationSeparator" w:id="0">
    <w:p w:rsidR="00DC3276" w:rsidRDefault="00DC327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rsidP="00DA31CF">
    <w:bookmarkStart w:id="2" w:name="_GoBack"/>
    <w:bookmarkEnd w:id="2"/>
    <w:r>
      <w:t>CWS/5/7 Rev.1</w:t>
    </w:r>
  </w:p>
  <w:p w:rsidR="002F77FC" w:rsidRDefault="00F27A7C" w:rsidP="00D61541">
    <w:pPr>
      <w:rPr>
        <w:noProof/>
      </w:rPr>
    </w:pPr>
    <w:r>
      <w:fldChar w:fldCharType="begin"/>
    </w:r>
    <w:r>
      <w:instrText xml:space="preserve"> PAGE   \* MERGEFORMAT </w:instrText>
    </w:r>
    <w:r>
      <w:fldChar w:fldCharType="separate"/>
    </w:r>
    <w:r w:rsidR="00DA31CF">
      <w:rPr>
        <w:noProof/>
      </w:rPr>
      <w:t>2</w:t>
    </w:r>
    <w:r>
      <w:rPr>
        <w:noProof/>
      </w:rPr>
      <w:fldChar w:fldCharType="end"/>
    </w:r>
  </w:p>
  <w:p w:rsidR="005677B7" w:rsidRDefault="005677B7" w:rsidP="00D61541"/>
  <w:p w:rsidR="00D2741F" w:rsidRDefault="00D2741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CF" w:rsidRDefault="00DA3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7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004"/>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04F"/>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28A"/>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5F3C"/>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E6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B01"/>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349E"/>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712"/>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37"/>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C39"/>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1AA9"/>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074F"/>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41F"/>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1CF"/>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3276"/>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88F"/>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CC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uiPriority w:val="99"/>
    <w:unhideWhenUsed/>
    <w:rsid w:val="008A34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uiPriority w:val="99"/>
    <w:unhideWhenUsed/>
    <w:rsid w:val="008A3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cws/en/circulars/2016/cws-075.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CWS_5_AR</Template>
  <TotalTime>1</TotalTime>
  <Pages>2</Pages>
  <Words>495</Words>
  <Characters>2700</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(in Arabic)</dc:title>
  <dc:subject>Recommendations for the Transition Provision from WIPO Standard ST.25 to ST.26</dc:subject>
  <dc:creator>WIPO</dc:creator>
  <cp:keywords>CWS</cp:keywords>
  <cp:lastModifiedBy>ZAGO Bétina</cp:lastModifiedBy>
  <cp:revision>5</cp:revision>
  <cp:lastPrinted>2017-02-08T13:12:00Z</cp:lastPrinted>
  <dcterms:created xsi:type="dcterms:W3CDTF">2017-05-08T12:58:00Z</dcterms:created>
  <dcterms:modified xsi:type="dcterms:W3CDTF">2017-05-08T13:05:00Z</dcterms:modified>
</cp:coreProperties>
</file>