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61A" w:rsidRDefault="00DF2B21" w:rsidP="00DF2B21">
      <w:pPr>
        <w:pStyle w:val="Heading1"/>
        <w:spacing w:before="0"/>
        <w:rPr>
          <w:rtl/>
        </w:rPr>
      </w:pPr>
      <w:r>
        <w:rPr>
          <w:rFonts w:hint="cs"/>
          <w:rtl/>
        </w:rPr>
        <w:t>تقرير</w:t>
      </w:r>
      <w:r w:rsidR="00B21887" w:rsidRPr="00B21887">
        <w:rPr>
          <w:rtl/>
        </w:rPr>
        <w:t xml:space="preserve"> </w:t>
      </w:r>
      <w:r>
        <w:rPr>
          <w:rFonts w:hint="cs"/>
          <w:rtl/>
        </w:rPr>
        <w:t>عن</w:t>
      </w:r>
      <w:r w:rsidR="00B21887" w:rsidRPr="00B21887">
        <w:rPr>
          <w:rtl/>
        </w:rPr>
        <w:t xml:space="preserve"> </w:t>
      </w:r>
      <w:r>
        <w:rPr>
          <w:rFonts w:hint="cs"/>
          <w:rtl/>
        </w:rPr>
        <w:t>مراجعة</w:t>
      </w:r>
      <w:r w:rsidR="00B21887" w:rsidRPr="00B21887">
        <w:rPr>
          <w:rtl/>
        </w:rPr>
        <w:t xml:space="preserve"> </w:t>
      </w:r>
      <w:r w:rsidR="009B38CF" w:rsidRPr="00945712">
        <w:rPr>
          <w:rtl/>
        </w:rPr>
        <w:t>فرقة العمل المعنية بقوائم التسلسل</w:t>
      </w:r>
      <w:r w:rsidR="009B38CF" w:rsidRPr="00B21887">
        <w:rPr>
          <w:rtl/>
        </w:rPr>
        <w:t xml:space="preserve"> </w:t>
      </w:r>
      <w:r w:rsidR="009B38CF">
        <w:rPr>
          <w:rFonts w:hint="cs"/>
          <w:rtl/>
        </w:rPr>
        <w:t>ل</w:t>
      </w:r>
      <w:r w:rsidR="00B21887" w:rsidRPr="00B21887">
        <w:rPr>
          <w:rtl/>
        </w:rPr>
        <w:t xml:space="preserve">معيار الويبو </w:t>
      </w:r>
      <w:r w:rsidR="00B21887" w:rsidRPr="000A2CE8">
        <w:rPr>
          <w:b/>
          <w:bCs w:val="0"/>
        </w:rPr>
        <w:t>ST.26</w:t>
      </w:r>
    </w:p>
    <w:p w:rsidR="00B21887" w:rsidRPr="00B21887" w:rsidRDefault="00DF2B21" w:rsidP="00946D25">
      <w:pPr>
        <w:pStyle w:val="PreparedbyAR"/>
        <w:bidi/>
        <w:spacing w:before="0" w:after="240"/>
        <w:rPr>
          <w:lang w:bidi="ar-EG"/>
        </w:rPr>
      </w:pPr>
      <w:r>
        <w:rPr>
          <w:rFonts w:hint="cs"/>
          <w:rtl/>
        </w:rPr>
        <w:t xml:space="preserve">وثيقة </w:t>
      </w:r>
      <w:r w:rsidR="00B21887">
        <w:rPr>
          <w:rFonts w:hint="cs"/>
          <w:rtl/>
          <w:lang w:bidi="ar-EG"/>
        </w:rPr>
        <w:t xml:space="preserve">من إعداد المكتب الأوروبي للبراءات </w:t>
      </w:r>
      <w:r w:rsidR="00B21887">
        <w:rPr>
          <w:lang w:bidi="ar-EG"/>
        </w:rPr>
        <w:t>(EPO)</w:t>
      </w:r>
    </w:p>
    <w:p w:rsidR="00B21887" w:rsidRPr="00B21887" w:rsidRDefault="00B21887" w:rsidP="00946D25">
      <w:pPr>
        <w:pStyle w:val="Heading2"/>
        <w:spacing w:after="0"/>
        <w:rPr>
          <w:rtl/>
          <w:lang w:val="en-US" w:bidi="ar-EG"/>
        </w:rPr>
      </w:pPr>
      <w:r>
        <w:rPr>
          <w:rFonts w:hint="cs"/>
          <w:rtl/>
          <w:lang w:bidi="ar-EG"/>
        </w:rPr>
        <w:t>معلومات أساسية</w:t>
      </w:r>
    </w:p>
    <w:p w:rsidR="002324E6" w:rsidRDefault="002324E6" w:rsidP="0078307C">
      <w:pPr>
        <w:pStyle w:val="NumberedParaAR"/>
      </w:pPr>
      <w:r>
        <w:rPr>
          <w:rFonts w:hint="cs"/>
          <w:rtl/>
        </w:rPr>
        <w:t xml:space="preserve">أنشأت </w:t>
      </w:r>
      <w:r>
        <w:rPr>
          <w:rFonts w:hint="cs"/>
          <w:rtl/>
          <w:lang w:bidi="ar-EG"/>
        </w:rPr>
        <w:t>ال</w:t>
      </w:r>
      <w:r>
        <w:rPr>
          <w:rtl/>
        </w:rPr>
        <w:t>لجنة</w:t>
      </w:r>
      <w:r>
        <w:rPr>
          <w:rFonts w:hint="cs"/>
          <w:rtl/>
        </w:rPr>
        <w:t xml:space="preserve"> المعنية بمعايير الويبو (لجنة المعايير) </w:t>
      </w:r>
      <w:r w:rsidRPr="00945712">
        <w:rPr>
          <w:rtl/>
        </w:rPr>
        <w:t>فرقة العمل المعنية بقوائم التسلسل</w:t>
      </w:r>
      <w:r>
        <w:rPr>
          <w:rFonts w:hint="cs"/>
          <w:rtl/>
        </w:rPr>
        <w:t xml:space="preserve"> في دورتها الأولى (من 25 إلى 29 أكتوبر 2010) لتتولى المهمة 44 (انظر الفقرة 29 من الوثيقة </w:t>
      </w:r>
      <w:r>
        <w:t>CWS/1/10</w:t>
      </w:r>
      <w:r>
        <w:rPr>
          <w:rFonts w:hint="cs"/>
          <w:rtl/>
        </w:rPr>
        <w:t xml:space="preserve">): </w:t>
      </w:r>
    </w:p>
    <w:p w:rsidR="002324E6" w:rsidRPr="002324E6" w:rsidRDefault="002324E6" w:rsidP="00A34A11">
      <w:pPr>
        <w:pStyle w:val="NumberedParaAR"/>
      </w:pPr>
      <w:r>
        <w:rPr>
          <w:rFonts w:hint="cs"/>
          <w:rtl/>
        </w:rPr>
        <w:t>"</w:t>
      </w:r>
      <w:r w:rsidRPr="002324E6">
        <w:rPr>
          <w:rtl/>
        </w:rPr>
        <w:t xml:space="preserve">صياغة توصية بشأن عرض قوائم تسلسل النوويدات والحوامض الأمينية باستخدام لغة الترميز الموسعة </w:t>
      </w:r>
      <w:r w:rsidR="00F917A8">
        <w:rPr>
          <w:rFonts w:hint="cs"/>
          <w:rtl/>
        </w:rPr>
        <w:t>(</w:t>
      </w:r>
      <w:r w:rsidR="00F917A8">
        <w:t>XML</w:t>
      </w:r>
      <w:r w:rsidR="00F917A8">
        <w:rPr>
          <w:rFonts w:hint="cs"/>
          <w:rtl/>
        </w:rPr>
        <w:t xml:space="preserve">) </w:t>
      </w:r>
      <w:r w:rsidRPr="002324E6">
        <w:rPr>
          <w:rtl/>
        </w:rPr>
        <w:t>لاعتمادها معيارا للويبو</w:t>
      </w:r>
      <w:r w:rsidRPr="002324E6">
        <w:t>.</w:t>
      </w:r>
      <w:r w:rsidRPr="002324E6">
        <w:rPr>
          <w:rtl/>
        </w:rPr>
        <w:t xml:space="preserve"> وينبغي تقديم </w:t>
      </w:r>
      <w:r w:rsidR="00662E5C">
        <w:rPr>
          <w:rFonts w:hint="cs"/>
          <w:rtl/>
        </w:rPr>
        <w:t>ال</w:t>
      </w:r>
      <w:r w:rsidRPr="002324E6">
        <w:rPr>
          <w:rtl/>
        </w:rPr>
        <w:t xml:space="preserve">اقتراح بشأن معيار الويبو الجديد إلى جانب تقرير عن وقع المعيار المذكور على معيار الويبو </w:t>
      </w:r>
      <w:r w:rsidRPr="002324E6">
        <w:t>ST.25</w:t>
      </w:r>
      <w:r w:rsidR="00662E5C">
        <w:rPr>
          <w:rFonts w:hint="cs"/>
          <w:rtl/>
        </w:rPr>
        <w:t xml:space="preserve"> الحالي</w:t>
      </w:r>
      <w:r w:rsidRPr="002324E6">
        <w:rPr>
          <w:rtl/>
        </w:rPr>
        <w:t xml:space="preserve">، إضافة إلى التغييرات الضرورية المقترح إدخالها على المعيار </w:t>
      </w:r>
      <w:r w:rsidRPr="002324E6">
        <w:t>ST.25</w:t>
      </w:r>
      <w:r w:rsidR="008B7734">
        <w:rPr>
          <w:rFonts w:hint="cs"/>
          <w:rtl/>
        </w:rPr>
        <w:t>"</w:t>
      </w:r>
      <w:r w:rsidR="00A34A1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634C18" w:rsidRDefault="00634C18" w:rsidP="004F4109">
      <w:pPr>
        <w:pStyle w:val="NumberedParaAR"/>
      </w:pPr>
      <w:r>
        <w:rPr>
          <w:rFonts w:hint="cs"/>
          <w:rtl/>
        </w:rPr>
        <w:t xml:space="preserve">والتُمس من فرقة العمل أيضاً: </w:t>
      </w:r>
    </w:p>
    <w:p w:rsidR="002324E6" w:rsidRDefault="00634C18" w:rsidP="00634C18">
      <w:pPr>
        <w:pStyle w:val="NumberedParaAR"/>
        <w:numPr>
          <w:ilvl w:val="0"/>
          <w:numId w:val="0"/>
        </w:numPr>
        <w:ind w:left="566"/>
      </w:pPr>
      <w:r>
        <w:rPr>
          <w:rFonts w:hint="cs"/>
          <w:rtl/>
        </w:rPr>
        <w:t>"</w:t>
      </w:r>
      <w:r w:rsidRPr="00634C18">
        <w:rPr>
          <w:rtl/>
        </w:rPr>
        <w:t>التنسيق مع الهيئة المعنية لمعاهدة التعاون بشأن البراءات فيما يخص الوقع المحتمل لذلك المعيار على المرفق "جيم" من التعليمات الإدارية لمعاهدة التعاون بشأن البراءات</w:t>
      </w:r>
      <w:r>
        <w:rPr>
          <w:rFonts w:hint="cs"/>
          <w:rtl/>
        </w:rPr>
        <w:t>"</w:t>
      </w:r>
      <w:r w:rsidRPr="00634C18">
        <w:rPr>
          <w:rtl/>
        </w:rPr>
        <w:t>.</w:t>
      </w:r>
      <w:r w:rsidR="002324E6">
        <w:rPr>
          <w:rFonts w:hint="cs"/>
          <w:rtl/>
        </w:rPr>
        <w:t xml:space="preserve"> </w:t>
      </w:r>
    </w:p>
    <w:p w:rsidR="004F4109" w:rsidRDefault="004F4109" w:rsidP="003A64B2">
      <w:pPr>
        <w:pStyle w:val="NumberedParaAR"/>
      </w:pPr>
      <w:r>
        <w:rPr>
          <w:rFonts w:hint="cs"/>
          <w:rtl/>
        </w:rPr>
        <w:t xml:space="preserve">وعُيّن </w:t>
      </w:r>
      <w:r w:rsidRPr="004F4109">
        <w:rPr>
          <w:rtl/>
        </w:rPr>
        <w:t>المكتب ال</w:t>
      </w:r>
      <w:r>
        <w:rPr>
          <w:rtl/>
        </w:rPr>
        <w:t>أوروبي للبراءات مشرفا</w:t>
      </w:r>
      <w:r w:rsidR="00A34A11">
        <w:rPr>
          <w:rFonts w:hint="cs"/>
          <w:rtl/>
        </w:rPr>
        <w:t>ً</w:t>
      </w:r>
      <w:r>
        <w:rPr>
          <w:rtl/>
        </w:rPr>
        <w:t xml:space="preserve"> على </w:t>
      </w:r>
      <w:r>
        <w:rPr>
          <w:rFonts w:hint="cs"/>
          <w:rtl/>
        </w:rPr>
        <w:t>فرقة العمل واعتُمد معيار الويب</w:t>
      </w:r>
      <w:r w:rsidR="003A64B2">
        <w:rPr>
          <w:rFonts w:hint="cs"/>
          <w:rtl/>
        </w:rPr>
        <w:t>و</w:t>
      </w:r>
      <w:r>
        <w:rPr>
          <w:rFonts w:hint="cs"/>
          <w:rtl/>
        </w:rPr>
        <w:t xml:space="preserve"> الجديد الذي سُمّي المعيار</w:t>
      </w:r>
      <w:r w:rsidRPr="004F4109">
        <w:t xml:space="preserve"> </w:t>
      </w:r>
      <w:r w:rsidRPr="00945712">
        <w:t>ST.26</w:t>
      </w:r>
      <w:r w:rsidR="003A64B2">
        <w:rPr>
          <w:rFonts w:hint="cs"/>
          <w:rtl/>
        </w:rPr>
        <w:t>رسمياً في ال</w:t>
      </w:r>
      <w:r w:rsidR="003A64B2" w:rsidRPr="00CB2041">
        <w:rPr>
          <w:rtl/>
        </w:rPr>
        <w:t>دور</w:t>
      </w:r>
      <w:r w:rsidR="003A64B2">
        <w:rPr>
          <w:rFonts w:hint="cs"/>
          <w:rtl/>
        </w:rPr>
        <w:t xml:space="preserve">ة </w:t>
      </w:r>
      <w:r w:rsidR="003A64B2" w:rsidRPr="00CB2041">
        <w:rPr>
          <w:rtl/>
        </w:rPr>
        <w:t>الراب</w:t>
      </w:r>
      <w:r w:rsidR="003A64B2">
        <w:rPr>
          <w:rtl/>
        </w:rPr>
        <w:t xml:space="preserve">عة </w:t>
      </w:r>
      <w:r w:rsidR="003A64B2">
        <w:rPr>
          <w:rFonts w:hint="cs"/>
          <w:rtl/>
        </w:rPr>
        <w:t>للجنة المعايير</w:t>
      </w:r>
      <w:r w:rsidR="003A64B2" w:rsidRPr="00CB2041">
        <w:rPr>
          <w:rtl/>
        </w:rPr>
        <w:t xml:space="preserve"> </w:t>
      </w:r>
      <w:r w:rsidR="003A64B2">
        <w:rPr>
          <w:rtl/>
        </w:rPr>
        <w:t xml:space="preserve">المجتمعة مجدّدا </w:t>
      </w:r>
      <w:r w:rsidR="003A64B2">
        <w:rPr>
          <w:rFonts w:hint="cs"/>
          <w:rtl/>
        </w:rPr>
        <w:t>(</w:t>
      </w:r>
      <w:r w:rsidR="003A64B2" w:rsidRPr="00F5484A">
        <w:t>CWS/4BIS</w:t>
      </w:r>
      <w:r w:rsidR="003A64B2">
        <w:rPr>
          <w:rFonts w:hint="cs"/>
          <w:rtl/>
        </w:rPr>
        <w:t xml:space="preserve">) </w:t>
      </w:r>
      <w:r w:rsidR="003A64B2">
        <w:rPr>
          <w:rtl/>
        </w:rPr>
        <w:t>في مارس 2016</w:t>
      </w:r>
      <w:r w:rsidR="003A64B2">
        <w:rPr>
          <w:rFonts w:hint="cs"/>
          <w:rtl/>
        </w:rPr>
        <w:t xml:space="preserve">. </w:t>
      </w:r>
    </w:p>
    <w:p w:rsidR="0028362E" w:rsidRDefault="0028362E" w:rsidP="0028362E">
      <w:pPr>
        <w:pStyle w:val="NumberedParaAR"/>
      </w:pPr>
      <w:r>
        <w:rPr>
          <w:rFonts w:hint="cs"/>
          <w:rtl/>
        </w:rPr>
        <w:t xml:space="preserve">ووافقت لجنة المعايير في دورتها </w:t>
      </w:r>
      <w:r w:rsidRPr="00CB2041">
        <w:rPr>
          <w:rtl/>
        </w:rPr>
        <w:t>الراب</w:t>
      </w:r>
      <w:r>
        <w:rPr>
          <w:rtl/>
        </w:rPr>
        <w:t>عة المجتمعة مجدّدا</w:t>
      </w:r>
      <w:r>
        <w:rPr>
          <w:rFonts w:hint="cs"/>
          <w:rtl/>
        </w:rPr>
        <w:t xml:space="preserve"> (من 21 إلى 24 مارس 2016) على وصف معدّل للمهمة 44 التي أضحى نصها كالآتي: </w:t>
      </w:r>
    </w:p>
    <w:p w:rsidR="0028362E" w:rsidRDefault="0028362E" w:rsidP="002D5BE5">
      <w:pPr>
        <w:pStyle w:val="NumberedParaAR"/>
        <w:numPr>
          <w:ilvl w:val="0"/>
          <w:numId w:val="0"/>
        </w:numPr>
        <w:ind w:left="566"/>
        <w:rPr>
          <w:rtl/>
        </w:rPr>
      </w:pPr>
      <w:r>
        <w:rPr>
          <w:rFonts w:hint="cs"/>
          <w:rtl/>
        </w:rPr>
        <w:t>"</w:t>
      </w:r>
      <w:r w:rsidR="0014624A" w:rsidRPr="0014624A">
        <w:rPr>
          <w:rtl/>
        </w:rPr>
        <w:t xml:space="preserve"> إعداد توصيات بشأن أحكام الانتقال من معيار الويبو </w:t>
      </w:r>
      <w:r w:rsidR="0014624A" w:rsidRPr="0014624A">
        <w:t>ST.25</w:t>
      </w:r>
      <w:r w:rsidR="0014624A" w:rsidRPr="0014624A">
        <w:rPr>
          <w:rtl/>
        </w:rPr>
        <w:t xml:space="preserve"> إلى معيار الويبو </w:t>
      </w:r>
      <w:r w:rsidR="0014624A" w:rsidRPr="0014624A">
        <w:t>ST.26</w:t>
      </w:r>
      <w:r w:rsidR="0014624A" w:rsidRPr="0014624A">
        <w:rPr>
          <w:rtl/>
        </w:rPr>
        <w:t xml:space="preserve">، واقتراح لمراجعة معيار الويبو </w:t>
      </w:r>
      <w:r w:rsidR="0014624A" w:rsidRPr="0014624A">
        <w:t>ST.26</w:t>
      </w:r>
      <w:r w:rsidR="002D5BE5">
        <w:rPr>
          <w:rtl/>
        </w:rPr>
        <w:t>،</w:t>
      </w:r>
      <w:r w:rsidR="002D5BE5">
        <w:rPr>
          <w:rFonts w:hint="cs"/>
          <w:rtl/>
        </w:rPr>
        <w:t xml:space="preserve"> </w:t>
      </w:r>
      <w:r w:rsidR="007B7483" w:rsidRPr="002D5BE5">
        <w:rPr>
          <w:rFonts w:hint="cs"/>
          <w:rtl/>
        </w:rPr>
        <w:t>إذا لزم الأمر</w:t>
      </w:r>
      <w:r w:rsidR="0014624A" w:rsidRPr="002D5BE5">
        <w:rPr>
          <w:rtl/>
        </w:rPr>
        <w:t>."</w:t>
      </w:r>
    </w:p>
    <w:p w:rsidR="002704E6" w:rsidRPr="002704E6" w:rsidRDefault="002704E6" w:rsidP="00F211F9">
      <w:pPr>
        <w:pStyle w:val="NumberedParaAR"/>
        <w:numPr>
          <w:ilvl w:val="0"/>
          <w:numId w:val="0"/>
        </w:numPr>
        <w:spacing w:after="120"/>
        <w:rPr>
          <w:sz w:val="40"/>
          <w:szCs w:val="40"/>
        </w:rPr>
      </w:pPr>
      <w:r w:rsidRPr="002704E6">
        <w:rPr>
          <w:rFonts w:hint="cs"/>
          <w:sz w:val="40"/>
          <w:szCs w:val="40"/>
          <w:rtl/>
        </w:rPr>
        <w:t xml:space="preserve">تقرير مرحلي </w:t>
      </w:r>
    </w:p>
    <w:p w:rsidR="002704E6" w:rsidRDefault="002704E6" w:rsidP="0072367E">
      <w:pPr>
        <w:pStyle w:val="NumberedParaAR"/>
      </w:pPr>
      <w:r w:rsidRPr="002704E6">
        <w:rPr>
          <w:rtl/>
        </w:rPr>
        <w:t xml:space="preserve">عقب اعتماد معيار الويبو </w:t>
      </w:r>
      <w:r w:rsidRPr="002704E6">
        <w:t>ST.26</w:t>
      </w:r>
      <w:r w:rsidRPr="002704E6">
        <w:rPr>
          <w:rtl/>
        </w:rPr>
        <w:t xml:space="preserve"> في الدورة الرابعة </w:t>
      </w:r>
      <w:r w:rsidR="00DF3D16">
        <w:rPr>
          <w:rtl/>
        </w:rPr>
        <w:t>المجتمعة مجدّدا</w:t>
      </w:r>
      <w:r w:rsidR="00DF3D16">
        <w:rPr>
          <w:rFonts w:hint="cs"/>
          <w:rtl/>
        </w:rPr>
        <w:t xml:space="preserve"> </w:t>
      </w:r>
      <w:r w:rsidRPr="002704E6">
        <w:rPr>
          <w:rtl/>
        </w:rPr>
        <w:t>للجنة</w:t>
      </w:r>
      <w:r w:rsidR="00091D72">
        <w:rPr>
          <w:rFonts w:hint="cs"/>
          <w:rtl/>
        </w:rPr>
        <w:t xml:space="preserve"> المعايير</w:t>
      </w:r>
      <w:r w:rsidRPr="002704E6">
        <w:rPr>
          <w:rtl/>
        </w:rPr>
        <w:t>، عقدت فرقة العمل جولتين من المناقشات</w:t>
      </w:r>
      <w:r>
        <w:rPr>
          <w:rFonts w:hint="cs"/>
          <w:rtl/>
        </w:rPr>
        <w:t xml:space="preserve">. </w:t>
      </w:r>
      <w:r w:rsidRPr="002704E6">
        <w:rPr>
          <w:rtl/>
        </w:rPr>
        <w:t xml:space="preserve">وركزت الجولة 8 على كيفية تحسين المعيار المعتمد لضمان فعاليته فور تنفيذه، </w:t>
      </w:r>
      <w:r>
        <w:rPr>
          <w:rFonts w:hint="cs"/>
          <w:rtl/>
        </w:rPr>
        <w:t>في حين ركّزت</w:t>
      </w:r>
      <w:r w:rsidRPr="002704E6">
        <w:rPr>
          <w:rtl/>
        </w:rPr>
        <w:t xml:space="preserve"> الجولة 9 على شؤون الانتقال (من </w:t>
      </w:r>
      <w:r w:rsidRPr="002704E6">
        <w:t>ST.25</w:t>
      </w:r>
      <w:r w:rsidRPr="002704E6">
        <w:rPr>
          <w:rtl/>
        </w:rPr>
        <w:t xml:space="preserve"> إلى </w:t>
      </w:r>
      <w:r w:rsidRPr="002704E6">
        <w:t>ST.26</w:t>
      </w:r>
      <w:r>
        <w:rPr>
          <w:rtl/>
        </w:rPr>
        <w:t>)</w:t>
      </w:r>
      <w:r>
        <w:rPr>
          <w:rFonts w:hint="cs"/>
          <w:rtl/>
        </w:rPr>
        <w:t>.</w:t>
      </w:r>
      <w:r w:rsidR="00864FA9">
        <w:rPr>
          <w:rFonts w:hint="cs"/>
          <w:rtl/>
        </w:rPr>
        <w:t xml:space="preserve"> ونظّمت فرقة العمل خلال هذه الفترة عدة اجتماعات عن بُعد (</w:t>
      </w:r>
      <w:r w:rsidR="00864FA9">
        <w:rPr>
          <w:lang w:bidi="ar-EG"/>
        </w:rPr>
        <w:t>WebEx</w:t>
      </w:r>
      <w:r w:rsidR="00864FA9">
        <w:rPr>
          <w:rFonts w:hint="cs"/>
          <w:rtl/>
        </w:rPr>
        <w:t>) واجتماعين غير رسميين في جنيف (في 23 مارس وفي 9 سبتمبر 2016).</w:t>
      </w:r>
      <w:r>
        <w:rPr>
          <w:rFonts w:hint="cs"/>
          <w:rtl/>
        </w:rPr>
        <w:t xml:space="preserve"> </w:t>
      </w:r>
    </w:p>
    <w:p w:rsidR="00387D8B" w:rsidRDefault="00387D8B" w:rsidP="002843BE">
      <w:pPr>
        <w:pStyle w:val="NumberedParaAR"/>
      </w:pPr>
      <w:r w:rsidRPr="00387D8B">
        <w:rPr>
          <w:rtl/>
        </w:rPr>
        <w:t xml:space="preserve">وعملت فرقة العمل بشكل خاص على مراجعة المعيار المعتمد </w:t>
      </w:r>
      <w:r w:rsidRPr="00387D8B">
        <w:t>ST.26</w:t>
      </w:r>
      <w:r w:rsidRPr="00387D8B">
        <w:rPr>
          <w:rtl/>
        </w:rPr>
        <w:t xml:space="preserve"> بغية تيسير تنفيذه من قبل المودعين والمكاتب.</w:t>
      </w:r>
      <w:r>
        <w:rPr>
          <w:rFonts w:hint="cs"/>
          <w:rtl/>
        </w:rPr>
        <w:t xml:space="preserve"> </w:t>
      </w:r>
      <w:r w:rsidRPr="00387D8B">
        <w:rPr>
          <w:rtl/>
        </w:rPr>
        <w:t xml:space="preserve">ويشمل المعيار </w:t>
      </w:r>
      <w:r w:rsidR="00190B3C">
        <w:rPr>
          <w:rFonts w:hint="cs"/>
          <w:rtl/>
        </w:rPr>
        <w:t>المراجع</w:t>
      </w:r>
      <w:r w:rsidRPr="00387D8B">
        <w:rPr>
          <w:rtl/>
        </w:rPr>
        <w:t xml:space="preserve"> </w:t>
      </w:r>
      <w:r w:rsidRPr="00387D8B">
        <w:t>ST.26</w:t>
      </w:r>
      <w:r w:rsidRPr="00387D8B">
        <w:rPr>
          <w:rtl/>
        </w:rPr>
        <w:t xml:space="preserve"> </w:t>
      </w:r>
      <w:r w:rsidR="002843BE">
        <w:rPr>
          <w:rFonts w:hint="cs"/>
          <w:rtl/>
        </w:rPr>
        <w:t>الم</w:t>
      </w:r>
      <w:r w:rsidRPr="00387D8B">
        <w:rPr>
          <w:rtl/>
        </w:rPr>
        <w:t xml:space="preserve">قُدم للجنة </w:t>
      </w:r>
      <w:r w:rsidR="0072367E">
        <w:rPr>
          <w:rFonts w:hint="cs"/>
          <w:rtl/>
        </w:rPr>
        <w:t xml:space="preserve">المعايير </w:t>
      </w:r>
      <w:r w:rsidRPr="00387D8B">
        <w:rPr>
          <w:rtl/>
        </w:rPr>
        <w:t>في دورتها الخامسة لاعتماده، التغييرات الأساسية التالية:</w:t>
      </w:r>
      <w:r w:rsidRPr="00387D8B">
        <w:rPr>
          <w:rFonts w:hint="cs"/>
          <w:rtl/>
        </w:rPr>
        <w:t xml:space="preserve"> </w:t>
      </w:r>
    </w:p>
    <w:p w:rsidR="00387D8B" w:rsidRDefault="00387D8B" w:rsidP="00B95452">
      <w:pPr>
        <w:pStyle w:val="NumberedParaAR"/>
        <w:numPr>
          <w:ilvl w:val="0"/>
          <w:numId w:val="25"/>
        </w:numPr>
        <w:ind w:left="992" w:hanging="425"/>
      </w:pPr>
      <w:r>
        <w:rPr>
          <w:rtl/>
        </w:rPr>
        <w:t>توضيح حوامض البيبتايد النووية والتسلسلات المتنوعة داخل المعيار؛</w:t>
      </w:r>
    </w:p>
    <w:p w:rsidR="00387D8B" w:rsidRDefault="00387D8B" w:rsidP="00B95452">
      <w:pPr>
        <w:pStyle w:val="NumberedParaAR"/>
        <w:numPr>
          <w:ilvl w:val="0"/>
          <w:numId w:val="25"/>
        </w:numPr>
        <w:ind w:left="992" w:hanging="425"/>
      </w:pPr>
      <w:r>
        <w:rPr>
          <w:rtl/>
        </w:rPr>
        <w:t>إ</w:t>
      </w:r>
      <w:r>
        <w:rPr>
          <w:rFonts w:hint="cs"/>
          <w:rtl/>
        </w:rPr>
        <w:t>دراج</w:t>
      </w:r>
      <w:r>
        <w:rPr>
          <w:rtl/>
        </w:rPr>
        <w:t xml:space="preserve"> وثيقة </w:t>
      </w:r>
      <w:r>
        <w:rPr>
          <w:rFonts w:hint="cs"/>
          <w:rtl/>
        </w:rPr>
        <w:t>إرشادية</w:t>
      </w:r>
      <w:r>
        <w:rPr>
          <w:rtl/>
        </w:rPr>
        <w:t xml:space="preserve"> (المرفق السادس) لتيسير توحيد الممارسة والتفسير فيما بين المكاتب والمودعين؛</w:t>
      </w:r>
    </w:p>
    <w:p w:rsidR="00387D8B" w:rsidRDefault="00387D8B" w:rsidP="00B95452">
      <w:pPr>
        <w:pStyle w:val="NumberedParaAR"/>
        <w:numPr>
          <w:ilvl w:val="0"/>
          <w:numId w:val="25"/>
        </w:numPr>
        <w:ind w:left="992" w:hanging="425"/>
      </w:pPr>
      <w:r>
        <w:rPr>
          <w:rtl/>
        </w:rPr>
        <w:t xml:space="preserve">تحديث المرفق الأول ـ المفردات الخاضعة للمراقبة والمتسقة مع جدول السمات </w:t>
      </w:r>
      <w:r>
        <w:t>V.10.6</w:t>
      </w:r>
      <w:r>
        <w:rPr>
          <w:rtl/>
        </w:rPr>
        <w:t xml:space="preserve"> بقاعدة البيانات الدولية لتسلسل النوويدات (</w:t>
      </w:r>
      <w:r>
        <w:t>INSDC</w:t>
      </w:r>
      <w:r>
        <w:rPr>
          <w:rtl/>
        </w:rPr>
        <w:t>) الصادر في نوفمبر 2016؛</w:t>
      </w:r>
    </w:p>
    <w:p w:rsidR="00387D8B" w:rsidRDefault="00387D8B" w:rsidP="00B95452">
      <w:pPr>
        <w:pStyle w:val="NumberedParaAR"/>
        <w:numPr>
          <w:ilvl w:val="0"/>
          <w:numId w:val="25"/>
        </w:numPr>
        <w:ind w:left="992" w:hanging="425"/>
      </w:pPr>
      <w:r>
        <w:rPr>
          <w:rtl/>
        </w:rPr>
        <w:lastRenderedPageBreak/>
        <w:t xml:space="preserve">إضافة تعليقات أو إعادة صياغتها داخل المرفق الثاني (تعريف أنواع الوثائق) لضمان التوضيح والاتساق مع </w:t>
      </w:r>
      <w:r>
        <w:t>INSDC DTD v1.5</w:t>
      </w:r>
      <w:r>
        <w:rPr>
          <w:rtl/>
        </w:rPr>
        <w:t>.</w:t>
      </w:r>
    </w:p>
    <w:p w:rsidR="00387D8B" w:rsidRDefault="00387D8B" w:rsidP="00B95452">
      <w:pPr>
        <w:pStyle w:val="NumberedParaAR"/>
        <w:numPr>
          <w:ilvl w:val="0"/>
          <w:numId w:val="25"/>
        </w:numPr>
        <w:ind w:left="992" w:hanging="425"/>
      </w:pPr>
      <w:r>
        <w:rPr>
          <w:rtl/>
        </w:rPr>
        <w:t>تحسين نص المعيار بوجه عام استنادا إلى المناقشات العامة التي أجراها المكتب الأوروبي للبراءات ومكتب براءات اليابان ومكتب الولايات المتحدة للبراءات والعلامات في</w:t>
      </w:r>
      <w:r w:rsidR="00FC2726">
        <w:rPr>
          <w:rFonts w:hint="cs"/>
          <w:rtl/>
        </w:rPr>
        <w:t xml:space="preserve"> فترة</w:t>
      </w:r>
      <w:r w:rsidR="00FC2726">
        <w:rPr>
          <w:rtl/>
        </w:rPr>
        <w:t xml:space="preserve"> 2016</w:t>
      </w:r>
      <w:r w:rsidR="00FC2726">
        <w:rPr>
          <w:rFonts w:hint="cs"/>
          <w:rtl/>
        </w:rPr>
        <w:t>/</w:t>
      </w:r>
      <w:r>
        <w:rPr>
          <w:rtl/>
        </w:rPr>
        <w:t>2017.</w:t>
      </w:r>
    </w:p>
    <w:p w:rsidR="00387D8B" w:rsidRPr="00FE2AAC" w:rsidRDefault="00FE2AAC" w:rsidP="00EE391D">
      <w:pPr>
        <w:pStyle w:val="NumberedParaAR"/>
        <w:numPr>
          <w:ilvl w:val="0"/>
          <w:numId w:val="0"/>
        </w:numPr>
        <w:spacing w:after="120"/>
        <w:rPr>
          <w:sz w:val="40"/>
          <w:szCs w:val="40"/>
        </w:rPr>
      </w:pPr>
      <w:r w:rsidRPr="00FE2AAC">
        <w:rPr>
          <w:rFonts w:hint="cs"/>
          <w:sz w:val="40"/>
          <w:szCs w:val="40"/>
          <w:rtl/>
        </w:rPr>
        <w:t>خارطة الطريق</w:t>
      </w:r>
    </w:p>
    <w:p w:rsidR="005D011A" w:rsidRDefault="005D011A" w:rsidP="005D011A">
      <w:pPr>
        <w:pStyle w:val="NumberedParaAR"/>
      </w:pPr>
      <w:r>
        <w:rPr>
          <w:rtl/>
        </w:rPr>
        <w:t xml:space="preserve">الحصول على الموافقة على النصوص المعدلة أو المضافة بشأن المعيار </w:t>
      </w:r>
      <w:r>
        <w:t>ST.26</w:t>
      </w:r>
      <w:r>
        <w:rPr>
          <w:rtl/>
        </w:rPr>
        <w:t xml:space="preserve"> في الدورة الخامسة للجنة</w:t>
      </w:r>
      <w:r w:rsidR="008173D6">
        <w:rPr>
          <w:rFonts w:hint="cs"/>
          <w:rtl/>
        </w:rPr>
        <w:t xml:space="preserve"> المعايير</w:t>
      </w:r>
      <w:r>
        <w:rPr>
          <w:rtl/>
        </w:rPr>
        <w:t>.</w:t>
      </w:r>
    </w:p>
    <w:p w:rsidR="005D011A" w:rsidRDefault="005D011A" w:rsidP="005D011A">
      <w:pPr>
        <w:pStyle w:val="NumberedParaAR"/>
      </w:pPr>
      <w:r>
        <w:rPr>
          <w:rtl/>
        </w:rPr>
        <w:t xml:space="preserve">الحصول على الموافقة على "التوصيات بشأن أحكام الانتقال من معيار الويبو </w:t>
      </w:r>
      <w:r>
        <w:t>ST.25</w:t>
      </w:r>
      <w:r>
        <w:rPr>
          <w:rtl/>
        </w:rPr>
        <w:t xml:space="preserve"> إلى </w:t>
      </w:r>
      <w:r>
        <w:t>ST.26</w:t>
      </w:r>
      <w:r>
        <w:rPr>
          <w:rtl/>
        </w:rPr>
        <w:t>" في الدورة الخامسة للجنة</w:t>
      </w:r>
      <w:r w:rsidR="008173D6">
        <w:rPr>
          <w:rFonts w:hint="cs"/>
          <w:rtl/>
        </w:rPr>
        <w:t xml:space="preserve"> المعايير</w:t>
      </w:r>
      <w:r>
        <w:rPr>
          <w:rtl/>
        </w:rPr>
        <w:t>.</w:t>
      </w:r>
    </w:p>
    <w:p w:rsidR="005D011A" w:rsidRDefault="005D011A" w:rsidP="005D011A">
      <w:pPr>
        <w:pStyle w:val="NumberedParaAR"/>
      </w:pPr>
      <w:r>
        <w:rPr>
          <w:rtl/>
        </w:rPr>
        <w:t>دعم المكتب الدولي للويبو عن طريق توفير متطلبات المستخدمين وردودهم بشأن أداة الإصدار.</w:t>
      </w:r>
    </w:p>
    <w:p w:rsidR="00387D8B" w:rsidRDefault="005D011A" w:rsidP="005D011A">
      <w:pPr>
        <w:pStyle w:val="NumberedParaAR"/>
      </w:pPr>
      <w:r>
        <w:rPr>
          <w:rtl/>
        </w:rPr>
        <w:t>دعم المكتب الدولي للويبو لإجراء المراجعات اللازمة على التعليمات الإدارية لمعاهدة التعاون بشأن البراءات.</w:t>
      </w:r>
    </w:p>
    <w:p w:rsidR="005D011A" w:rsidRDefault="005D011A" w:rsidP="00816F5D">
      <w:pPr>
        <w:pStyle w:val="NumberedParaAR"/>
        <w:spacing w:after="0"/>
      </w:pPr>
      <w:r w:rsidRPr="005D011A">
        <w:rPr>
          <w:rtl/>
          <w:lang w:bidi="ar-EG"/>
        </w:rPr>
        <w:t xml:space="preserve">العمل على أي مراجعة مقبلة لمعيار الويبو </w:t>
      </w:r>
      <w:r w:rsidRPr="005D011A">
        <w:rPr>
          <w:lang w:bidi="ar-EG"/>
        </w:rPr>
        <w:t>ST.26</w:t>
      </w:r>
      <w:r w:rsidRPr="005D011A">
        <w:rPr>
          <w:rtl/>
          <w:lang w:bidi="ar-EG"/>
        </w:rPr>
        <w:t>.</w:t>
      </w:r>
      <w:r w:rsidR="008173D6" w:rsidRPr="008173D6">
        <w:rPr>
          <w:rtl/>
        </w:rPr>
        <w:t xml:space="preserve"> </w:t>
      </w:r>
      <w:r w:rsidR="008173D6" w:rsidRPr="008173D6">
        <w:rPr>
          <w:rtl/>
          <w:lang w:bidi="ar-EG"/>
        </w:rPr>
        <w:t>و</w:t>
      </w:r>
      <w:r w:rsidR="008173D6">
        <w:rPr>
          <w:rFonts w:hint="cs"/>
          <w:rtl/>
          <w:lang w:bidi="ar-EG"/>
        </w:rPr>
        <w:t xml:space="preserve">يُقترح </w:t>
      </w:r>
      <w:r w:rsidR="008173D6" w:rsidRPr="008173D6">
        <w:rPr>
          <w:rtl/>
          <w:lang w:bidi="ar-EG"/>
        </w:rPr>
        <w:t xml:space="preserve">أن تكون المراجعات المقبلة للمعيار قائمة على طلب من أعضاء لجنة المعايير </w:t>
      </w:r>
      <w:r w:rsidR="008173D6">
        <w:rPr>
          <w:rFonts w:hint="cs"/>
          <w:rtl/>
          <w:lang w:bidi="ar-EG"/>
        </w:rPr>
        <w:t>ل</w:t>
      </w:r>
      <w:r w:rsidR="00820DF0">
        <w:rPr>
          <w:rFonts w:hint="cs"/>
          <w:rtl/>
          <w:lang w:bidi="ar-EG"/>
        </w:rPr>
        <w:t>ا أن تتب</w:t>
      </w:r>
      <w:r w:rsidR="008173D6">
        <w:rPr>
          <w:rFonts w:hint="cs"/>
          <w:rtl/>
          <w:lang w:bidi="ar-EG"/>
        </w:rPr>
        <w:t xml:space="preserve">ع </w:t>
      </w:r>
      <w:r w:rsidR="008173D6" w:rsidRPr="008173D6">
        <w:rPr>
          <w:rtl/>
          <w:lang w:bidi="ar-EG"/>
        </w:rPr>
        <w:t>جدول</w:t>
      </w:r>
      <w:r w:rsidR="008173D6">
        <w:rPr>
          <w:rFonts w:hint="cs"/>
          <w:rtl/>
          <w:lang w:bidi="ar-EG"/>
        </w:rPr>
        <w:t>اً</w:t>
      </w:r>
      <w:r w:rsidR="008173D6" w:rsidRPr="008173D6">
        <w:rPr>
          <w:rtl/>
          <w:lang w:bidi="ar-EG"/>
        </w:rPr>
        <w:t xml:space="preserve"> زمني</w:t>
      </w:r>
      <w:r w:rsidR="008173D6">
        <w:rPr>
          <w:rFonts w:hint="cs"/>
          <w:rtl/>
          <w:lang w:bidi="ar-EG"/>
        </w:rPr>
        <w:t>اً</w:t>
      </w:r>
      <w:r w:rsidR="008173D6" w:rsidRPr="008173D6">
        <w:rPr>
          <w:rtl/>
          <w:lang w:bidi="ar-EG"/>
        </w:rPr>
        <w:t xml:space="preserve"> محدّد</w:t>
      </w:r>
      <w:r w:rsidR="008173D6">
        <w:rPr>
          <w:rFonts w:hint="cs"/>
          <w:rtl/>
          <w:lang w:bidi="ar-EG"/>
        </w:rPr>
        <w:t>اً</w:t>
      </w:r>
      <w:r w:rsidR="008173D6" w:rsidRPr="008173D6">
        <w:rPr>
          <w:rtl/>
          <w:lang w:bidi="ar-EG"/>
        </w:rPr>
        <w:t xml:space="preserve"> مسبقا</w:t>
      </w:r>
      <w:r w:rsidR="008173D6">
        <w:rPr>
          <w:rFonts w:hint="cs"/>
          <w:rtl/>
          <w:lang w:bidi="ar-EG"/>
        </w:rPr>
        <w:t xml:space="preserve">ً. </w:t>
      </w:r>
    </w:p>
    <w:p w:rsidR="006A0D86" w:rsidRDefault="006A0D86" w:rsidP="00816F5D">
      <w:pPr>
        <w:pStyle w:val="NumberedParaAR"/>
        <w:numPr>
          <w:ilvl w:val="0"/>
          <w:numId w:val="0"/>
        </w:numPr>
        <w:spacing w:after="0"/>
        <w:ind w:left="5527"/>
        <w:rPr>
          <w:lang w:val="fr-FR"/>
        </w:rPr>
      </w:pPr>
    </w:p>
    <w:p w:rsidR="00816F5D" w:rsidRPr="00816F5D" w:rsidRDefault="00816F5D" w:rsidP="00816F5D">
      <w:pPr>
        <w:pStyle w:val="NumberedParaAR"/>
        <w:numPr>
          <w:ilvl w:val="0"/>
          <w:numId w:val="0"/>
        </w:numPr>
        <w:spacing w:after="0"/>
        <w:ind w:left="5527"/>
        <w:rPr>
          <w:lang w:val="fr-FR"/>
        </w:rPr>
      </w:pPr>
    </w:p>
    <w:p w:rsidR="00B21887" w:rsidRPr="00816F5D" w:rsidRDefault="00946D25" w:rsidP="00816F5D">
      <w:pPr>
        <w:pStyle w:val="EndofDocumentAR"/>
        <w:spacing w:after="0"/>
        <w:ind w:left="5527"/>
        <w:rPr>
          <w:lang w:val="fr-FR"/>
        </w:rPr>
      </w:pPr>
      <w:r>
        <w:rPr>
          <w:rFonts w:hint="cs"/>
          <w:rtl/>
        </w:rPr>
        <w:t>[</w:t>
      </w:r>
      <w:r w:rsidR="00817AC6">
        <w:rPr>
          <w:rFonts w:hint="cs"/>
          <w:rtl/>
        </w:rPr>
        <w:t>يلي</w:t>
      </w:r>
      <w:r w:rsidR="00392818">
        <w:rPr>
          <w:rFonts w:hint="cs"/>
          <w:rtl/>
        </w:rPr>
        <w:t xml:space="preserve"> ذلك</w:t>
      </w:r>
      <w:r>
        <w:rPr>
          <w:rFonts w:hint="cs"/>
          <w:rtl/>
        </w:rPr>
        <w:t xml:space="preserve"> المرفق </w:t>
      </w:r>
      <w:r w:rsidR="00817AC6">
        <w:rPr>
          <w:rFonts w:hint="cs"/>
          <w:rtl/>
        </w:rPr>
        <w:t>الثاني</w:t>
      </w:r>
      <w:r>
        <w:rPr>
          <w:rFonts w:hint="cs"/>
          <w:rtl/>
        </w:rPr>
        <w:t>]</w:t>
      </w:r>
      <w:bookmarkStart w:id="2" w:name="_GoBack"/>
      <w:bookmarkEnd w:id="2"/>
    </w:p>
    <w:sectPr w:rsidR="00B21887" w:rsidRPr="00816F5D" w:rsidSect="00F27A7C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7E" w:rsidRDefault="00BB067E">
      <w:r>
        <w:separator/>
      </w:r>
    </w:p>
  </w:endnote>
  <w:endnote w:type="continuationSeparator" w:id="0">
    <w:p w:rsidR="00BB067E" w:rsidRDefault="00BB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7E" w:rsidRDefault="00BB067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B067E" w:rsidRDefault="00BB067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C2761A" w:rsidP="00EC08A5">
    <w:r>
      <w:t>CWS</w:t>
    </w:r>
    <w:r w:rsidR="00065ED1">
      <w:t>/</w:t>
    </w:r>
    <w:r>
      <w:t>5</w:t>
    </w:r>
    <w:r w:rsidR="002F77FC">
      <w:t>/</w:t>
    </w:r>
    <w:r w:rsidR="00EC08A5">
      <w:t>6</w:t>
    </w:r>
  </w:p>
  <w:p w:rsidR="00BB067E" w:rsidRDefault="00BB067E" w:rsidP="00EC08A5">
    <w:r>
      <w:t>Annex</w:t>
    </w:r>
    <w:r w:rsidR="00152AC0" w:rsidRPr="00152AC0">
      <w:t xml:space="preserve"> </w:t>
    </w:r>
    <w:r w:rsidR="00152AC0">
      <w:t>I</w:t>
    </w:r>
  </w:p>
  <w:p w:rsidR="002F77FC" w:rsidRDefault="00F27A7C" w:rsidP="00D61541">
    <w:pPr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816F5D">
      <w:rPr>
        <w:noProof/>
      </w:rPr>
      <w:t>2</w:t>
    </w:r>
    <w:r>
      <w:rPr>
        <w:noProof/>
      </w:rPr>
      <w:fldChar w:fldCharType="end"/>
    </w:r>
  </w:p>
  <w:p w:rsidR="005677B7" w:rsidRDefault="005677B7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7E" w:rsidRDefault="00BB067E" w:rsidP="00DF2B21">
    <w:r>
      <w:t>CWS/5/</w:t>
    </w:r>
    <w:r w:rsidR="00DF2B21">
      <w:t>6</w:t>
    </w:r>
  </w:p>
  <w:p w:rsidR="00BB067E" w:rsidRDefault="00BB067E" w:rsidP="00BB067E">
    <w:r>
      <w:t>ANNEX</w:t>
    </w:r>
    <w:r w:rsidR="00152AC0" w:rsidRPr="00152AC0">
      <w:t xml:space="preserve"> </w:t>
    </w:r>
    <w:r w:rsidR="00152AC0">
      <w:t>I</w:t>
    </w:r>
  </w:p>
  <w:p w:rsidR="00BB067E" w:rsidRDefault="00BB067E" w:rsidP="00946D25">
    <w:pPr>
      <w:rPr>
        <w:rFonts w:ascii="Arabic Typesetting" w:hAnsi="Arabic Typesetting" w:cs="Arabic Typesetting"/>
        <w:sz w:val="36"/>
        <w:szCs w:val="36"/>
        <w:lang w:val="fr-FR" w:bidi="ar-EG"/>
      </w:rPr>
    </w:pPr>
    <w:r w:rsidRPr="00BB067E">
      <w:rPr>
        <w:rFonts w:ascii="Arabic Typesetting" w:hAnsi="Arabic Typesetting" w:cs="Arabic Typesetting"/>
        <w:sz w:val="36"/>
        <w:szCs w:val="36"/>
        <w:rtl/>
        <w:lang w:bidi="ar-EG"/>
      </w:rPr>
      <w:t>المرفق</w:t>
    </w:r>
    <w:r w:rsidR="00152AC0">
      <w:rPr>
        <w:rFonts w:ascii="Arabic Typesetting" w:hAnsi="Arabic Typesetting" w:cs="Arabic Typesetting" w:hint="cs"/>
        <w:sz w:val="36"/>
        <w:szCs w:val="36"/>
        <w:rtl/>
        <w:lang w:bidi="ar-EG"/>
      </w:rPr>
      <w:t xml:space="preserve"> الأول</w:t>
    </w:r>
  </w:p>
  <w:p w:rsidR="00816F5D" w:rsidRPr="00816F5D" w:rsidRDefault="00816F5D" w:rsidP="00946D25">
    <w:pPr>
      <w:rPr>
        <w:rFonts w:ascii="Arabic Typesetting" w:hAnsi="Arabic Typesetting" w:cs="Arabic Typesetting"/>
        <w:sz w:val="36"/>
        <w:szCs w:val="36"/>
        <w:lang w:val="fr-FR"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D2C8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604E63"/>
    <w:multiLevelType w:val="hybridMultilevel"/>
    <w:tmpl w:val="04A8EF4A"/>
    <w:lvl w:ilvl="0" w:tplc="4C2EE992">
      <w:start w:val="1"/>
      <w:numFmt w:val="bullet"/>
      <w:lvlText w:val="–"/>
      <w:lvlJc w:val="left"/>
      <w:pPr>
        <w:ind w:left="720" w:hanging="360"/>
      </w:pPr>
      <w:rPr>
        <w:rFonts w:ascii="Arabic Typesetting" w:hAnsi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DAB6973"/>
    <w:multiLevelType w:val="hybridMultilevel"/>
    <w:tmpl w:val="E2289942"/>
    <w:lvl w:ilvl="0" w:tplc="8FC29FC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A5370"/>
    <w:multiLevelType w:val="hybridMultilevel"/>
    <w:tmpl w:val="158ACC10"/>
    <w:lvl w:ilvl="0" w:tplc="15384FCE">
      <w:start w:val="20"/>
      <w:numFmt w:val="bullet"/>
      <w:lvlText w:val=""/>
      <w:lvlJc w:val="left"/>
      <w:pPr>
        <w:ind w:left="1853" w:hanging="360"/>
      </w:pPr>
      <w:rPr>
        <w:rFonts w:ascii="Wingdings" w:eastAsia="Times New Roman" w:hAnsi="Wingdings" w:cs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8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1C28DF"/>
    <w:multiLevelType w:val="hybridMultilevel"/>
    <w:tmpl w:val="71762B76"/>
    <w:lvl w:ilvl="0" w:tplc="B558A7F2">
      <w:start w:val="1"/>
      <w:numFmt w:val="bullet"/>
      <w:lvlText w:val="-"/>
      <w:lvlJc w:val="left"/>
      <w:pPr>
        <w:ind w:left="1080" w:hanging="360"/>
      </w:pPr>
      <w:rPr>
        <w:rFonts w:ascii="Arabic Typesetting" w:hAnsi="Arabic Typesetting" w:hint="default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21"/>
  </w:num>
  <w:num w:numId="5">
    <w:abstractNumId w:val="8"/>
  </w:num>
  <w:num w:numId="6">
    <w:abstractNumId w:val="22"/>
  </w:num>
  <w:num w:numId="7">
    <w:abstractNumId w:val="13"/>
  </w:num>
  <w:num w:numId="8">
    <w:abstractNumId w:val="20"/>
  </w:num>
  <w:num w:numId="9">
    <w:abstractNumId w:val="18"/>
  </w:num>
  <w:num w:numId="10">
    <w:abstractNumId w:val="23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7"/>
  </w:num>
  <w:num w:numId="22">
    <w:abstractNumId w:val="12"/>
  </w:num>
  <w:num w:numId="23">
    <w:abstractNumId w:val="16"/>
  </w:num>
  <w:num w:numId="24">
    <w:abstractNumId w:val="19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7E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419"/>
    <w:rsid w:val="00063C91"/>
    <w:rsid w:val="000640E7"/>
    <w:rsid w:val="00065ED1"/>
    <w:rsid w:val="00066DC7"/>
    <w:rsid w:val="0006794A"/>
    <w:rsid w:val="00067F31"/>
    <w:rsid w:val="00071138"/>
    <w:rsid w:val="00071160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D72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CE8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6769"/>
    <w:rsid w:val="000C733A"/>
    <w:rsid w:val="000C76B0"/>
    <w:rsid w:val="000D0C07"/>
    <w:rsid w:val="000D0C7C"/>
    <w:rsid w:val="000D1A1D"/>
    <w:rsid w:val="000D5FB7"/>
    <w:rsid w:val="000E06A5"/>
    <w:rsid w:val="000E16EB"/>
    <w:rsid w:val="000E4718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07FC9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A05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4624A"/>
    <w:rsid w:val="0015009D"/>
    <w:rsid w:val="001519FB"/>
    <w:rsid w:val="00151B18"/>
    <w:rsid w:val="00151BF2"/>
    <w:rsid w:val="00151C68"/>
    <w:rsid w:val="001520DD"/>
    <w:rsid w:val="00152374"/>
    <w:rsid w:val="00152AC0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3C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D6B0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16DE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4E6"/>
    <w:rsid w:val="00232C51"/>
    <w:rsid w:val="00233414"/>
    <w:rsid w:val="00233D69"/>
    <w:rsid w:val="00234E82"/>
    <w:rsid w:val="00235C9D"/>
    <w:rsid w:val="00237419"/>
    <w:rsid w:val="002412D4"/>
    <w:rsid w:val="0024220D"/>
    <w:rsid w:val="00242BD3"/>
    <w:rsid w:val="00242C02"/>
    <w:rsid w:val="00243155"/>
    <w:rsid w:val="0024328E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4E6"/>
    <w:rsid w:val="00270E72"/>
    <w:rsid w:val="0027167E"/>
    <w:rsid w:val="00271786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362E"/>
    <w:rsid w:val="002843BE"/>
    <w:rsid w:val="0028491D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5B9"/>
    <w:rsid w:val="002C2B6F"/>
    <w:rsid w:val="002C2BC4"/>
    <w:rsid w:val="002C314F"/>
    <w:rsid w:val="002C4AD1"/>
    <w:rsid w:val="002C7D29"/>
    <w:rsid w:val="002D0298"/>
    <w:rsid w:val="002D1662"/>
    <w:rsid w:val="002D1DE5"/>
    <w:rsid w:val="002D323E"/>
    <w:rsid w:val="002D3506"/>
    <w:rsid w:val="002D3670"/>
    <w:rsid w:val="002D4807"/>
    <w:rsid w:val="002D5265"/>
    <w:rsid w:val="002D5BE5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2F7FE5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2FA2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4F68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87D8B"/>
    <w:rsid w:val="00390FC0"/>
    <w:rsid w:val="003911B2"/>
    <w:rsid w:val="00391AFE"/>
    <w:rsid w:val="00392705"/>
    <w:rsid w:val="00392818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64B2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186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3178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434A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109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2792E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A75"/>
    <w:rsid w:val="00555631"/>
    <w:rsid w:val="0055621D"/>
    <w:rsid w:val="0055764D"/>
    <w:rsid w:val="005608FE"/>
    <w:rsid w:val="00560C6A"/>
    <w:rsid w:val="00560F85"/>
    <w:rsid w:val="005610A0"/>
    <w:rsid w:val="0056248F"/>
    <w:rsid w:val="00564985"/>
    <w:rsid w:val="00565379"/>
    <w:rsid w:val="005674C3"/>
    <w:rsid w:val="005677B7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11A"/>
    <w:rsid w:val="005D0AE3"/>
    <w:rsid w:val="005D1103"/>
    <w:rsid w:val="005D276D"/>
    <w:rsid w:val="005D5912"/>
    <w:rsid w:val="005D5FF0"/>
    <w:rsid w:val="005D794C"/>
    <w:rsid w:val="005D7A9F"/>
    <w:rsid w:val="005D7AA2"/>
    <w:rsid w:val="005E2154"/>
    <w:rsid w:val="005E2FC7"/>
    <w:rsid w:val="005E37B9"/>
    <w:rsid w:val="005E3F84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079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6740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18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5C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0D86"/>
    <w:rsid w:val="006A20FB"/>
    <w:rsid w:val="006A339D"/>
    <w:rsid w:val="006A4462"/>
    <w:rsid w:val="006A5B59"/>
    <w:rsid w:val="006A6A14"/>
    <w:rsid w:val="006A753A"/>
    <w:rsid w:val="006A777C"/>
    <w:rsid w:val="006A7B70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00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31AA"/>
    <w:rsid w:val="006D6E46"/>
    <w:rsid w:val="006D7FA8"/>
    <w:rsid w:val="006E2F98"/>
    <w:rsid w:val="006E3DBD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5B1"/>
    <w:rsid w:val="00720860"/>
    <w:rsid w:val="00721087"/>
    <w:rsid w:val="00721530"/>
    <w:rsid w:val="007226AD"/>
    <w:rsid w:val="00723422"/>
    <w:rsid w:val="0072367E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4A41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6331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B7F"/>
    <w:rsid w:val="00776F15"/>
    <w:rsid w:val="007779ED"/>
    <w:rsid w:val="00780B1A"/>
    <w:rsid w:val="007810D3"/>
    <w:rsid w:val="0078264A"/>
    <w:rsid w:val="007828FF"/>
    <w:rsid w:val="0078307C"/>
    <w:rsid w:val="00783D11"/>
    <w:rsid w:val="00785E46"/>
    <w:rsid w:val="00787917"/>
    <w:rsid w:val="00791489"/>
    <w:rsid w:val="007915BE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7483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68B0"/>
    <w:rsid w:val="00816F5D"/>
    <w:rsid w:val="008173D6"/>
    <w:rsid w:val="008174D1"/>
    <w:rsid w:val="008178B2"/>
    <w:rsid w:val="00817AC6"/>
    <w:rsid w:val="00820DF0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64FA9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5C87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734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06D0C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6D25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762"/>
    <w:rsid w:val="0096587A"/>
    <w:rsid w:val="009666E7"/>
    <w:rsid w:val="00967278"/>
    <w:rsid w:val="00971568"/>
    <w:rsid w:val="00971929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8CF"/>
    <w:rsid w:val="009B3A61"/>
    <w:rsid w:val="009B528E"/>
    <w:rsid w:val="009B54FE"/>
    <w:rsid w:val="009B6F85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0E1D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5FBD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597"/>
    <w:rsid w:val="00A0042C"/>
    <w:rsid w:val="00A00495"/>
    <w:rsid w:val="00A01925"/>
    <w:rsid w:val="00A01DEB"/>
    <w:rsid w:val="00A0624A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A11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45F"/>
    <w:rsid w:val="00A46A1E"/>
    <w:rsid w:val="00A50595"/>
    <w:rsid w:val="00A5070F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646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2B0D"/>
    <w:rsid w:val="00AE473C"/>
    <w:rsid w:val="00AE4ACF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B79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1756D"/>
    <w:rsid w:val="00B2028C"/>
    <w:rsid w:val="00B21771"/>
    <w:rsid w:val="00B21887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19D"/>
    <w:rsid w:val="00B362D9"/>
    <w:rsid w:val="00B36B99"/>
    <w:rsid w:val="00B36D20"/>
    <w:rsid w:val="00B36F67"/>
    <w:rsid w:val="00B40633"/>
    <w:rsid w:val="00B406D6"/>
    <w:rsid w:val="00B44049"/>
    <w:rsid w:val="00B44318"/>
    <w:rsid w:val="00B4444B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1D8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41EC"/>
    <w:rsid w:val="00B851D5"/>
    <w:rsid w:val="00B85B06"/>
    <w:rsid w:val="00B90558"/>
    <w:rsid w:val="00B92958"/>
    <w:rsid w:val="00B929F0"/>
    <w:rsid w:val="00B93957"/>
    <w:rsid w:val="00B9404A"/>
    <w:rsid w:val="00B94877"/>
    <w:rsid w:val="00B9491F"/>
    <w:rsid w:val="00B95452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067E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4CDF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2761A"/>
    <w:rsid w:val="00C32151"/>
    <w:rsid w:val="00C3217A"/>
    <w:rsid w:val="00C33551"/>
    <w:rsid w:val="00C3357D"/>
    <w:rsid w:val="00C33BE9"/>
    <w:rsid w:val="00C33C13"/>
    <w:rsid w:val="00C34099"/>
    <w:rsid w:val="00C348C7"/>
    <w:rsid w:val="00C35B2A"/>
    <w:rsid w:val="00C36742"/>
    <w:rsid w:val="00C3709C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643"/>
    <w:rsid w:val="00C57ED3"/>
    <w:rsid w:val="00C61640"/>
    <w:rsid w:val="00C61AA7"/>
    <w:rsid w:val="00C61B8E"/>
    <w:rsid w:val="00C629D0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0BB"/>
    <w:rsid w:val="00CA0980"/>
    <w:rsid w:val="00CA2A98"/>
    <w:rsid w:val="00CA2BAE"/>
    <w:rsid w:val="00CA34BA"/>
    <w:rsid w:val="00CA4503"/>
    <w:rsid w:val="00CA5A66"/>
    <w:rsid w:val="00CA651B"/>
    <w:rsid w:val="00CA796A"/>
    <w:rsid w:val="00CB1C22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5E0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9DF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4C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AAE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0BD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B21"/>
    <w:rsid w:val="00DF2EB0"/>
    <w:rsid w:val="00DF31C1"/>
    <w:rsid w:val="00DF3D16"/>
    <w:rsid w:val="00DF427A"/>
    <w:rsid w:val="00DF45C5"/>
    <w:rsid w:val="00DF5A8C"/>
    <w:rsid w:val="00DF71D8"/>
    <w:rsid w:val="00E00CCA"/>
    <w:rsid w:val="00E01623"/>
    <w:rsid w:val="00E01E9F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4958"/>
    <w:rsid w:val="00E2512D"/>
    <w:rsid w:val="00E2548C"/>
    <w:rsid w:val="00E2662B"/>
    <w:rsid w:val="00E26691"/>
    <w:rsid w:val="00E26736"/>
    <w:rsid w:val="00E268AC"/>
    <w:rsid w:val="00E27986"/>
    <w:rsid w:val="00E27D23"/>
    <w:rsid w:val="00E30A8A"/>
    <w:rsid w:val="00E31BC7"/>
    <w:rsid w:val="00E31E7F"/>
    <w:rsid w:val="00E34E4E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170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9739F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4EB"/>
    <w:rsid w:val="00EC0725"/>
    <w:rsid w:val="00EC0889"/>
    <w:rsid w:val="00EC08A5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511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91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106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1F9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27A7C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68A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7A8"/>
    <w:rsid w:val="00F91DA4"/>
    <w:rsid w:val="00F92728"/>
    <w:rsid w:val="00F937AF"/>
    <w:rsid w:val="00F94494"/>
    <w:rsid w:val="00F95795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2726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2AAC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AAE"/>
    <w:rPr>
      <w:rFonts w:ascii="Arial" w:hAnsi="Arial" w:cs="Arial"/>
      <w:sz w:val="22"/>
    </w:rPr>
  </w:style>
  <w:style w:type="paragraph" w:styleId="Heading1">
    <w:name w:val="heading 1"/>
    <w:basedOn w:val="Normal"/>
    <w:next w:val="NormalParaAR"/>
    <w:qFormat/>
    <w:rsid w:val="00DB3AAE"/>
    <w:pPr>
      <w:keepNext/>
      <w:bidi/>
      <w:spacing w:before="240" w:after="240" w:line="400" w:lineRule="exact"/>
      <w:outlineLvl w:val="0"/>
    </w:pPr>
    <w:rPr>
      <w:rFonts w:ascii="Arabic Typesetting" w:hAnsi="Arabic Typesetting" w:cs="Arabic Typesetting"/>
      <w:bCs/>
      <w:sz w:val="40"/>
      <w:szCs w:val="40"/>
      <w:lang w:val="fr-CH"/>
    </w:rPr>
  </w:style>
  <w:style w:type="paragraph" w:styleId="Heading2">
    <w:name w:val="heading 2"/>
    <w:basedOn w:val="Normal"/>
    <w:next w:val="NormalParaAR"/>
    <w:qFormat/>
    <w:rsid w:val="00DB3AAE"/>
    <w:pPr>
      <w:keepNext/>
      <w:bidi/>
      <w:spacing w:before="240" w:after="240" w:line="400" w:lineRule="exact"/>
      <w:outlineLvl w:val="1"/>
    </w:pPr>
    <w:rPr>
      <w:rFonts w:ascii="Arabic Typesetting" w:hAnsi="Arabic Typesetting" w:cs="Arabic Typesetting"/>
      <w:sz w:val="40"/>
      <w:szCs w:val="40"/>
      <w:lang w:val="fr-CH"/>
    </w:rPr>
  </w:style>
  <w:style w:type="paragraph" w:styleId="Heading3">
    <w:name w:val="heading 3"/>
    <w:basedOn w:val="Normal"/>
    <w:next w:val="NormalParaAR"/>
    <w:qFormat/>
    <w:rsid w:val="00DB3AAE"/>
    <w:pPr>
      <w:keepNext/>
      <w:bidi/>
      <w:spacing w:before="120" w:after="240" w:line="360" w:lineRule="exact"/>
      <w:outlineLvl w:val="2"/>
    </w:pPr>
    <w:rPr>
      <w:rFonts w:ascii="Arabic Typesetting" w:hAnsi="Arabic Typesetting" w:cs="Arabic Typesetting"/>
      <w:sz w:val="36"/>
      <w:szCs w:val="36"/>
      <w:u w:val="single"/>
      <w:lang w:val="fr-CH"/>
    </w:rPr>
  </w:style>
  <w:style w:type="paragraph" w:styleId="Heading4">
    <w:name w:val="heading 4"/>
    <w:basedOn w:val="Normal"/>
    <w:next w:val="NormalParaAR"/>
    <w:qFormat/>
    <w:rsid w:val="00DB3AAE"/>
    <w:pPr>
      <w:keepNext/>
      <w:bidi/>
      <w:spacing w:before="120" w:after="240" w:line="360" w:lineRule="exact"/>
      <w:outlineLvl w:val="3"/>
    </w:pPr>
    <w:rPr>
      <w:rFonts w:ascii="Arabic Typesetting" w:hAnsi="Arabic Typesetting" w:cs="Arabic Typesetting"/>
      <w:iCs/>
      <w:sz w:val="36"/>
      <w:szCs w:val="36"/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styleId="BalloonText">
    <w:name w:val="Balloon Text"/>
    <w:basedOn w:val="Normal"/>
    <w:link w:val="BalloonTextChar"/>
    <w:rsid w:val="000E47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4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WS_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CWS_5_AR</Template>
  <TotalTime>1</TotalTime>
  <Pages>2</Pages>
  <Words>488</Words>
  <Characters>2595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CWS/5/-- (Arabic)</vt:lpstr>
    </vt:vector>
  </TitlesOfParts>
  <Company>World Intellectual Property Organization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CWS/5/6 Annex I (in Arabic)</dc:title>
  <dc:subject>Revision of WIPO Standard ST.26</dc:subject>
  <dc:creator>WIPO</dc:creator>
  <cp:keywords>CWS</cp:keywords>
  <cp:lastModifiedBy>ZAGO Bétina</cp:lastModifiedBy>
  <cp:revision>4</cp:revision>
  <cp:lastPrinted>2017-05-01T15:04:00Z</cp:lastPrinted>
  <dcterms:created xsi:type="dcterms:W3CDTF">2017-05-10T07:01:00Z</dcterms:created>
  <dcterms:modified xsi:type="dcterms:W3CDTF">2017-05-10T07:02:00Z</dcterms:modified>
</cp:coreProperties>
</file>