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C51" w:rsidRPr="00CC5083" w:rsidRDefault="00CC5083" w:rsidP="00934C51">
      <w:pPr>
        <w:pStyle w:val="NormalParaAR"/>
        <w:rPr>
          <w:lang w:val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6439CE" wp14:editId="600A759E">
            <wp:simplePos x="0" y="0"/>
            <wp:positionH relativeFrom="column">
              <wp:posOffset>-61595</wp:posOffset>
            </wp:positionH>
            <wp:positionV relativeFrom="paragraph">
              <wp:posOffset>3810</wp:posOffset>
            </wp:positionV>
            <wp:extent cx="6581140" cy="2849245"/>
            <wp:effectExtent l="0" t="0" r="0" b="8255"/>
            <wp:wrapTopAndBottom/>
            <wp:docPr id="1" name="Picture 1" descr="letterru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terru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3" b="66664"/>
                    <a:stretch/>
                  </pic:blipFill>
                  <pic:spPr bwMode="auto">
                    <a:xfrm>
                      <a:off x="0" y="0"/>
                      <a:ext cx="6581140" cy="284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C51">
        <w:rPr>
          <w:rFonts w:hint="cs"/>
          <w:rtl/>
        </w:rPr>
        <w:t xml:space="preserve">إلى </w:t>
      </w:r>
      <w:r w:rsidR="008C5E22">
        <w:rPr>
          <w:rFonts w:hint="cs"/>
          <w:rtl/>
        </w:rPr>
        <w:t>السيد يون،</w:t>
      </w:r>
      <w:bookmarkStart w:id="2" w:name="_GoBack"/>
      <w:bookmarkEnd w:id="2"/>
    </w:p>
    <w:p w:rsidR="00934C51" w:rsidRDefault="00934C51" w:rsidP="00934C51">
      <w:pPr>
        <w:pStyle w:val="NormalParaAR"/>
        <w:rPr>
          <w:rtl/>
        </w:rPr>
      </w:pPr>
      <w:r>
        <w:rPr>
          <w:rFonts w:hint="cs"/>
          <w:rtl/>
        </w:rPr>
        <w:t>تحية طيبة وبعد،</w:t>
      </w:r>
    </w:p>
    <w:p w:rsidR="00934C51" w:rsidRDefault="00934C51" w:rsidP="008C5E22">
      <w:pPr>
        <w:pStyle w:val="NormalParaAR"/>
        <w:ind w:firstLine="566"/>
        <w:rPr>
          <w:rtl/>
        </w:rPr>
      </w:pPr>
      <w:r>
        <w:rPr>
          <w:rFonts w:hint="cs"/>
          <w:rtl/>
        </w:rPr>
        <w:t xml:space="preserve">تباعا للرسالة السابقة رقم </w:t>
      </w:r>
      <w:r w:rsidRPr="00934C51">
        <w:t>N10-1-9-614</w:t>
      </w:r>
      <w:r>
        <w:rPr>
          <w:rFonts w:hint="cs"/>
          <w:rtl/>
        </w:rPr>
        <w:t xml:space="preserve"> المُرسلة إليكم بتاريخ 30</w:t>
      </w:r>
      <w:r>
        <w:rPr>
          <w:rFonts w:hint="eastAsia"/>
          <w:rtl/>
        </w:rPr>
        <w:t> </w:t>
      </w:r>
      <w:r>
        <w:rPr>
          <w:rFonts w:hint="cs"/>
          <w:rtl/>
        </w:rPr>
        <w:t>سبتمبر</w:t>
      </w:r>
      <w:r>
        <w:rPr>
          <w:rFonts w:hint="eastAsia"/>
          <w:rtl/>
        </w:rPr>
        <w:t> </w:t>
      </w:r>
      <w:r>
        <w:rPr>
          <w:rFonts w:hint="cs"/>
          <w:rtl/>
        </w:rPr>
        <w:t>2016، تجدون طيا الاقتراح المحدّ</w:t>
      </w:r>
      <w:r w:rsidR="00A46543">
        <w:rPr>
          <w:rFonts w:hint="cs"/>
          <w:rtl/>
        </w:rPr>
        <w:t>َ</w:t>
      </w:r>
      <w:r>
        <w:rPr>
          <w:rFonts w:hint="cs"/>
          <w:rtl/>
        </w:rPr>
        <w:t xml:space="preserve">ث للاتحاد الروسي بشأن تعديل </w:t>
      </w:r>
      <w:r w:rsidRPr="00934C51">
        <w:rPr>
          <w:rtl/>
        </w:rPr>
        <w:t>معيار</w:t>
      </w:r>
      <w:r w:rsidRPr="00934C51">
        <w:rPr>
          <w:rFonts w:hint="cs"/>
          <w:rtl/>
        </w:rPr>
        <w:t xml:space="preserve"> </w:t>
      </w:r>
      <w:r w:rsidRPr="00934C51">
        <w:rPr>
          <w:rtl/>
        </w:rPr>
        <w:t>الويبو</w:t>
      </w:r>
      <w:r w:rsidRPr="00934C51">
        <w:rPr>
          <w:rFonts w:hint="cs"/>
          <w:rtl/>
        </w:rPr>
        <w:t> </w:t>
      </w:r>
      <w:r w:rsidRPr="00934C51">
        <w:t>ST.96</w:t>
      </w:r>
      <w:r>
        <w:rPr>
          <w:rFonts w:hint="cs"/>
          <w:rtl/>
        </w:rPr>
        <w:t>.</w:t>
      </w:r>
    </w:p>
    <w:p w:rsidR="00934C51" w:rsidRDefault="00A46543" w:rsidP="008C5E22">
      <w:pPr>
        <w:pStyle w:val="NormalParaAR"/>
        <w:ind w:firstLine="566"/>
        <w:rPr>
          <w:rtl/>
        </w:rPr>
      </w:pPr>
      <w:r>
        <w:rPr>
          <w:rFonts w:hint="cs"/>
          <w:rtl/>
        </w:rPr>
        <w:t>وأتطلّع إلى زيادة تعزيز تعاوننا.</w:t>
      </w:r>
    </w:p>
    <w:p w:rsidR="00A46543" w:rsidRDefault="00A46543" w:rsidP="00934C51">
      <w:pPr>
        <w:pStyle w:val="NormalParaAR"/>
        <w:rPr>
          <w:rtl/>
        </w:rPr>
      </w:pPr>
      <w:r>
        <w:rPr>
          <w:rFonts w:hint="cs"/>
          <w:rtl/>
        </w:rPr>
        <w:t>تقبّلوا مني فائق التقدير،</w:t>
      </w:r>
    </w:p>
    <w:p w:rsidR="00A46543" w:rsidRDefault="008C5E22" w:rsidP="00A46543">
      <w:pPr>
        <w:pStyle w:val="NormalParaAR"/>
        <w:ind w:left="5669"/>
        <w:rPr>
          <w:rtl/>
        </w:rPr>
      </w:pPr>
      <w:r>
        <w:rPr>
          <w:rFonts w:hint="cs"/>
          <w:rtl/>
        </w:rPr>
        <w:t>بافيل سب</w:t>
      </w:r>
      <w:r w:rsidR="00A46543">
        <w:rPr>
          <w:rFonts w:hint="cs"/>
          <w:rtl/>
        </w:rPr>
        <w:t>يتسين [توقيع]</w:t>
      </w:r>
    </w:p>
    <w:p w:rsidR="00A46543" w:rsidRDefault="00A46543" w:rsidP="00A46543">
      <w:pPr>
        <w:pStyle w:val="NormalParaAR"/>
        <w:ind w:left="5669"/>
        <w:rPr>
          <w:rtl/>
        </w:rPr>
      </w:pPr>
      <w:r>
        <w:rPr>
          <w:rFonts w:hint="cs"/>
          <w:rtl/>
        </w:rPr>
        <w:t>مدير إدارة التعاون الدولي</w:t>
      </w:r>
    </w:p>
    <w:p w:rsidR="00A46543" w:rsidRDefault="00A46543" w:rsidP="00A46543">
      <w:pPr>
        <w:pStyle w:val="NormalParaAR"/>
        <w:rPr>
          <w:rtl/>
        </w:rPr>
      </w:pPr>
      <w:r>
        <w:rPr>
          <w:rFonts w:hint="cs"/>
          <w:rtl/>
        </w:rPr>
        <w:t>مرفق.</w:t>
      </w:r>
    </w:p>
    <w:p w:rsidR="00A46543" w:rsidRDefault="00A46543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A46543" w:rsidRPr="00A46543" w:rsidRDefault="00A46543" w:rsidP="00483F58">
      <w:pPr>
        <w:pStyle w:val="NormalParaAR"/>
        <w:keepNext/>
        <w:spacing w:after="480"/>
        <w:rPr>
          <w:b/>
          <w:bCs/>
          <w:sz w:val="40"/>
          <w:szCs w:val="40"/>
          <w:rtl/>
        </w:rPr>
      </w:pPr>
      <w:r w:rsidRPr="00A46543">
        <w:rPr>
          <w:rFonts w:hint="cs"/>
          <w:b/>
          <w:bCs/>
          <w:sz w:val="40"/>
          <w:szCs w:val="40"/>
          <w:rtl/>
        </w:rPr>
        <w:lastRenderedPageBreak/>
        <w:t xml:space="preserve">اقتراح تعديل </w:t>
      </w:r>
      <w:r w:rsidRPr="00A46543">
        <w:rPr>
          <w:b/>
          <w:bCs/>
          <w:sz w:val="40"/>
          <w:szCs w:val="40"/>
          <w:rtl/>
        </w:rPr>
        <w:t>معيار</w:t>
      </w:r>
      <w:r w:rsidRPr="00A46543">
        <w:rPr>
          <w:rFonts w:hint="cs"/>
          <w:b/>
          <w:bCs/>
          <w:sz w:val="40"/>
          <w:szCs w:val="40"/>
          <w:rtl/>
        </w:rPr>
        <w:t xml:space="preserve"> </w:t>
      </w:r>
      <w:r w:rsidRPr="00A46543">
        <w:rPr>
          <w:b/>
          <w:bCs/>
          <w:sz w:val="40"/>
          <w:szCs w:val="40"/>
          <w:rtl/>
        </w:rPr>
        <w:t>الويبو</w:t>
      </w:r>
      <w:r w:rsidRPr="00A46543">
        <w:rPr>
          <w:rFonts w:hint="cs"/>
          <w:b/>
          <w:bCs/>
          <w:sz w:val="40"/>
          <w:szCs w:val="40"/>
          <w:rtl/>
        </w:rPr>
        <w:t> </w:t>
      </w:r>
      <w:r w:rsidRPr="00A46543">
        <w:rPr>
          <w:b/>
          <w:bCs/>
          <w:sz w:val="40"/>
          <w:szCs w:val="40"/>
        </w:rPr>
        <w:t>ST.96</w:t>
      </w:r>
    </w:p>
    <w:p w:rsidR="00A46543" w:rsidRDefault="00A46543" w:rsidP="00A46543">
      <w:pPr>
        <w:pStyle w:val="NormalParaAR"/>
        <w:spacing w:after="480"/>
        <w:rPr>
          <w:rtl/>
        </w:rPr>
      </w:pPr>
      <w:r>
        <w:rPr>
          <w:rFonts w:hint="cs"/>
          <w:rtl/>
        </w:rPr>
        <w:t>وثيقة من إعداد الدائرة الاتحادية للملكية الفكرية (</w:t>
      </w:r>
      <w:proofErr w:type="spellStart"/>
      <w:r w:rsidRPr="00A46543">
        <w:t>Rospatent</w:t>
      </w:r>
      <w:proofErr w:type="spellEnd"/>
      <w:r>
        <w:rPr>
          <w:rFonts w:hint="cs"/>
          <w:rtl/>
        </w:rPr>
        <w:t>)</w:t>
      </w:r>
    </w:p>
    <w:p w:rsidR="00A46543" w:rsidRPr="00483F58" w:rsidRDefault="00A46543" w:rsidP="00483F58">
      <w:pPr>
        <w:pStyle w:val="NormalParaAR"/>
        <w:keepNext/>
        <w:rPr>
          <w:b/>
          <w:bCs/>
          <w:sz w:val="40"/>
          <w:szCs w:val="40"/>
          <w:rtl/>
        </w:rPr>
      </w:pPr>
      <w:r w:rsidRPr="00483F58">
        <w:rPr>
          <w:rFonts w:hint="cs"/>
          <w:b/>
          <w:bCs/>
          <w:sz w:val="40"/>
          <w:szCs w:val="40"/>
          <w:rtl/>
        </w:rPr>
        <w:t>معلومات أساسية والتماس</w:t>
      </w:r>
    </w:p>
    <w:p w:rsidR="00A46543" w:rsidRDefault="00483F58" w:rsidP="00A46543">
      <w:pPr>
        <w:pStyle w:val="NormalParaAR"/>
        <w:rPr>
          <w:rtl/>
        </w:rPr>
      </w:pPr>
      <w:r>
        <w:rPr>
          <w:rFonts w:hint="cs"/>
          <w:rtl/>
        </w:rPr>
        <w:t>1.</w:t>
      </w:r>
      <w:r w:rsidR="003620F8">
        <w:rPr>
          <w:rFonts w:hint="cs"/>
          <w:rtl/>
        </w:rPr>
        <w:t xml:space="preserve"> طبقا للتشريع الروسي الساري</w:t>
      </w:r>
      <w:r>
        <w:rPr>
          <w:rFonts w:hint="cs"/>
          <w:rtl/>
        </w:rPr>
        <w:t>، تقوم الإدارة الاتحادية للملكية الفكرية (</w:t>
      </w:r>
      <w:proofErr w:type="spellStart"/>
      <w:r w:rsidRPr="00483F58">
        <w:t>Rospatent</w:t>
      </w:r>
      <w:proofErr w:type="spellEnd"/>
      <w:r>
        <w:rPr>
          <w:rFonts w:hint="cs"/>
          <w:rtl/>
        </w:rPr>
        <w:t>) بتسجيل تسميات المنشأ في السجل الوطني.</w:t>
      </w:r>
    </w:p>
    <w:p w:rsidR="00483F58" w:rsidRDefault="00483F58" w:rsidP="00A46543">
      <w:pPr>
        <w:pStyle w:val="NormalParaAR"/>
        <w:rPr>
          <w:rtl/>
        </w:rPr>
      </w:pPr>
      <w:r>
        <w:rPr>
          <w:rFonts w:hint="cs"/>
          <w:rtl/>
        </w:rPr>
        <w:t xml:space="preserve">2. </w:t>
      </w:r>
      <w:r w:rsidR="00191989">
        <w:rPr>
          <w:rFonts w:hint="cs"/>
          <w:rtl/>
        </w:rPr>
        <w:t>ولدى التبادل الإلكتروني للمعلومات مع الويبو بناء على نظام مدريد، هناك حاجة إلى تحديد تسميات المنشأ باعتبارها تسجيلات تطرح صعوبات عند التحضير لاتخاذ قرارات بشأن الرفض المؤقت.</w:t>
      </w:r>
    </w:p>
    <w:p w:rsidR="00191989" w:rsidRDefault="00191989" w:rsidP="00191989">
      <w:pPr>
        <w:pStyle w:val="NormalParaAR"/>
        <w:rPr>
          <w:rtl/>
        </w:rPr>
      </w:pPr>
      <w:r>
        <w:rPr>
          <w:rFonts w:hint="cs"/>
          <w:rtl/>
        </w:rPr>
        <w:t xml:space="preserve">3. ولا توجد، حاليا، أية معايير للويبو مُصممة بنسق </w:t>
      </w:r>
      <w:r w:rsidRPr="00191989">
        <w:t>XML</w:t>
      </w:r>
      <w:r>
        <w:rPr>
          <w:rFonts w:hint="cs"/>
          <w:rtl/>
        </w:rPr>
        <w:t xml:space="preserve"> لوصف مؤشرات جغرافية من قبيل تسميات المنشأ.</w:t>
      </w:r>
    </w:p>
    <w:p w:rsidR="00191989" w:rsidRDefault="00191989" w:rsidP="00191989">
      <w:pPr>
        <w:pStyle w:val="NormalParaAR"/>
        <w:rPr>
          <w:rtl/>
        </w:rPr>
      </w:pPr>
      <w:r>
        <w:rPr>
          <w:rFonts w:hint="cs"/>
          <w:rtl/>
        </w:rPr>
        <w:t>4. وتقترح الدائرة الاتحادية للملكية الفكرية (</w:t>
      </w:r>
      <w:proofErr w:type="spellStart"/>
      <w:r w:rsidRPr="00191989">
        <w:t>Rospatent</w:t>
      </w:r>
      <w:proofErr w:type="spellEnd"/>
      <w:r>
        <w:rPr>
          <w:rFonts w:hint="cs"/>
          <w:rtl/>
        </w:rPr>
        <w:t xml:space="preserve">) توسيع نطاق </w:t>
      </w:r>
      <w:r w:rsidRPr="00191989">
        <w:rPr>
          <w:rtl/>
        </w:rPr>
        <w:t>معيار</w:t>
      </w:r>
      <w:r w:rsidRPr="00191989">
        <w:rPr>
          <w:rFonts w:hint="cs"/>
          <w:rtl/>
        </w:rPr>
        <w:t xml:space="preserve"> </w:t>
      </w:r>
      <w:r w:rsidRPr="00191989">
        <w:rPr>
          <w:rtl/>
        </w:rPr>
        <w:t>الويبو</w:t>
      </w:r>
      <w:r w:rsidRPr="00191989">
        <w:rPr>
          <w:rFonts w:hint="cs"/>
          <w:rtl/>
        </w:rPr>
        <w:t> </w:t>
      </w:r>
      <w:r w:rsidRPr="00191989">
        <w:t>ST.96</w:t>
      </w:r>
      <w:r>
        <w:rPr>
          <w:rFonts w:hint="cs"/>
          <w:rtl/>
        </w:rPr>
        <w:t xml:space="preserve"> ليشمل المؤشرات الجغرافية.</w:t>
      </w:r>
    </w:p>
    <w:p w:rsidR="00191989" w:rsidRPr="00191989" w:rsidRDefault="00191989" w:rsidP="00191989">
      <w:pPr>
        <w:pStyle w:val="NormalParaAR"/>
        <w:keepNext/>
        <w:rPr>
          <w:b/>
          <w:bCs/>
          <w:sz w:val="40"/>
          <w:szCs w:val="40"/>
          <w:rtl/>
        </w:rPr>
      </w:pPr>
      <w:r w:rsidRPr="00191989">
        <w:rPr>
          <w:rFonts w:hint="cs"/>
          <w:b/>
          <w:bCs/>
          <w:sz w:val="40"/>
          <w:szCs w:val="40"/>
          <w:rtl/>
        </w:rPr>
        <w:t>المشكلات المطروحة مع معيار الويبو الحالي </w:t>
      </w:r>
      <w:r w:rsidRPr="00191989">
        <w:rPr>
          <w:b/>
          <w:bCs/>
          <w:sz w:val="40"/>
          <w:szCs w:val="40"/>
        </w:rPr>
        <w:t>ST.96</w:t>
      </w:r>
    </w:p>
    <w:p w:rsidR="00191989" w:rsidRDefault="00E211BA" w:rsidP="003620F8">
      <w:pPr>
        <w:pStyle w:val="NormalParaAR"/>
        <w:rPr>
          <w:rtl/>
        </w:rPr>
      </w:pPr>
      <w:r>
        <w:rPr>
          <w:rFonts w:hint="cs"/>
          <w:rtl/>
        </w:rPr>
        <w:t xml:space="preserve">1. </w:t>
      </w:r>
      <w:r w:rsidR="003620F8">
        <w:rPr>
          <w:rFonts w:hint="cs"/>
          <w:rtl/>
        </w:rPr>
        <w:t>في الوقت الحالي، لا يصف المعيار</w:t>
      </w:r>
      <w:r w:rsidR="003620F8">
        <w:rPr>
          <w:rFonts w:hint="eastAsia"/>
          <w:rtl/>
        </w:rPr>
        <w:t> </w:t>
      </w:r>
      <w:r w:rsidR="003620F8" w:rsidRPr="00191989">
        <w:t>ST.96</w:t>
      </w:r>
      <w:r w:rsidR="003620F8">
        <w:rPr>
          <w:rFonts w:hint="cs"/>
          <w:rtl/>
        </w:rPr>
        <w:t xml:space="preserve"> سوى ثلاثة أنواع من حقوق الملكية الفكرية </w:t>
      </w:r>
      <w:r w:rsidR="003620F8">
        <w:rPr>
          <w:rtl/>
        </w:rPr>
        <w:t>–</w:t>
      </w:r>
      <w:r w:rsidR="003620F8">
        <w:rPr>
          <w:rFonts w:hint="cs"/>
          <w:rtl/>
        </w:rPr>
        <w:t xml:space="preserve"> العلامات التجارية وبالبراءات/نماذج المنفعة والتصاميم الصناعية. وطبقا للتشريع الروسي الساري، فضلا عن تشريعات البلدان الأخرى، هناك تطابق بين المؤشرات الجغرافية والعلامات التجارية، ولكن لدى </w:t>
      </w:r>
      <w:r w:rsidR="008C5E22">
        <w:rPr>
          <w:rFonts w:hint="cs"/>
          <w:rtl/>
        </w:rPr>
        <w:t xml:space="preserve">تلك </w:t>
      </w:r>
      <w:r w:rsidR="003620F8">
        <w:rPr>
          <w:rFonts w:hint="cs"/>
          <w:rtl/>
        </w:rPr>
        <w:t xml:space="preserve">المؤشرات والعلامات سمات أساسية لا تشملها معايير الويبو المطبقة حاليا بنسق </w:t>
      </w:r>
      <w:r w:rsidR="003620F8" w:rsidRPr="00191989">
        <w:t>XML</w:t>
      </w:r>
      <w:r w:rsidR="003620F8">
        <w:rPr>
          <w:rFonts w:hint="cs"/>
          <w:rtl/>
        </w:rPr>
        <w:t xml:space="preserve"> على العلامات التجارية، لا</w:t>
      </w:r>
      <w:r w:rsidR="003620F8">
        <w:rPr>
          <w:rFonts w:hint="eastAsia"/>
          <w:rtl/>
        </w:rPr>
        <w:t> </w:t>
      </w:r>
      <w:r w:rsidR="003620F8">
        <w:rPr>
          <w:rFonts w:hint="cs"/>
          <w:rtl/>
        </w:rPr>
        <w:t>سيما المعيار</w:t>
      </w:r>
      <w:r w:rsidR="003620F8">
        <w:rPr>
          <w:rFonts w:hint="eastAsia"/>
          <w:rtl/>
        </w:rPr>
        <w:t> </w:t>
      </w:r>
      <w:r w:rsidR="003620F8" w:rsidRPr="00191989">
        <w:t>ST.96</w:t>
      </w:r>
      <w:r w:rsidR="003620F8">
        <w:rPr>
          <w:rFonts w:hint="cs"/>
          <w:rtl/>
        </w:rPr>
        <w:t>. ويدفع ذلك إلى ضرورة استخدام مخططات تنفيذ متوافقة مع المعيار</w:t>
      </w:r>
      <w:r w:rsidR="003620F8">
        <w:rPr>
          <w:rFonts w:hint="eastAsia"/>
          <w:rtl/>
        </w:rPr>
        <w:t> </w:t>
      </w:r>
      <w:r w:rsidR="003620F8" w:rsidRPr="00191989">
        <w:t>ST.96</w:t>
      </w:r>
      <w:r w:rsidR="003620F8">
        <w:rPr>
          <w:rFonts w:hint="cs"/>
          <w:rtl/>
        </w:rPr>
        <w:t xml:space="preserve"> لأغراض معالجة البيانات المرتبطة بالمؤشرات الجغرافية.</w:t>
      </w:r>
    </w:p>
    <w:p w:rsidR="003620F8" w:rsidRDefault="003620F8" w:rsidP="004E05C2">
      <w:pPr>
        <w:pStyle w:val="NormalParaAR"/>
        <w:rPr>
          <w:rtl/>
        </w:rPr>
      </w:pPr>
      <w:r>
        <w:rPr>
          <w:rFonts w:hint="cs"/>
          <w:rtl/>
        </w:rPr>
        <w:t xml:space="preserve">2. وأجريت مناقشة أولية حول هذه المسألة في إطار </w:t>
      </w:r>
      <w:r w:rsidRPr="003620F8">
        <w:rPr>
          <w:rtl/>
        </w:rPr>
        <w:t>فرقة عمل</w:t>
      </w:r>
      <w:r w:rsidRPr="003620F8">
        <w:rPr>
          <w:rFonts w:hint="cs"/>
          <w:rtl/>
        </w:rPr>
        <w:t> </w:t>
      </w:r>
      <w:r w:rsidRPr="003620F8">
        <w:t>XML4IP</w:t>
      </w:r>
      <w:r w:rsidR="00BB7F14">
        <w:rPr>
          <w:rFonts w:hint="cs"/>
          <w:rtl/>
        </w:rPr>
        <w:t>. وحلّ</w:t>
      </w:r>
      <w:r w:rsidR="008C5E22">
        <w:rPr>
          <w:rFonts w:hint="cs"/>
          <w:rtl/>
        </w:rPr>
        <w:t>َ</w:t>
      </w:r>
      <w:r w:rsidR="00BB7F14">
        <w:rPr>
          <w:rFonts w:hint="cs"/>
          <w:rtl/>
        </w:rPr>
        <w:t>ل المشاركون في المناقشة المتطلبات وصاغوا اقتراحات لإعداد مخططات</w:t>
      </w:r>
      <w:r w:rsidR="004E05C2">
        <w:rPr>
          <w:rFonts w:hint="eastAsia"/>
          <w:rtl/>
        </w:rPr>
        <w:t> </w:t>
      </w:r>
      <w:r w:rsidR="00BB7F14" w:rsidRPr="00BB7F14">
        <w:t>XML</w:t>
      </w:r>
      <w:r w:rsidR="00BB7F14">
        <w:rPr>
          <w:rFonts w:hint="cs"/>
          <w:rtl/>
        </w:rPr>
        <w:t xml:space="preserve"> ذات الصلة، ولكن عُلِّقت مناقشة هذه المسألة.</w:t>
      </w:r>
    </w:p>
    <w:p w:rsidR="00BB7F14" w:rsidRPr="00BB7F14" w:rsidRDefault="00BB7F14" w:rsidP="00BB7F14">
      <w:pPr>
        <w:pStyle w:val="NormalParaAR"/>
        <w:keepNext/>
        <w:rPr>
          <w:b/>
          <w:bCs/>
          <w:sz w:val="40"/>
          <w:szCs w:val="40"/>
          <w:rtl/>
        </w:rPr>
      </w:pPr>
      <w:r w:rsidRPr="00BB7F14">
        <w:rPr>
          <w:rFonts w:hint="cs"/>
          <w:b/>
          <w:bCs/>
          <w:sz w:val="40"/>
          <w:szCs w:val="40"/>
          <w:rtl/>
        </w:rPr>
        <w:t>التغييرات المقترح إدخالها على المعيار</w:t>
      </w:r>
    </w:p>
    <w:p w:rsidR="00BB7F14" w:rsidRDefault="00E71A16" w:rsidP="008F1E4D">
      <w:pPr>
        <w:pStyle w:val="NormalParaAR"/>
        <w:spacing w:after="480"/>
        <w:rPr>
          <w:rtl/>
        </w:rPr>
      </w:pPr>
      <w:r>
        <w:rPr>
          <w:rFonts w:hint="cs"/>
          <w:rtl/>
        </w:rPr>
        <w:t>تقدم الدائرة الاتحادية للملكية الفكرية (</w:t>
      </w:r>
      <w:proofErr w:type="spellStart"/>
      <w:r w:rsidRPr="00E71A16">
        <w:t>Rospatent</w:t>
      </w:r>
      <w:proofErr w:type="spellEnd"/>
      <w:r>
        <w:rPr>
          <w:rFonts w:hint="cs"/>
          <w:rtl/>
        </w:rPr>
        <w:t>) الاقتراحات التالية كي تنظر فيها لجنة المعايير وتوافق عليها: (ألف)</w:t>
      </w:r>
      <w:r w:rsidR="008F1E4D">
        <w:rPr>
          <w:rFonts w:hint="eastAsia"/>
          <w:rtl/>
        </w:rPr>
        <w:t> </w:t>
      </w:r>
      <w:r w:rsidR="008F1E4D">
        <w:rPr>
          <w:rFonts w:hint="cs"/>
          <w:rtl/>
        </w:rPr>
        <w:t xml:space="preserve">توسيع نطاق </w:t>
      </w:r>
      <w:r w:rsidR="008F1E4D" w:rsidRPr="008F1E4D">
        <w:rPr>
          <w:rtl/>
        </w:rPr>
        <w:t>معيار</w:t>
      </w:r>
      <w:r w:rsidR="008F1E4D" w:rsidRPr="008F1E4D">
        <w:rPr>
          <w:rFonts w:hint="cs"/>
          <w:rtl/>
        </w:rPr>
        <w:t xml:space="preserve"> </w:t>
      </w:r>
      <w:r w:rsidR="008F1E4D" w:rsidRPr="008F1E4D">
        <w:rPr>
          <w:rtl/>
        </w:rPr>
        <w:t>الويبو</w:t>
      </w:r>
      <w:r w:rsidR="008F1E4D" w:rsidRPr="008F1E4D">
        <w:rPr>
          <w:rFonts w:hint="cs"/>
          <w:rtl/>
        </w:rPr>
        <w:t> </w:t>
      </w:r>
      <w:r w:rsidR="008F1E4D" w:rsidRPr="008F1E4D">
        <w:t>ST.96</w:t>
      </w:r>
      <w:r w:rsidR="008F1E4D" w:rsidRPr="008F1E4D">
        <w:rPr>
          <w:rFonts w:hint="cs"/>
          <w:rtl/>
        </w:rPr>
        <w:t xml:space="preserve"> ليشمل المؤشرات الجغرافية</w:t>
      </w:r>
      <w:r w:rsidR="004E05C2">
        <w:rPr>
          <w:rFonts w:hint="cs"/>
          <w:rtl/>
        </w:rPr>
        <w:t>؛</w:t>
      </w:r>
      <w:r w:rsidR="008F1E4D">
        <w:rPr>
          <w:rFonts w:hint="cs"/>
          <w:rtl/>
        </w:rPr>
        <w:t>(باء)</w:t>
      </w:r>
      <w:r w:rsidR="008F1E4D">
        <w:rPr>
          <w:rFonts w:hint="eastAsia"/>
          <w:rtl/>
        </w:rPr>
        <w:t> </w:t>
      </w:r>
      <w:r w:rsidR="008F1E4D">
        <w:rPr>
          <w:rFonts w:hint="cs"/>
          <w:rtl/>
        </w:rPr>
        <w:t xml:space="preserve">وإدراج المؤشرات الجغرافية في </w:t>
      </w:r>
      <w:r w:rsidR="008F1E4D">
        <w:rPr>
          <w:rtl/>
        </w:rPr>
        <w:t>قاموس بيانات ومخطط</w:t>
      </w:r>
      <w:r w:rsidR="005A47C4" w:rsidRPr="008F1E4D">
        <w:rPr>
          <w:rtl/>
        </w:rPr>
        <w:t xml:space="preserve"> لغة الترميز الموسعة (</w:t>
      </w:r>
      <w:r w:rsidR="005A47C4" w:rsidRPr="008F1E4D">
        <w:rPr>
          <w:cs/>
        </w:rPr>
        <w:t>‎</w:t>
      </w:r>
      <w:r w:rsidR="005A47C4" w:rsidRPr="008F1E4D">
        <w:t>XML</w:t>
      </w:r>
      <w:r w:rsidR="005A47C4" w:rsidRPr="008F1E4D">
        <w:rPr>
          <w:rtl/>
        </w:rPr>
        <w:t>‏)</w:t>
      </w:r>
      <w:r w:rsidR="008F1E4D">
        <w:rPr>
          <w:rFonts w:hint="cs"/>
          <w:rtl/>
        </w:rPr>
        <w:t xml:space="preserve"> لمعيار </w:t>
      </w:r>
      <w:r w:rsidR="008F1E4D" w:rsidRPr="008F1E4D">
        <w:rPr>
          <w:rtl/>
        </w:rPr>
        <w:t>الويبو</w:t>
      </w:r>
      <w:r w:rsidR="008F1E4D" w:rsidRPr="008F1E4D">
        <w:rPr>
          <w:rFonts w:hint="cs"/>
          <w:rtl/>
        </w:rPr>
        <w:t> </w:t>
      </w:r>
      <w:r w:rsidR="008F1E4D" w:rsidRPr="008F1E4D">
        <w:t>ST.96</w:t>
      </w:r>
      <w:r w:rsidR="008F1E4D">
        <w:rPr>
          <w:rFonts w:hint="cs"/>
          <w:rtl/>
        </w:rPr>
        <w:t>؛ (جيم)</w:t>
      </w:r>
      <w:r w:rsidR="008F1E4D">
        <w:rPr>
          <w:rFonts w:hint="eastAsia"/>
          <w:rtl/>
        </w:rPr>
        <w:t> </w:t>
      </w:r>
      <w:r w:rsidR="008F1E4D">
        <w:rPr>
          <w:rFonts w:hint="cs"/>
          <w:rtl/>
        </w:rPr>
        <w:t xml:space="preserve">وتحديد العناصر ذات الصلة من </w:t>
      </w:r>
      <w:r w:rsidR="008F1E4D" w:rsidRPr="008F1E4D">
        <w:rPr>
          <w:rFonts w:hint="cs"/>
          <w:rtl/>
        </w:rPr>
        <w:t>مخطط لغة الترميز الموسعة (</w:t>
      </w:r>
      <w:r w:rsidR="008F1E4D" w:rsidRPr="008F1E4D">
        <w:t>XML</w:t>
      </w:r>
      <w:r w:rsidR="008F1E4D" w:rsidRPr="008F1E4D">
        <w:rPr>
          <w:rFonts w:hint="cs"/>
          <w:rtl/>
        </w:rPr>
        <w:t>)</w:t>
      </w:r>
      <w:r w:rsidR="008F1E4D">
        <w:rPr>
          <w:rFonts w:hint="cs"/>
          <w:rtl/>
        </w:rPr>
        <w:t>.</w:t>
      </w:r>
    </w:p>
    <w:p w:rsidR="008F1E4D" w:rsidRDefault="008F1E4D" w:rsidP="008F1E4D">
      <w:pPr>
        <w:pStyle w:val="EndofDocumentAR"/>
        <w:rPr>
          <w:rtl/>
        </w:rPr>
      </w:pPr>
      <w:r>
        <w:rPr>
          <w:rFonts w:hint="cs"/>
          <w:rtl/>
        </w:rPr>
        <w:t>[نهاية المرفق الثاني والوثيقة]</w:t>
      </w:r>
    </w:p>
    <w:sectPr w:rsidR="008F1E4D" w:rsidSect="00842D0C">
      <w:headerReference w:type="default" r:id="rId10"/>
      <w:headerReference w:type="first" r:id="rId11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7B4" w:rsidRDefault="00E577B4">
      <w:r>
        <w:separator/>
      </w:r>
    </w:p>
  </w:endnote>
  <w:endnote w:type="continuationSeparator" w:id="0">
    <w:p w:rsidR="00E577B4" w:rsidRDefault="00E57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7B4" w:rsidRDefault="00E577B4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E577B4" w:rsidRDefault="00E577B4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543" w:rsidRDefault="00A46543" w:rsidP="00F05990">
    <w:r>
      <w:t>CWS/5/4</w:t>
    </w:r>
  </w:p>
  <w:p w:rsidR="00A46543" w:rsidRDefault="00A46543" w:rsidP="00F05990">
    <w:r>
      <w:t>Annex II</w:t>
    </w:r>
  </w:p>
  <w:p w:rsidR="00A46543" w:rsidRDefault="00A46543" w:rsidP="00D61541">
    <w:r>
      <w:fldChar w:fldCharType="begin"/>
    </w:r>
    <w:r>
      <w:instrText xml:space="preserve"> PAGE  \* MERGEFORMAT </w:instrText>
    </w:r>
    <w:r>
      <w:fldChar w:fldCharType="separate"/>
    </w:r>
    <w:r w:rsidR="00CC5083">
      <w:rPr>
        <w:noProof/>
      </w:rPr>
      <w:t>2</w:t>
    </w:r>
    <w:r>
      <w:fldChar w:fldCharType="end"/>
    </w:r>
  </w:p>
  <w:p w:rsidR="00A46543" w:rsidRDefault="00A46543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C51" w:rsidRDefault="00934C51" w:rsidP="00842D0C">
    <w:r>
      <w:t>CWS/5/4</w:t>
    </w:r>
  </w:p>
  <w:p w:rsidR="00934C51" w:rsidRDefault="00934C51" w:rsidP="00842D0C">
    <w:pPr>
      <w:pStyle w:val="Header"/>
    </w:pPr>
    <w:r>
      <w:t>ANNEX II</w:t>
    </w:r>
  </w:p>
  <w:p w:rsidR="00934C51" w:rsidRPr="00842D0C" w:rsidRDefault="00934C51" w:rsidP="00934C51">
    <w:pPr>
      <w:pStyle w:val="Header"/>
      <w:bidi/>
      <w:jc w:val="right"/>
      <w:rPr>
        <w:rFonts w:ascii="Arabic Typesetting" w:hAnsi="Arabic Typesetting" w:cs="Arabic Typesetting"/>
        <w:sz w:val="36"/>
        <w:szCs w:val="36"/>
        <w:rtl/>
      </w:rPr>
    </w:pPr>
    <w:r w:rsidRPr="00842D0C">
      <w:rPr>
        <w:rFonts w:ascii="Arabic Typesetting" w:hAnsi="Arabic Typesetting" w:cs="Arabic Typesetting"/>
        <w:sz w:val="36"/>
        <w:szCs w:val="36"/>
        <w:rtl/>
      </w:rPr>
      <w:t>المرفق</w:t>
    </w:r>
    <w:r>
      <w:rPr>
        <w:rFonts w:ascii="Arabic Typesetting" w:hAnsi="Arabic Typesetting" w:cs="Arabic Typesetting" w:hint="cs"/>
        <w:sz w:val="36"/>
        <w:szCs w:val="36"/>
        <w:rtl/>
      </w:rPr>
      <w:t xml:space="preserve"> الثاني</w:t>
    </w:r>
  </w:p>
  <w:p w:rsidR="00934C51" w:rsidRDefault="00934C51">
    <w:pPr>
      <w:pStyle w:val="Header"/>
    </w:pPr>
  </w:p>
  <w:p w:rsidR="00027196" w:rsidRDefault="000271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7B4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27196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7C4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989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6FA5"/>
    <w:rsid w:val="002E7615"/>
    <w:rsid w:val="002E7A2A"/>
    <w:rsid w:val="002E7F16"/>
    <w:rsid w:val="002F07D4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20F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046A"/>
    <w:rsid w:val="00481F5F"/>
    <w:rsid w:val="004821D0"/>
    <w:rsid w:val="00482CB2"/>
    <w:rsid w:val="00483D06"/>
    <w:rsid w:val="00483F58"/>
    <w:rsid w:val="00485A4A"/>
    <w:rsid w:val="00485CF7"/>
    <w:rsid w:val="004862C2"/>
    <w:rsid w:val="004863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05C2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455A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47C4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2EC8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3A58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3E46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57F28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35C5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3EA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2D0C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1763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5E22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7F6"/>
    <w:rsid w:val="008E5E2C"/>
    <w:rsid w:val="008E78F1"/>
    <w:rsid w:val="008F03CE"/>
    <w:rsid w:val="008F075B"/>
    <w:rsid w:val="008F0E9E"/>
    <w:rsid w:val="008F1E4D"/>
    <w:rsid w:val="008F2913"/>
    <w:rsid w:val="008F2A4E"/>
    <w:rsid w:val="008F2AE9"/>
    <w:rsid w:val="008F332B"/>
    <w:rsid w:val="008F52D0"/>
    <w:rsid w:val="008F58BB"/>
    <w:rsid w:val="008F6061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06889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2D13"/>
    <w:rsid w:val="009343F5"/>
    <w:rsid w:val="0093456A"/>
    <w:rsid w:val="009345AE"/>
    <w:rsid w:val="00934C51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543"/>
    <w:rsid w:val="00A46A1E"/>
    <w:rsid w:val="00A50595"/>
    <w:rsid w:val="00A50A39"/>
    <w:rsid w:val="00A5112A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1882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B7F14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2C1F"/>
    <w:rsid w:val="00BF4D03"/>
    <w:rsid w:val="00BF4E85"/>
    <w:rsid w:val="00BF54BD"/>
    <w:rsid w:val="00BF5892"/>
    <w:rsid w:val="00C01804"/>
    <w:rsid w:val="00C026BC"/>
    <w:rsid w:val="00C02AD4"/>
    <w:rsid w:val="00C03869"/>
    <w:rsid w:val="00C06671"/>
    <w:rsid w:val="00C07988"/>
    <w:rsid w:val="00C07C5E"/>
    <w:rsid w:val="00C10068"/>
    <w:rsid w:val="00C10AC5"/>
    <w:rsid w:val="00C12DAD"/>
    <w:rsid w:val="00C12E17"/>
    <w:rsid w:val="00C13C5C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87DBE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083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6F8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1F31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11BA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2B4"/>
    <w:rsid w:val="00E56392"/>
    <w:rsid w:val="00E5712F"/>
    <w:rsid w:val="00E577B4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A16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A71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38B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990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E577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77B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42D0C"/>
    <w:rPr>
      <w:rFonts w:ascii="Arial" w:hAnsi="Arial" w:cs="Arial"/>
      <w:sz w:val="22"/>
    </w:rPr>
  </w:style>
  <w:style w:type="character" w:styleId="Hyperlink">
    <w:name w:val="Hyperlink"/>
    <w:basedOn w:val="DefaultParagraphFont"/>
    <w:rsid w:val="00842D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E577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77B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42D0C"/>
    <w:rPr>
      <w:rFonts w:ascii="Arial" w:hAnsi="Arial" w:cs="Arial"/>
      <w:sz w:val="22"/>
    </w:rPr>
  </w:style>
  <w:style w:type="character" w:styleId="Hyperlink">
    <w:name w:val="Hyperlink"/>
    <w:basedOn w:val="DefaultParagraphFont"/>
    <w:rsid w:val="00842D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WS_5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8B12F-6827-438D-B4AA-3122D08E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CWS_5_AR</Template>
  <TotalTime>1</TotalTime>
  <Pages>2</Pages>
  <Words>308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CWS/5/4 (in Arabic)</vt:lpstr>
    </vt:vector>
  </TitlesOfParts>
  <Company>World Intellectual Property Organization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CWS/5/4 Annex II (in Arabic)</dc:title>
  <dc:subject>Extension of WIPO Standard ST.96 to Incorporate Extensible Markup Language (XML) Schema for Orphan Works and Geographical Indications</dc:subject>
  <dc:creator>WIPO</dc:creator>
  <cp:keywords>CWS</cp:keywords>
  <cp:lastModifiedBy>ZAGO Bétina</cp:lastModifiedBy>
  <cp:revision>4</cp:revision>
  <cp:lastPrinted>2017-04-10T15:38:00Z</cp:lastPrinted>
  <dcterms:created xsi:type="dcterms:W3CDTF">2017-04-26T09:12:00Z</dcterms:created>
  <dcterms:modified xsi:type="dcterms:W3CDTF">2017-04-26T09:31:00Z</dcterms:modified>
</cp:coreProperties>
</file>