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451679"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Pr="00451679" w:rsidRDefault="009C0CED" w:rsidP="00237419">
            <w:pPr>
              <w:bidi/>
              <w:spacing w:after="20"/>
              <w:rPr>
                <w:rFonts w:ascii="Arabic Typesetting" w:hAnsi="Arabic Typesetting" w:cs="Arabic Typesetting"/>
                <w:sz w:val="36"/>
                <w:szCs w:val="36"/>
                <w:rtl/>
              </w:rPr>
            </w:pPr>
            <w:r w:rsidRPr="00451679">
              <w:rPr>
                <w:noProof/>
              </w:rPr>
              <w:drawing>
                <wp:inline distT="0" distB="0" distL="0" distR="0" wp14:anchorId="2AC16AB9" wp14:editId="5927FDF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451679" w:rsidRDefault="001667B6" w:rsidP="001667B6">
            <w:pPr>
              <w:rPr>
                <w:b/>
                <w:bCs/>
                <w:sz w:val="40"/>
                <w:szCs w:val="40"/>
              </w:rPr>
            </w:pPr>
            <w:r w:rsidRPr="00451679">
              <w:rPr>
                <w:b/>
                <w:bCs/>
                <w:sz w:val="40"/>
                <w:szCs w:val="40"/>
              </w:rPr>
              <w:t>A</w:t>
            </w:r>
          </w:p>
        </w:tc>
      </w:tr>
      <w:tr w:rsidR="00F468A2" w:rsidRPr="00451679" w:rsidTr="00B6101C">
        <w:trPr>
          <w:trHeight w:val="333"/>
        </w:trPr>
        <w:tc>
          <w:tcPr>
            <w:tcW w:w="9571" w:type="dxa"/>
            <w:gridSpan w:val="3"/>
            <w:tcBorders>
              <w:top w:val="single" w:sz="4" w:space="0" w:color="auto"/>
            </w:tcBorders>
            <w:vAlign w:val="bottom"/>
          </w:tcPr>
          <w:p w:rsidR="00B6101C" w:rsidRPr="00451679" w:rsidRDefault="00C2761A" w:rsidP="00C2761A">
            <w:pPr>
              <w:pStyle w:val="DocumentCodeAR"/>
              <w:bidi/>
              <w:rPr>
                <w:rtl/>
              </w:rPr>
            </w:pPr>
            <w:r w:rsidRPr="00451679">
              <w:t>CWS</w:t>
            </w:r>
            <w:r w:rsidR="00065ED1" w:rsidRPr="00451679">
              <w:t>/</w:t>
            </w:r>
            <w:r w:rsidRPr="00451679">
              <w:t>5</w:t>
            </w:r>
            <w:r w:rsidR="00B6101C" w:rsidRPr="00451679">
              <w:t>/</w:t>
            </w:r>
            <w:r w:rsidR="00466016" w:rsidRPr="00451679">
              <w:t>21</w:t>
            </w:r>
          </w:p>
        </w:tc>
      </w:tr>
      <w:tr w:rsidR="00F468A2" w:rsidRPr="00451679" w:rsidTr="00BF164F">
        <w:tc>
          <w:tcPr>
            <w:tcW w:w="9571" w:type="dxa"/>
            <w:gridSpan w:val="3"/>
          </w:tcPr>
          <w:p w:rsidR="001667B6" w:rsidRPr="00451679" w:rsidRDefault="00F27A7C" w:rsidP="00466016">
            <w:pPr>
              <w:pStyle w:val="DocumentLanguageAR"/>
              <w:bidi/>
              <w:rPr>
                <w:rtl/>
              </w:rPr>
            </w:pPr>
            <w:r w:rsidRPr="00451679">
              <w:rPr>
                <w:rFonts w:hint="cs"/>
                <w:rtl/>
              </w:rPr>
              <w:t xml:space="preserve">الأصل: </w:t>
            </w:r>
            <w:r w:rsidR="00466016" w:rsidRPr="00451679">
              <w:rPr>
                <w:rFonts w:hint="cs"/>
                <w:rtl/>
              </w:rPr>
              <w:t>بالإنكليزية</w:t>
            </w:r>
          </w:p>
        </w:tc>
      </w:tr>
      <w:tr w:rsidR="001667B6" w:rsidRPr="00451679" w:rsidTr="00BF164F">
        <w:tc>
          <w:tcPr>
            <w:tcW w:w="9571" w:type="dxa"/>
            <w:gridSpan w:val="3"/>
          </w:tcPr>
          <w:p w:rsidR="001667B6" w:rsidRPr="00451679" w:rsidRDefault="00B6101C" w:rsidP="00466016">
            <w:pPr>
              <w:pStyle w:val="DocumentDateAR"/>
              <w:bidi/>
              <w:rPr>
                <w:rtl/>
              </w:rPr>
            </w:pPr>
            <w:r w:rsidRPr="00451679">
              <w:rPr>
                <w:rFonts w:hint="cs"/>
                <w:rtl/>
              </w:rPr>
              <w:t xml:space="preserve">التاريخ: </w:t>
            </w:r>
            <w:r w:rsidR="00466016" w:rsidRPr="00451679">
              <w:rPr>
                <w:rFonts w:hint="cs"/>
                <w:rtl/>
              </w:rPr>
              <w:t>2</w:t>
            </w:r>
            <w:r w:rsidR="0024328E" w:rsidRPr="00451679">
              <w:rPr>
                <w:rFonts w:hint="cs"/>
                <w:rtl/>
              </w:rPr>
              <w:t xml:space="preserve"> </w:t>
            </w:r>
            <w:r w:rsidR="00466016" w:rsidRPr="00451679">
              <w:rPr>
                <w:rFonts w:hint="cs"/>
                <w:rtl/>
              </w:rPr>
              <w:t>يونيو</w:t>
            </w:r>
            <w:r w:rsidR="0024328E" w:rsidRPr="00451679">
              <w:rPr>
                <w:rFonts w:hint="cs"/>
                <w:rtl/>
              </w:rPr>
              <w:t xml:space="preserve"> </w:t>
            </w:r>
            <w:r w:rsidR="008D5779" w:rsidRPr="00451679">
              <w:rPr>
                <w:rFonts w:hint="cs"/>
                <w:rtl/>
              </w:rPr>
              <w:t>201</w:t>
            </w:r>
            <w:r w:rsidR="006E3DBD" w:rsidRPr="00451679">
              <w:rPr>
                <w:rFonts w:hint="cs"/>
                <w:rtl/>
              </w:rPr>
              <w:t>7</w:t>
            </w:r>
          </w:p>
        </w:tc>
      </w:tr>
    </w:tbl>
    <w:p w:rsidR="00C2761A" w:rsidRPr="00451679" w:rsidRDefault="00C2761A" w:rsidP="00C2761A">
      <w:pPr>
        <w:bidi/>
        <w:spacing w:line="360" w:lineRule="exact"/>
        <w:rPr>
          <w:rFonts w:ascii="Arabic Typesetting" w:hAnsi="Arabic Typesetting" w:cs="Arabic Typesetting"/>
          <w:sz w:val="36"/>
          <w:szCs w:val="36"/>
          <w:rtl/>
        </w:rPr>
      </w:pPr>
    </w:p>
    <w:p w:rsidR="00C2761A" w:rsidRPr="00451679" w:rsidRDefault="00C2761A" w:rsidP="00C2761A">
      <w:pPr>
        <w:bidi/>
        <w:spacing w:line="360" w:lineRule="exact"/>
        <w:rPr>
          <w:rFonts w:ascii="Arabic Typesetting" w:hAnsi="Arabic Typesetting" w:cs="Arabic Typesetting"/>
          <w:sz w:val="36"/>
          <w:szCs w:val="36"/>
          <w:rtl/>
        </w:rPr>
      </w:pPr>
    </w:p>
    <w:p w:rsidR="00C2761A" w:rsidRPr="00451679" w:rsidRDefault="00C2761A" w:rsidP="00C2761A">
      <w:pPr>
        <w:bidi/>
        <w:spacing w:line="360" w:lineRule="exact"/>
        <w:rPr>
          <w:rFonts w:ascii="Arabic Typesetting" w:hAnsi="Arabic Typesetting" w:cs="Arabic Typesetting"/>
          <w:sz w:val="36"/>
          <w:szCs w:val="36"/>
          <w:rtl/>
        </w:rPr>
      </w:pPr>
    </w:p>
    <w:p w:rsidR="00C2761A" w:rsidRPr="00451679" w:rsidRDefault="00C2761A" w:rsidP="00C2761A">
      <w:pPr>
        <w:pStyle w:val="MeetingTitleAR"/>
        <w:bidi/>
        <w:ind w:right="550"/>
        <w:rPr>
          <w:rtl/>
        </w:rPr>
      </w:pPr>
      <w:r w:rsidRPr="00451679">
        <w:rPr>
          <w:rtl/>
        </w:rPr>
        <w:t>اللجنة المعنية بمعايير الويبو</w:t>
      </w:r>
    </w:p>
    <w:p w:rsidR="00C2761A" w:rsidRPr="00451679" w:rsidRDefault="00C2761A" w:rsidP="00C2761A">
      <w:pPr>
        <w:bidi/>
        <w:spacing w:line="360" w:lineRule="exact"/>
        <w:rPr>
          <w:rFonts w:ascii="Arabic Typesetting" w:hAnsi="Arabic Typesetting" w:cs="Arabic Typesetting"/>
          <w:sz w:val="36"/>
          <w:szCs w:val="36"/>
          <w:rtl/>
        </w:rPr>
      </w:pPr>
    </w:p>
    <w:p w:rsidR="00C2761A" w:rsidRPr="00451679" w:rsidRDefault="00C2761A" w:rsidP="00C2761A">
      <w:pPr>
        <w:pStyle w:val="MeetingSessionAR"/>
        <w:bidi/>
        <w:rPr>
          <w:rFonts w:ascii="Cambria Math" w:hAnsi="Cambria Math"/>
          <w:rtl/>
        </w:rPr>
      </w:pPr>
      <w:r w:rsidRPr="00451679">
        <w:rPr>
          <w:rFonts w:ascii="Cambria Math" w:hAnsi="Cambria Math"/>
          <w:rtl/>
        </w:rPr>
        <w:t xml:space="preserve">الدورة </w:t>
      </w:r>
      <w:r w:rsidRPr="00451679">
        <w:rPr>
          <w:rFonts w:ascii="Cambria Math" w:hAnsi="Cambria Math" w:hint="cs"/>
          <w:rtl/>
        </w:rPr>
        <w:t>الخامسة</w:t>
      </w:r>
    </w:p>
    <w:p w:rsidR="00C2761A" w:rsidRPr="00451679" w:rsidRDefault="00C2761A" w:rsidP="00C2761A">
      <w:pPr>
        <w:pStyle w:val="MeetingDatesAR"/>
        <w:bidi/>
        <w:rPr>
          <w:rtl/>
        </w:rPr>
      </w:pPr>
      <w:r w:rsidRPr="00451679">
        <w:rPr>
          <w:rFonts w:hint="cs"/>
          <w:rtl/>
        </w:rPr>
        <w:t>جنيف، من 29 مايو إلى 2 يونيو 2017</w:t>
      </w:r>
    </w:p>
    <w:p w:rsidR="00C2761A" w:rsidRPr="00451679" w:rsidRDefault="00C2761A" w:rsidP="00C2761A">
      <w:pPr>
        <w:bidi/>
        <w:spacing w:line="360" w:lineRule="exact"/>
        <w:rPr>
          <w:rFonts w:ascii="Arabic Typesetting" w:hAnsi="Arabic Typesetting" w:cs="Arabic Typesetting"/>
          <w:sz w:val="36"/>
          <w:szCs w:val="36"/>
          <w:rtl/>
        </w:rPr>
      </w:pPr>
    </w:p>
    <w:p w:rsidR="00C2761A" w:rsidRPr="00451679" w:rsidRDefault="00C2761A" w:rsidP="00C2761A">
      <w:pPr>
        <w:bidi/>
        <w:spacing w:line="360" w:lineRule="exact"/>
        <w:rPr>
          <w:rFonts w:ascii="Arabic Typesetting" w:hAnsi="Arabic Typesetting" w:cs="Arabic Typesetting"/>
          <w:sz w:val="36"/>
          <w:szCs w:val="36"/>
          <w:rtl/>
        </w:rPr>
      </w:pPr>
    </w:p>
    <w:p w:rsidR="00C2761A" w:rsidRPr="00451679" w:rsidRDefault="00466016" w:rsidP="00C2761A">
      <w:pPr>
        <w:pStyle w:val="DocumentTitleAR"/>
        <w:bidi/>
        <w:rPr>
          <w:rtl/>
        </w:rPr>
      </w:pPr>
      <w:r w:rsidRPr="00451679">
        <w:rPr>
          <w:rFonts w:hint="cs"/>
          <w:rtl/>
        </w:rPr>
        <w:t>ملخص الرئيس</w:t>
      </w:r>
    </w:p>
    <w:p w:rsidR="00C2761A" w:rsidRPr="00451679" w:rsidRDefault="00C2761A" w:rsidP="00C2761A">
      <w:pPr>
        <w:pStyle w:val="PreparedbyAR"/>
        <w:bidi/>
        <w:rPr>
          <w:rtl/>
        </w:rPr>
      </w:pPr>
    </w:p>
    <w:p w:rsidR="00466016" w:rsidRPr="00451679" w:rsidRDefault="00466016" w:rsidP="00466016">
      <w:pPr>
        <w:pStyle w:val="Heading2"/>
      </w:pPr>
      <w:r w:rsidRPr="00451679">
        <w:rPr>
          <w:rFonts w:hint="cs"/>
          <w:rtl/>
        </w:rPr>
        <w:t>مقدمة</w:t>
      </w:r>
    </w:p>
    <w:p w:rsidR="00466016" w:rsidRPr="00451679" w:rsidRDefault="00466016" w:rsidP="00660836">
      <w:pPr>
        <w:pStyle w:val="Heading3"/>
        <w:spacing w:before="0" w:after="120"/>
        <w:rPr>
          <w:rtl/>
        </w:rPr>
      </w:pPr>
      <w:r w:rsidRPr="00451679">
        <w:rPr>
          <w:rFonts w:hint="cs"/>
          <w:rtl/>
        </w:rPr>
        <w:t>البند 1 من جدول الأعمال: افتتاح الدورة</w:t>
      </w:r>
    </w:p>
    <w:p w:rsidR="00466016" w:rsidRPr="00451679" w:rsidRDefault="001B385B" w:rsidP="00172B43">
      <w:pPr>
        <w:pStyle w:val="NumberedParaAR"/>
        <w:numPr>
          <w:ilvl w:val="0"/>
          <w:numId w:val="23"/>
        </w:numPr>
        <w:rPr>
          <w:rtl/>
        </w:rPr>
      </w:pPr>
      <w:r w:rsidRPr="00451679">
        <w:rPr>
          <w:rFonts w:hint="cs"/>
          <w:rtl/>
        </w:rPr>
        <w:t>افتتح المدير العام للويبو السيد فرانسس غري</w:t>
      </w:r>
      <w:r w:rsidR="00466016" w:rsidRPr="00451679">
        <w:rPr>
          <w:rFonts w:hint="cs"/>
          <w:rtl/>
        </w:rPr>
        <w:t xml:space="preserve"> الدورة </w:t>
      </w:r>
      <w:r w:rsidRPr="00451679">
        <w:rPr>
          <w:rFonts w:hint="cs"/>
          <w:rtl/>
        </w:rPr>
        <w:t>الخامسة</w:t>
      </w:r>
      <w:r w:rsidR="00466016" w:rsidRPr="00451679">
        <w:rPr>
          <w:rFonts w:hint="cs"/>
          <w:rtl/>
        </w:rPr>
        <w:t xml:space="preserve"> للجنة المعنية بمعايير الويبو </w:t>
      </w:r>
      <w:r w:rsidRPr="00451679">
        <w:rPr>
          <w:rFonts w:hint="cs"/>
          <w:rtl/>
        </w:rPr>
        <w:t>(لجنة</w:t>
      </w:r>
      <w:r w:rsidR="004E54E4" w:rsidRPr="00451679">
        <w:rPr>
          <w:rFonts w:hint="cs"/>
          <w:rtl/>
        </w:rPr>
        <w:t xml:space="preserve"> المعايير</w:t>
      </w:r>
      <w:r w:rsidRPr="00451679">
        <w:rPr>
          <w:rFonts w:hint="cs"/>
          <w:rtl/>
        </w:rPr>
        <w:t>) ورحّب</w:t>
      </w:r>
      <w:r w:rsidR="00172B43">
        <w:rPr>
          <w:rFonts w:hint="eastAsia"/>
        </w:rPr>
        <w:t> </w:t>
      </w:r>
      <w:r w:rsidR="00466016" w:rsidRPr="00451679">
        <w:rPr>
          <w:rFonts w:hint="cs"/>
          <w:rtl/>
        </w:rPr>
        <w:t>بالمشاركين.</w:t>
      </w:r>
    </w:p>
    <w:p w:rsidR="00466016" w:rsidRPr="00451679" w:rsidRDefault="001B385B" w:rsidP="00660836">
      <w:pPr>
        <w:pStyle w:val="Heading3"/>
        <w:spacing w:before="0" w:after="120"/>
        <w:rPr>
          <w:rtl/>
        </w:rPr>
      </w:pPr>
      <w:r w:rsidRPr="00451679">
        <w:rPr>
          <w:rFonts w:hint="cs"/>
          <w:rtl/>
        </w:rPr>
        <w:t xml:space="preserve">البند 2 من جدول الأعمال: </w:t>
      </w:r>
      <w:r w:rsidR="00466016" w:rsidRPr="00451679">
        <w:rPr>
          <w:rFonts w:hint="cs"/>
          <w:rtl/>
        </w:rPr>
        <w:t>انتخاب الرئيس ونائبيه</w:t>
      </w:r>
    </w:p>
    <w:p w:rsidR="00466016" w:rsidRPr="00451679" w:rsidRDefault="001B385B" w:rsidP="004E54E4">
      <w:pPr>
        <w:pStyle w:val="NumberedParaAR"/>
        <w:numPr>
          <w:ilvl w:val="0"/>
          <w:numId w:val="23"/>
        </w:numPr>
        <w:rPr>
          <w:rtl/>
        </w:rPr>
      </w:pPr>
      <w:r w:rsidRPr="00451679">
        <w:rPr>
          <w:rFonts w:hint="cs"/>
          <w:rtl/>
        </w:rPr>
        <w:t xml:space="preserve">انتخبت </w:t>
      </w:r>
      <w:r w:rsidR="004E54E4" w:rsidRPr="00451679">
        <w:rPr>
          <w:rFonts w:hint="cs"/>
          <w:rtl/>
        </w:rPr>
        <w:t>لجنة المعايير</w:t>
      </w:r>
      <w:r w:rsidRPr="00451679">
        <w:rPr>
          <w:rFonts w:hint="cs"/>
          <w:rtl/>
        </w:rPr>
        <w:t xml:space="preserve"> </w:t>
      </w:r>
      <w:r w:rsidR="00466016" w:rsidRPr="00451679">
        <w:rPr>
          <w:rFonts w:hint="cs"/>
          <w:rtl/>
        </w:rPr>
        <w:t xml:space="preserve">بالإجماع السيدة </w:t>
      </w:r>
      <w:r w:rsidRPr="00451679">
        <w:rPr>
          <w:rFonts w:hint="cs"/>
          <w:rtl/>
        </w:rPr>
        <w:t>كاتيا برابيك</w:t>
      </w:r>
      <w:r w:rsidR="00466016" w:rsidRPr="00451679">
        <w:rPr>
          <w:rFonts w:hint="cs"/>
          <w:rtl/>
        </w:rPr>
        <w:t xml:space="preserve"> (</w:t>
      </w:r>
      <w:r w:rsidRPr="00451679">
        <w:rPr>
          <w:rFonts w:hint="cs"/>
          <w:rtl/>
        </w:rPr>
        <w:t>ألمانيا</w:t>
      </w:r>
      <w:r w:rsidR="00466016" w:rsidRPr="00451679">
        <w:rPr>
          <w:rFonts w:hint="cs"/>
          <w:rtl/>
        </w:rPr>
        <w:t>) رئيسةً والسفير ألفريدو سو</w:t>
      </w:r>
      <w:r w:rsidR="00EE2BD7" w:rsidRPr="00451679">
        <w:rPr>
          <w:rFonts w:hint="cs"/>
          <w:rtl/>
        </w:rPr>
        <w:t>ي</w:t>
      </w:r>
      <w:r w:rsidR="00466016" w:rsidRPr="00451679">
        <w:rPr>
          <w:rFonts w:hint="cs"/>
          <w:rtl/>
        </w:rPr>
        <w:t>سكوم (بنما) نائبا للرئيسة.</w:t>
      </w:r>
    </w:p>
    <w:p w:rsidR="00466016" w:rsidRPr="00451679" w:rsidRDefault="00466016" w:rsidP="00466016">
      <w:pPr>
        <w:pStyle w:val="Heading2"/>
      </w:pPr>
      <w:r w:rsidRPr="00451679">
        <w:rPr>
          <w:rFonts w:hint="cs"/>
          <w:rtl/>
        </w:rPr>
        <w:t>مناقشة بنود جدول الأعمال</w:t>
      </w:r>
    </w:p>
    <w:p w:rsidR="00466016" w:rsidRPr="00451679" w:rsidRDefault="00466016" w:rsidP="00660836">
      <w:pPr>
        <w:pStyle w:val="Heading3"/>
        <w:spacing w:before="0" w:after="120"/>
        <w:rPr>
          <w:rtl/>
        </w:rPr>
      </w:pPr>
      <w:r w:rsidRPr="00451679">
        <w:rPr>
          <w:rFonts w:hint="cs"/>
          <w:rtl/>
        </w:rPr>
        <w:t>البند 3 من جدول الأعمال: اعتماد جدول الأعمال</w:t>
      </w:r>
    </w:p>
    <w:p w:rsidR="00466016" w:rsidRPr="00451679" w:rsidRDefault="00466016" w:rsidP="004E54E4">
      <w:pPr>
        <w:pStyle w:val="NumberedParaAR"/>
        <w:numPr>
          <w:ilvl w:val="0"/>
          <w:numId w:val="23"/>
        </w:numPr>
      </w:pPr>
      <w:r w:rsidRPr="00451679">
        <w:rPr>
          <w:rFonts w:hint="cs"/>
          <w:rtl/>
          <w:lang w:bidi="ar-EG"/>
        </w:rPr>
        <w:t xml:space="preserve">اعتمدت </w:t>
      </w:r>
      <w:r w:rsidR="004E54E4" w:rsidRPr="00451679">
        <w:rPr>
          <w:rFonts w:hint="cs"/>
          <w:rtl/>
        </w:rPr>
        <w:t>لجنة المعايير</w:t>
      </w:r>
      <w:r w:rsidRPr="00451679">
        <w:rPr>
          <w:rFonts w:hint="cs"/>
          <w:rtl/>
        </w:rPr>
        <w:t xml:space="preserve"> جدول الأعمال كما هو مقترح في الوثيقة </w:t>
      </w:r>
      <w:r w:rsidR="004E54E4" w:rsidRPr="00451679">
        <w:t>CWS/5/1 PROV. 3</w:t>
      </w:r>
      <w:r w:rsidRPr="00451679">
        <w:rPr>
          <w:rFonts w:hint="cs"/>
          <w:rtl/>
        </w:rPr>
        <w:t>.</w:t>
      </w:r>
    </w:p>
    <w:p w:rsidR="00466016" w:rsidRPr="00984302" w:rsidRDefault="00466016" w:rsidP="00660836">
      <w:pPr>
        <w:pStyle w:val="Heading3"/>
        <w:spacing w:before="0" w:after="120"/>
        <w:rPr>
          <w:lang w:val="en-US"/>
        </w:rPr>
      </w:pPr>
      <w:r w:rsidRPr="00451679">
        <w:rPr>
          <w:rFonts w:hint="cs"/>
          <w:rtl/>
        </w:rPr>
        <w:t>البند 4 من جدول الأعمال: تقرير عن الدراسة الاستقصائية بشأن استخدام معايير الويبو</w:t>
      </w:r>
    </w:p>
    <w:p w:rsidR="00A46CCD" w:rsidRDefault="004E54E4" w:rsidP="00E90651">
      <w:pPr>
        <w:pStyle w:val="NumberedParaAR"/>
        <w:numPr>
          <w:ilvl w:val="0"/>
          <w:numId w:val="23"/>
        </w:numPr>
        <w:rPr>
          <w:rtl/>
          <w:lang w:bidi="ar-EG"/>
        </w:rPr>
        <w:sectPr w:rsidR="00A46CCD" w:rsidSect="00E90651">
          <w:headerReference w:type="even" r:id="rId10"/>
          <w:headerReference w:type="default" r:id="rId11"/>
          <w:headerReference w:type="first" r:id="rId12"/>
          <w:pgSz w:w="11907" w:h="16840" w:code="9"/>
          <w:pgMar w:top="567" w:right="1418" w:bottom="1418" w:left="1134" w:header="510" w:footer="1021" w:gutter="0"/>
          <w:cols w:space="720"/>
          <w:titlePg/>
          <w:docGrid w:linePitch="299"/>
        </w:sectPr>
      </w:pPr>
      <w:r w:rsidRPr="00451679">
        <w:rPr>
          <w:rFonts w:hint="cs"/>
          <w:rtl/>
        </w:rPr>
        <w:t>أحاطت لجنة المعايير علما بمضمون الوثيقة</w:t>
      </w:r>
      <w:r w:rsidRPr="00451679">
        <w:rPr>
          <w:rFonts w:hint="eastAsia"/>
          <w:rtl/>
        </w:rPr>
        <w:t> </w:t>
      </w:r>
      <w:r w:rsidRPr="00536657">
        <w:rPr>
          <w:lang w:val="fr-CH"/>
        </w:rPr>
        <w:t>CWS/5/2</w:t>
      </w:r>
      <w:r w:rsidRPr="00451679">
        <w:rPr>
          <w:rFonts w:hint="cs"/>
          <w:rtl/>
          <w:lang w:bidi="ar-EG"/>
        </w:rPr>
        <w:t xml:space="preserve">؛ وأحاطت علما كذلك بنتائج الدراسة الاستقصائية بشأن استخدام معايير الويبو ووافقت على نشرها </w:t>
      </w:r>
      <w:r w:rsidRPr="00451679">
        <w:rPr>
          <w:rtl/>
          <w:lang w:bidi="ar-EG"/>
        </w:rPr>
        <w:t xml:space="preserve">في الجزء 12.7 من </w:t>
      </w:r>
      <w:r w:rsidRPr="00451679">
        <w:rPr>
          <w:i/>
          <w:iCs/>
          <w:rtl/>
          <w:lang w:bidi="ar-EG"/>
        </w:rPr>
        <w:t>دليل الويبو بشأن المعلومات والوثائق المتعلقة بالملكية الصناعية (دليل الويبو)</w:t>
      </w:r>
      <w:r w:rsidRPr="00451679">
        <w:rPr>
          <w:rFonts w:hint="cs"/>
          <w:rtl/>
          <w:lang w:bidi="ar-EG"/>
        </w:rPr>
        <w:t xml:space="preserve">. </w:t>
      </w:r>
      <w:r w:rsidRPr="00451679">
        <w:rPr>
          <w:rtl/>
          <w:lang w:bidi="ar-EG"/>
        </w:rPr>
        <w:t>وحثّ</w:t>
      </w:r>
      <w:r w:rsidRPr="00451679">
        <w:rPr>
          <w:rFonts w:hint="cs"/>
          <w:rtl/>
          <w:lang w:bidi="ar-EG"/>
        </w:rPr>
        <w:t>ت لجنة المعايير</w:t>
      </w:r>
      <w:r w:rsidRPr="00451679">
        <w:rPr>
          <w:rtl/>
          <w:lang w:bidi="ar-EG"/>
        </w:rPr>
        <w:t xml:space="preserve"> مكاتب الملكية الصناعية التي لم تُقدِّم ردودها على أن تفعل ذلك</w:t>
      </w:r>
      <w:r w:rsidR="00471C26">
        <w:rPr>
          <w:rFonts w:hint="cs"/>
          <w:rtl/>
          <w:lang w:bidi="ar-EG"/>
        </w:rPr>
        <w:t>.</w:t>
      </w:r>
    </w:p>
    <w:p w:rsidR="004E54E4" w:rsidRPr="00451679" w:rsidRDefault="00A75CB3" w:rsidP="00471C26">
      <w:pPr>
        <w:pStyle w:val="NumberedParaAR"/>
        <w:numPr>
          <w:ilvl w:val="0"/>
          <w:numId w:val="23"/>
        </w:numPr>
      </w:pPr>
      <w:r w:rsidRPr="00451679">
        <w:rPr>
          <w:rFonts w:hint="cs"/>
          <w:rtl/>
        </w:rPr>
        <w:lastRenderedPageBreak/>
        <w:t xml:space="preserve">وافقت لجنة المعايير على </w:t>
      </w:r>
      <w:r w:rsidRPr="00451679">
        <w:rPr>
          <w:rtl/>
        </w:rPr>
        <w:t xml:space="preserve">نقل معايير الويبو بدءاً من </w:t>
      </w:r>
      <w:r w:rsidRPr="00451679">
        <w:t>ST.7</w:t>
      </w:r>
      <w:r w:rsidRPr="00451679">
        <w:rPr>
          <w:rtl/>
        </w:rPr>
        <w:t xml:space="preserve"> إلى </w:t>
      </w:r>
      <w:r w:rsidRPr="00451679">
        <w:t>ST.7/F</w:t>
      </w:r>
      <w:r w:rsidRPr="00451679">
        <w:rPr>
          <w:rtl/>
        </w:rPr>
        <w:t xml:space="preserve"> و</w:t>
      </w:r>
      <w:r w:rsidRPr="00451679">
        <w:t>ST.30</w:t>
      </w:r>
      <w:r w:rsidRPr="00451679">
        <w:rPr>
          <w:rtl/>
        </w:rPr>
        <w:t xml:space="preserve"> إلى المحفوظات</w:t>
      </w:r>
      <w:r w:rsidRPr="00451679">
        <w:rPr>
          <w:rFonts w:hint="cs"/>
          <w:rtl/>
        </w:rPr>
        <w:t>. وفيما يخص معايير الويبو المذكورة في الفقرة</w:t>
      </w:r>
      <w:r w:rsidR="00471C26">
        <w:rPr>
          <w:rFonts w:hint="eastAsia"/>
          <w:rtl/>
        </w:rPr>
        <w:t> </w:t>
      </w:r>
      <w:r w:rsidRPr="00451679">
        <w:rPr>
          <w:rFonts w:hint="cs"/>
          <w:rtl/>
        </w:rPr>
        <w:t>11 من الوثيقة</w:t>
      </w:r>
      <w:r w:rsidR="00471C26">
        <w:rPr>
          <w:rFonts w:hint="eastAsia"/>
          <w:rtl/>
        </w:rPr>
        <w:t> </w:t>
      </w:r>
      <w:r w:rsidRPr="00451679">
        <w:t>CWS/5/2</w:t>
      </w:r>
      <w:r w:rsidRPr="00451679">
        <w:rPr>
          <w:rFonts w:hint="cs"/>
          <w:rtl/>
        </w:rPr>
        <w:t>، وافقت لجنة المعايير على الاحتفاظ بها في دليل الويبو وإعادة النظر في المسألة عندما تُعرض عليها النتائج الموسّعة للدراسة الاستقصائية كي تنظر فيها.</w:t>
      </w:r>
    </w:p>
    <w:p w:rsidR="00A3755F" w:rsidRPr="00451679" w:rsidRDefault="00A3755F" w:rsidP="00CD17D4">
      <w:pPr>
        <w:pStyle w:val="NumberedParaAR"/>
        <w:numPr>
          <w:ilvl w:val="0"/>
          <w:numId w:val="23"/>
        </w:numPr>
      </w:pPr>
      <w:r w:rsidRPr="00451679">
        <w:rPr>
          <w:rFonts w:hint="cs"/>
          <w:rtl/>
        </w:rPr>
        <w:t xml:space="preserve">والتمست لجنة المعايير من المكتب الدولي </w:t>
      </w:r>
      <w:r w:rsidR="004369EE" w:rsidRPr="00451679">
        <w:rPr>
          <w:rFonts w:hint="cs"/>
          <w:rtl/>
        </w:rPr>
        <w:t>مواصلة وتكثيف جهوده الرامية إلى</w:t>
      </w:r>
      <w:r w:rsidR="00284EE7" w:rsidRPr="00451679">
        <w:rPr>
          <w:rFonts w:hint="cs"/>
          <w:rtl/>
        </w:rPr>
        <w:t xml:space="preserve"> توفير المساعدة التقنية إلى الدول الأعضاء</w:t>
      </w:r>
      <w:r w:rsidR="004369EE" w:rsidRPr="00451679">
        <w:rPr>
          <w:rFonts w:hint="cs"/>
          <w:rtl/>
        </w:rPr>
        <w:t>،</w:t>
      </w:r>
      <w:r w:rsidR="00284EE7" w:rsidRPr="00451679">
        <w:rPr>
          <w:rFonts w:hint="cs"/>
          <w:rtl/>
        </w:rPr>
        <w:t xml:space="preserve"> و</w:t>
      </w:r>
      <w:r w:rsidR="00284EE7" w:rsidRPr="00451679">
        <w:rPr>
          <w:rtl/>
        </w:rPr>
        <w:t>متابعة ا</w:t>
      </w:r>
      <w:r w:rsidR="00CD17D4">
        <w:rPr>
          <w:rtl/>
        </w:rPr>
        <w:t>لحالات المشار إليها في الفقرة</w:t>
      </w:r>
      <w:r w:rsidR="00CD17D4">
        <w:rPr>
          <w:rFonts w:hint="cs"/>
          <w:rtl/>
        </w:rPr>
        <w:t> </w:t>
      </w:r>
      <w:r w:rsidR="00CD17D4">
        <w:rPr>
          <w:rtl/>
        </w:rPr>
        <w:t>8</w:t>
      </w:r>
      <w:r w:rsidR="00284EE7" w:rsidRPr="00451679">
        <w:rPr>
          <w:rtl/>
        </w:rPr>
        <w:t xml:space="preserve">(ج) </w:t>
      </w:r>
      <w:r w:rsidR="004369EE" w:rsidRPr="00451679">
        <w:rPr>
          <w:rFonts w:hint="cs"/>
          <w:rtl/>
        </w:rPr>
        <w:t>من الوثيقة</w:t>
      </w:r>
      <w:r w:rsidR="00CD17D4">
        <w:rPr>
          <w:rFonts w:hint="eastAsia"/>
          <w:rtl/>
        </w:rPr>
        <w:t> </w:t>
      </w:r>
      <w:r w:rsidR="004369EE" w:rsidRPr="00451679">
        <w:t>CWS/5/2</w:t>
      </w:r>
      <w:r w:rsidR="00284EE7" w:rsidRPr="00451679">
        <w:rPr>
          <w:rtl/>
        </w:rPr>
        <w:t xml:space="preserve"> والحالات الأخرى التي قد تُطرح في المستقبل وتحتاج إلى إذكاء الوعي والمساعدة التقنية</w:t>
      </w:r>
      <w:r w:rsidR="004369EE" w:rsidRPr="00451679">
        <w:rPr>
          <w:rFonts w:hint="cs"/>
          <w:rtl/>
        </w:rPr>
        <w:t>.</w:t>
      </w:r>
      <w:r w:rsidR="004369EE" w:rsidRPr="00451679">
        <w:rPr>
          <w:rtl/>
        </w:rPr>
        <w:t xml:space="preserve"> </w:t>
      </w:r>
      <w:r w:rsidR="004369EE" w:rsidRPr="00451679">
        <w:rPr>
          <w:rFonts w:hint="cs"/>
          <w:rtl/>
        </w:rPr>
        <w:t>وينبغي إدراج تلك الأنشطة في "</w:t>
      </w:r>
      <w:r w:rsidR="00284EE7" w:rsidRPr="00451679">
        <w:rPr>
          <w:rtl/>
        </w:rPr>
        <w:t>تقرير المكتب الدولي عن تقديم المشورة والمساعدة التقنيتين من أجل تكوين كفاءات مكاتب الملكية الصناعية" المُقدَّم إلى لجنة المعايير.</w:t>
      </w:r>
    </w:p>
    <w:p w:rsidR="00466016" w:rsidRPr="00451679" w:rsidRDefault="00466016" w:rsidP="00660836">
      <w:pPr>
        <w:pStyle w:val="Heading3"/>
        <w:spacing w:before="0" w:after="120"/>
        <w:rPr>
          <w:rtl/>
        </w:rPr>
      </w:pPr>
      <w:r w:rsidRPr="00451679">
        <w:rPr>
          <w:rFonts w:hint="cs"/>
          <w:rtl/>
        </w:rPr>
        <w:t xml:space="preserve">البند </w:t>
      </w:r>
      <w:r w:rsidRPr="00984302">
        <w:rPr>
          <w:lang w:val="en-US"/>
        </w:rPr>
        <w:t>5</w:t>
      </w:r>
      <w:r w:rsidRPr="00451679">
        <w:rPr>
          <w:rFonts w:hint="cs"/>
          <w:rtl/>
        </w:rPr>
        <w:t xml:space="preserve"> من جدول الأعمال: قرار الدورة الثامنة والأربعين للجمعية العامة للويبو فيما يخص اللجنة المعنية بمعايير الويبو (اللجنة)، بما في ذلك مسائل تتعلق بأجندة التنمية</w:t>
      </w:r>
      <w:r w:rsidRPr="00451679">
        <w:rPr>
          <w:vertAlign w:val="superscript"/>
          <w:rtl/>
        </w:rPr>
        <w:footnoteReference w:id="1"/>
      </w:r>
    </w:p>
    <w:p w:rsidR="00CA24A4" w:rsidRPr="00451679" w:rsidRDefault="00466016" w:rsidP="00CA24A4">
      <w:pPr>
        <w:pStyle w:val="NumberedParaAR"/>
        <w:numPr>
          <w:ilvl w:val="0"/>
          <w:numId w:val="23"/>
        </w:numPr>
      </w:pPr>
      <w:r w:rsidRPr="00451679">
        <w:rPr>
          <w:rFonts w:hint="cs"/>
          <w:rtl/>
          <w:lang w:bidi="ar-EG"/>
        </w:rPr>
        <w:t>استندت المناقشات إلى الوثيقة</w:t>
      </w:r>
      <w:r w:rsidR="00CA24A4" w:rsidRPr="00451679">
        <w:rPr>
          <w:rFonts w:hint="eastAsia"/>
          <w:rtl/>
          <w:lang w:bidi="ar-EG"/>
        </w:rPr>
        <w:t> </w:t>
      </w:r>
      <w:r w:rsidR="00CA24A4" w:rsidRPr="00451679">
        <w:rPr>
          <w:lang w:bidi="ar-EG"/>
        </w:rPr>
        <w:t>CWS/5/3</w:t>
      </w:r>
      <w:r w:rsidRPr="00451679">
        <w:rPr>
          <w:rFonts w:hint="cs"/>
          <w:rtl/>
          <w:lang w:bidi="ar-EG"/>
        </w:rPr>
        <w:t xml:space="preserve">. </w:t>
      </w:r>
      <w:r w:rsidR="00CA24A4" w:rsidRPr="00451679">
        <w:rPr>
          <w:rFonts w:hint="cs"/>
          <w:rtl/>
          <w:lang w:bidi="ar-EG"/>
        </w:rPr>
        <w:t>وأحاطت لجنة المعايير علما بقرار الدورة الثامنة والأربعين للجمعية العامة للويبو فيما يخص لجنة المعايير.</w:t>
      </w:r>
    </w:p>
    <w:p w:rsidR="00466016" w:rsidRPr="00451679" w:rsidRDefault="009249C5" w:rsidP="00660836">
      <w:pPr>
        <w:pStyle w:val="Heading3"/>
        <w:spacing w:before="0" w:after="120"/>
        <w:rPr>
          <w:rtl/>
        </w:rPr>
      </w:pPr>
      <w:r w:rsidRPr="00451679">
        <w:rPr>
          <w:rFonts w:hint="cs"/>
          <w:rtl/>
        </w:rPr>
        <w:t>البند 6 من جدول الأعمال: توسيع معيار الويبو </w:t>
      </w:r>
      <w:r w:rsidRPr="00984302">
        <w:rPr>
          <w:lang w:val="en-US"/>
        </w:rPr>
        <w:t>ST.96</w:t>
      </w:r>
      <w:r w:rsidRPr="00451679">
        <w:rPr>
          <w:rFonts w:hint="cs"/>
          <w:rtl/>
        </w:rPr>
        <w:t xml:space="preserve"> ليشمل مخطط لغة الترميز الموسعة</w:t>
      </w:r>
      <w:r w:rsidRPr="00451679">
        <w:rPr>
          <w:rFonts w:hint="eastAsia"/>
          <w:rtl/>
        </w:rPr>
        <w:t> </w:t>
      </w:r>
      <w:r w:rsidRPr="00451679">
        <w:rPr>
          <w:rFonts w:hint="cs"/>
          <w:rtl/>
        </w:rPr>
        <w:t>(</w:t>
      </w:r>
      <w:r w:rsidRPr="00984302">
        <w:rPr>
          <w:lang w:val="en-US"/>
        </w:rPr>
        <w:t>XML</w:t>
      </w:r>
      <w:r w:rsidRPr="00451679">
        <w:rPr>
          <w:rFonts w:hint="cs"/>
          <w:rtl/>
        </w:rPr>
        <w:t>) للمصنفات اليتيمة والمؤشرات الجغرافية</w:t>
      </w:r>
    </w:p>
    <w:p w:rsidR="00CA24A4" w:rsidRPr="00451679" w:rsidRDefault="003A3EB2" w:rsidP="003A3EB2">
      <w:pPr>
        <w:pStyle w:val="NumberedParaAR"/>
        <w:numPr>
          <w:ilvl w:val="0"/>
          <w:numId w:val="23"/>
        </w:numPr>
      </w:pPr>
      <w:r w:rsidRPr="00451679">
        <w:rPr>
          <w:rFonts w:hint="cs"/>
          <w:rtl/>
        </w:rPr>
        <w:t>استندت المناقشات إلى الوثيقة</w:t>
      </w:r>
      <w:r w:rsidRPr="00451679">
        <w:rPr>
          <w:rFonts w:hint="eastAsia"/>
          <w:rtl/>
        </w:rPr>
        <w:t> </w:t>
      </w:r>
      <w:r w:rsidRPr="00451679">
        <w:t>CWS/5/4</w:t>
      </w:r>
      <w:r w:rsidRPr="00451679">
        <w:rPr>
          <w:rFonts w:hint="cs"/>
          <w:rtl/>
        </w:rPr>
        <w:t>.</w:t>
      </w:r>
    </w:p>
    <w:p w:rsidR="003A3EB2" w:rsidRPr="00451679" w:rsidRDefault="003A3EB2" w:rsidP="00D34D65">
      <w:pPr>
        <w:pStyle w:val="NumberedParaAR"/>
        <w:numPr>
          <w:ilvl w:val="0"/>
          <w:numId w:val="23"/>
        </w:numPr>
      </w:pPr>
      <w:r w:rsidRPr="00451679">
        <w:rPr>
          <w:rFonts w:hint="cs"/>
          <w:rtl/>
        </w:rPr>
        <w:t xml:space="preserve">ووافقت لجنة المعايير على توسيع </w:t>
      </w:r>
      <w:r w:rsidRPr="00451679">
        <w:rPr>
          <w:rtl/>
        </w:rPr>
        <w:t>معيار</w:t>
      </w:r>
      <w:r w:rsidRPr="00451679">
        <w:rPr>
          <w:rFonts w:hint="cs"/>
          <w:rtl/>
        </w:rPr>
        <w:t xml:space="preserve"> </w:t>
      </w:r>
      <w:r w:rsidRPr="00451679">
        <w:rPr>
          <w:rtl/>
        </w:rPr>
        <w:t>الويبو</w:t>
      </w:r>
      <w:r w:rsidRPr="00451679">
        <w:rPr>
          <w:rFonts w:hint="cs"/>
          <w:rtl/>
        </w:rPr>
        <w:t> </w:t>
      </w:r>
      <w:r w:rsidRPr="00451679">
        <w:t>ST.96</w:t>
      </w:r>
      <w:r w:rsidRPr="00451679">
        <w:rPr>
          <w:rtl/>
        </w:rPr>
        <w:t xml:space="preserve"> ليشمل</w:t>
      </w:r>
      <w:r w:rsidRPr="00451679">
        <w:rPr>
          <w:rFonts w:hint="cs"/>
          <w:rtl/>
        </w:rPr>
        <w:t xml:space="preserve"> المؤشرات الجغرافية كما اقترحه وفد الاتحاد الروسي.</w:t>
      </w:r>
    </w:p>
    <w:p w:rsidR="003A3EB2" w:rsidRDefault="003A3EB2" w:rsidP="00D34D65">
      <w:pPr>
        <w:pStyle w:val="NumberedParaAR"/>
        <w:numPr>
          <w:ilvl w:val="0"/>
          <w:numId w:val="23"/>
        </w:numPr>
      </w:pPr>
      <w:r w:rsidRPr="00451679">
        <w:rPr>
          <w:rFonts w:hint="cs"/>
          <w:rtl/>
        </w:rPr>
        <w:t>وأسندت لج</w:t>
      </w:r>
      <w:r w:rsidR="00CD17D4">
        <w:rPr>
          <w:rFonts w:hint="cs"/>
          <w:rtl/>
        </w:rPr>
        <w:t xml:space="preserve">نة المعايير المهمة الجديدة </w:t>
      </w:r>
      <w:r w:rsidRPr="00451679">
        <w:rPr>
          <w:rFonts w:hint="cs"/>
          <w:rtl/>
        </w:rPr>
        <w:t>"تطوير عناصر مخطط لغة الترميز الموسعة (</w:t>
      </w:r>
      <w:r w:rsidRPr="00451679">
        <w:t>XML</w:t>
      </w:r>
      <w:r w:rsidRPr="00451679">
        <w:rPr>
          <w:rFonts w:hint="cs"/>
          <w:rtl/>
        </w:rPr>
        <w:t xml:space="preserve">) </w:t>
      </w:r>
      <w:r w:rsidR="00D34D65">
        <w:rPr>
          <w:rFonts w:hint="cs"/>
          <w:rtl/>
          <w:lang w:bidi="ar-EG"/>
        </w:rPr>
        <w:t>ل</w:t>
      </w:r>
      <w:r w:rsidRPr="00451679">
        <w:rPr>
          <w:rFonts w:hint="cs"/>
          <w:rtl/>
        </w:rPr>
        <w:t xml:space="preserve">لمؤشرات الجغرافية"، إلى </w:t>
      </w:r>
      <w:r w:rsidRPr="00451679">
        <w:rPr>
          <w:rtl/>
        </w:rPr>
        <w:t>فرقة عمل</w:t>
      </w:r>
      <w:r w:rsidR="00210153" w:rsidRPr="00451679">
        <w:rPr>
          <w:rFonts w:hint="cs"/>
          <w:rtl/>
        </w:rPr>
        <w:t> </w:t>
      </w:r>
      <w:r w:rsidRPr="00451679">
        <w:t>XML4IP</w:t>
      </w:r>
      <w:r w:rsidRPr="00451679">
        <w:rPr>
          <w:rFonts w:hint="cs"/>
          <w:rtl/>
        </w:rPr>
        <w:t xml:space="preserve"> والتمست من المكتب الدولي دعوة أعضا</w:t>
      </w:r>
      <w:r w:rsidR="00210153" w:rsidRPr="00451679">
        <w:rPr>
          <w:rFonts w:hint="cs"/>
          <w:rtl/>
        </w:rPr>
        <w:t>ئها</w:t>
      </w:r>
      <w:r w:rsidRPr="00451679">
        <w:rPr>
          <w:rFonts w:hint="cs"/>
          <w:rtl/>
        </w:rPr>
        <w:t xml:space="preserve"> إلى ترشيح خبراء في مجال المؤشرات الجغرافية لتشكيل فرقة العمل</w:t>
      </w:r>
      <w:r w:rsidR="00210153" w:rsidRPr="00451679">
        <w:rPr>
          <w:rFonts w:hint="cs"/>
          <w:rtl/>
        </w:rPr>
        <w:t xml:space="preserve">. كما التمست لجنة المعايير من </w:t>
      </w:r>
      <w:r w:rsidR="00210153" w:rsidRPr="00451679">
        <w:rPr>
          <w:rtl/>
        </w:rPr>
        <w:t>فرقة عمل</w:t>
      </w:r>
      <w:r w:rsidR="00210153" w:rsidRPr="00451679">
        <w:rPr>
          <w:rFonts w:hint="cs"/>
          <w:rtl/>
        </w:rPr>
        <w:t> </w:t>
      </w:r>
      <w:r w:rsidR="00210153" w:rsidRPr="00451679">
        <w:t>XML4IP</w:t>
      </w:r>
      <w:r w:rsidR="00210153" w:rsidRPr="00451679">
        <w:rPr>
          <w:rFonts w:hint="cs"/>
          <w:rtl/>
        </w:rPr>
        <w:t xml:space="preserve"> أن تقدم لها في دورتها السادسة تقريرا عن التقدم المحرز فيما يخص المهمة الجديدة.</w:t>
      </w:r>
    </w:p>
    <w:p w:rsidR="00D34D65" w:rsidRPr="00451679" w:rsidRDefault="00D34D65" w:rsidP="00675CAA">
      <w:pPr>
        <w:pStyle w:val="NumberedParaAR"/>
        <w:numPr>
          <w:ilvl w:val="0"/>
          <w:numId w:val="23"/>
        </w:numPr>
      </w:pPr>
      <w:r>
        <w:rPr>
          <w:rFonts w:hint="cs"/>
          <w:rtl/>
        </w:rPr>
        <w:t xml:space="preserve">ووافقت لجنة المعايير على إنشاء مهمة </w:t>
      </w:r>
      <w:r w:rsidR="001D3388">
        <w:rPr>
          <w:rFonts w:hint="cs"/>
          <w:rtl/>
        </w:rPr>
        <w:t xml:space="preserve">جديدة </w:t>
      </w:r>
      <w:r w:rsidR="00675CAA">
        <w:rPr>
          <w:rFonts w:hint="cs"/>
          <w:rtl/>
        </w:rPr>
        <w:t>هي</w:t>
      </w:r>
      <w:r w:rsidR="001D3388">
        <w:rPr>
          <w:rFonts w:hint="cs"/>
          <w:rtl/>
        </w:rPr>
        <w:t xml:space="preserve"> "دراسة عناصر البيانات الخاصة بمصنفات حق المؤلف اليتيمة واتفاقيات تسميتها ومقارنتها في ظل اقتراح </w:t>
      </w:r>
      <w:r w:rsidR="001D3388" w:rsidRPr="001D3388">
        <w:rPr>
          <w:rtl/>
        </w:rPr>
        <w:t xml:space="preserve">توسيع معيار الويبو </w:t>
      </w:r>
      <w:r w:rsidR="001D3388" w:rsidRPr="001D3388">
        <w:t>ST.96</w:t>
      </w:r>
      <w:r w:rsidR="001D3388">
        <w:rPr>
          <w:rFonts w:hint="cs"/>
          <w:rtl/>
        </w:rPr>
        <w:t xml:space="preserve">؛ والإبلاغ بنتائج الدراسة؛ وتقديم اقتراح تنظر فيه لجنة المعايير لإعداد </w:t>
      </w:r>
      <w:r w:rsidR="001D3388" w:rsidRPr="001D3388">
        <w:rPr>
          <w:rtl/>
        </w:rPr>
        <w:t xml:space="preserve">قاموس بيانات ومخططات </w:t>
      </w:r>
      <w:r w:rsidR="001D3388" w:rsidRPr="001D3388">
        <w:t>XML</w:t>
      </w:r>
      <w:r w:rsidR="001D3388" w:rsidRPr="001D3388">
        <w:rPr>
          <w:rtl/>
        </w:rPr>
        <w:t xml:space="preserve"> لإدراج مصنفات حق المؤلف اليتيمة في معيار الويبو </w:t>
      </w:r>
      <w:r w:rsidR="001D3388" w:rsidRPr="001D3388">
        <w:t>ST.96</w:t>
      </w:r>
      <w:r w:rsidR="001D3388">
        <w:rPr>
          <w:rFonts w:hint="cs"/>
          <w:rtl/>
        </w:rPr>
        <w:t>"</w:t>
      </w:r>
      <w:r w:rsidR="001D3388" w:rsidRPr="001D3388">
        <w:rPr>
          <w:rtl/>
        </w:rPr>
        <w:t>.</w:t>
      </w:r>
      <w:r w:rsidR="001D3388">
        <w:rPr>
          <w:rFonts w:hint="cs"/>
          <w:rtl/>
        </w:rPr>
        <w:t xml:space="preserve"> وعيَّنت لجنة المعايير </w:t>
      </w:r>
      <w:r w:rsidR="001D3388" w:rsidRPr="001D3388">
        <w:rPr>
          <w:rtl/>
        </w:rPr>
        <w:t>مكتب المملكة المتحدة للملكية الفكرية</w:t>
      </w:r>
      <w:r w:rsidR="001D3388">
        <w:rPr>
          <w:rFonts w:hint="cs"/>
          <w:rtl/>
        </w:rPr>
        <w:t xml:space="preserve"> والمكتب الدولي مشرفَين على المهمة.</w:t>
      </w:r>
    </w:p>
    <w:p w:rsidR="00466016" w:rsidRPr="00451679" w:rsidRDefault="009249C5" w:rsidP="00660836">
      <w:pPr>
        <w:pStyle w:val="Heading3"/>
        <w:spacing w:before="0" w:after="120"/>
        <w:rPr>
          <w:rtl/>
        </w:rPr>
      </w:pPr>
      <w:r w:rsidRPr="00451679">
        <w:rPr>
          <w:rFonts w:hint="cs"/>
          <w:rtl/>
        </w:rPr>
        <w:t xml:space="preserve">البند 7 من جدول الأعمال: تقرير </w:t>
      </w:r>
      <w:r w:rsidRPr="00451679">
        <w:rPr>
          <w:rtl/>
        </w:rPr>
        <w:t xml:space="preserve">فرقة عمل </w:t>
      </w:r>
      <w:r w:rsidRPr="00536657">
        <w:rPr>
          <w:lang w:val="en-US"/>
        </w:rPr>
        <w:t>XML4IP</w:t>
      </w:r>
      <w:r w:rsidRPr="00451679">
        <w:rPr>
          <w:rFonts w:hint="cs"/>
          <w:rtl/>
        </w:rPr>
        <w:t xml:space="preserve"> عن المهمة رقم 41</w:t>
      </w:r>
    </w:p>
    <w:p w:rsidR="00FD7978" w:rsidRPr="00451679" w:rsidRDefault="00386F30" w:rsidP="00D563FB">
      <w:pPr>
        <w:pStyle w:val="NumberedParaAR"/>
        <w:numPr>
          <w:ilvl w:val="0"/>
          <w:numId w:val="23"/>
        </w:numPr>
      </w:pPr>
      <w:r w:rsidRPr="00451679">
        <w:rPr>
          <w:rFonts w:hint="cs"/>
          <w:rtl/>
        </w:rPr>
        <w:t xml:space="preserve">أحاطت لجنة المعايير علما </w:t>
      </w:r>
      <w:r w:rsidRPr="00451679">
        <w:rPr>
          <w:rtl/>
        </w:rPr>
        <w:t xml:space="preserve">بنتائج العمل الذي قامت به فرقة عمل </w:t>
      </w:r>
      <w:r w:rsidRPr="00451679">
        <w:t>XML4IP</w:t>
      </w:r>
      <w:r w:rsidR="004A3B50" w:rsidRPr="00451679">
        <w:rPr>
          <w:rFonts w:hint="cs"/>
          <w:rtl/>
        </w:rPr>
        <w:t xml:space="preserve"> </w:t>
      </w:r>
      <w:r w:rsidRPr="00451679">
        <w:rPr>
          <w:rFonts w:hint="cs"/>
          <w:rtl/>
        </w:rPr>
        <w:t>و</w:t>
      </w:r>
      <w:r w:rsidRPr="00451679">
        <w:rPr>
          <w:rtl/>
        </w:rPr>
        <w:t xml:space="preserve">تقرير </w:t>
      </w:r>
      <w:r w:rsidR="004A3B50" w:rsidRPr="00451679">
        <w:rPr>
          <w:rFonts w:hint="cs"/>
          <w:rtl/>
        </w:rPr>
        <w:t>المشرف على</w:t>
      </w:r>
      <w:r w:rsidRPr="00451679">
        <w:rPr>
          <w:rtl/>
        </w:rPr>
        <w:t xml:space="preserve"> فرقة العمل</w:t>
      </w:r>
      <w:r w:rsidRPr="00451679">
        <w:rPr>
          <w:rFonts w:hint="cs"/>
          <w:rtl/>
        </w:rPr>
        <w:t xml:space="preserve"> و</w:t>
      </w:r>
      <w:r w:rsidRPr="00451679">
        <w:rPr>
          <w:rtl/>
        </w:rPr>
        <w:t>خطة</w:t>
      </w:r>
      <w:r w:rsidR="004A3B50" w:rsidRPr="00451679">
        <w:rPr>
          <w:rFonts w:hint="cs"/>
          <w:rtl/>
        </w:rPr>
        <w:t> </w:t>
      </w:r>
      <w:r w:rsidRPr="00451679">
        <w:rPr>
          <w:rtl/>
        </w:rPr>
        <w:t xml:space="preserve">عمل فرقة عمل </w:t>
      </w:r>
      <w:r w:rsidRPr="00451679">
        <w:t>XML4IP</w:t>
      </w:r>
      <w:r w:rsidRPr="00451679">
        <w:rPr>
          <w:rFonts w:hint="cs"/>
          <w:rtl/>
        </w:rPr>
        <w:t>، كما هو مبيّن في الوثيقة</w:t>
      </w:r>
      <w:r w:rsidR="00D563FB">
        <w:rPr>
          <w:rFonts w:hint="eastAsia"/>
          <w:rtl/>
        </w:rPr>
        <w:t> </w:t>
      </w:r>
      <w:r w:rsidRPr="00451679">
        <w:t>CWS/5/5</w:t>
      </w:r>
      <w:r w:rsidRPr="00451679">
        <w:rPr>
          <w:rFonts w:hint="cs"/>
          <w:rtl/>
        </w:rPr>
        <w:t>.</w:t>
      </w:r>
    </w:p>
    <w:p w:rsidR="00386F30" w:rsidRPr="00451679" w:rsidRDefault="00386F30" w:rsidP="00D563FB">
      <w:pPr>
        <w:pStyle w:val="NumberedParaAR"/>
        <w:numPr>
          <w:ilvl w:val="0"/>
          <w:numId w:val="23"/>
        </w:numPr>
      </w:pPr>
      <w:r w:rsidRPr="00451679">
        <w:rPr>
          <w:rFonts w:hint="cs"/>
          <w:rtl/>
        </w:rPr>
        <w:t xml:space="preserve">وأحاطت لجنة المعايير علما بخطة عمل فرقة العمل، بما في ذلك مشروع </w:t>
      </w:r>
      <w:r w:rsidRPr="00451679">
        <w:rPr>
          <w:rtl/>
          <w:lang w:bidi="ar-EG"/>
        </w:rPr>
        <w:t>خر</w:t>
      </w:r>
      <w:r w:rsidRPr="00451679">
        <w:rPr>
          <w:rFonts w:hint="cs"/>
          <w:rtl/>
          <w:lang w:bidi="ar-EG"/>
        </w:rPr>
        <w:t>ي</w:t>
      </w:r>
      <w:r w:rsidRPr="00451679">
        <w:rPr>
          <w:rtl/>
          <w:lang w:bidi="ar-EG"/>
        </w:rPr>
        <w:t xml:space="preserve">طة </w:t>
      </w:r>
      <w:r w:rsidRPr="00451679">
        <w:rPr>
          <w:rFonts w:hint="cs"/>
          <w:rtl/>
          <w:lang w:bidi="ar-EG"/>
        </w:rPr>
        <w:t>ال</w:t>
      </w:r>
      <w:r w:rsidRPr="00451679">
        <w:rPr>
          <w:rtl/>
          <w:lang w:bidi="ar-EG"/>
        </w:rPr>
        <w:t xml:space="preserve">طريق </w:t>
      </w:r>
      <w:r w:rsidRPr="00451679">
        <w:rPr>
          <w:rFonts w:hint="cs"/>
          <w:rtl/>
          <w:lang w:bidi="ar-EG"/>
        </w:rPr>
        <w:t>ال</w:t>
      </w:r>
      <w:r w:rsidRPr="00451679">
        <w:rPr>
          <w:rtl/>
          <w:lang w:bidi="ar-EG"/>
        </w:rPr>
        <w:t>رفيعة المستوى</w:t>
      </w:r>
      <w:r w:rsidRPr="00451679">
        <w:rPr>
          <w:rFonts w:hint="cs"/>
          <w:rtl/>
          <w:lang w:bidi="ar-EG"/>
        </w:rPr>
        <w:t xml:space="preserve"> التي عرضها المكتب الدولي ل</w:t>
      </w:r>
      <w:r w:rsidRPr="00451679">
        <w:rPr>
          <w:rtl/>
          <w:lang w:bidi="ar-EG"/>
        </w:rPr>
        <w:t xml:space="preserve">تبادل البيانات الإلكترونية </w:t>
      </w:r>
      <w:r w:rsidRPr="00451679">
        <w:rPr>
          <w:rFonts w:hint="cs"/>
          <w:rtl/>
          <w:lang w:bidi="ar-EG"/>
        </w:rPr>
        <w:t xml:space="preserve">مع المكاتب في إطار </w:t>
      </w:r>
      <w:r w:rsidRPr="00451679">
        <w:rPr>
          <w:rtl/>
          <w:lang w:bidi="ar-EG"/>
        </w:rPr>
        <w:t>نظام لاهاي</w:t>
      </w:r>
      <w:r w:rsidRPr="00451679">
        <w:rPr>
          <w:rFonts w:hint="cs"/>
          <w:rtl/>
          <w:lang w:bidi="ar-EG"/>
        </w:rPr>
        <w:t>. وأحاطت علما ب</w:t>
      </w:r>
      <w:r w:rsidR="008F213F" w:rsidRPr="00451679">
        <w:rPr>
          <w:rFonts w:hint="cs"/>
          <w:rtl/>
        </w:rPr>
        <w:t>ت</w:t>
      </w:r>
      <w:r w:rsidR="008F213F" w:rsidRPr="00451679">
        <w:rPr>
          <w:rFonts w:hint="cs"/>
          <w:rtl/>
          <w:lang w:bidi="ar-EG"/>
        </w:rPr>
        <w:t xml:space="preserve">وقف النسق القديم المستند إلى </w:t>
      </w:r>
      <w:r w:rsidR="00422A5A" w:rsidRPr="00451679">
        <w:rPr>
          <w:rFonts w:hint="cs"/>
          <w:rtl/>
          <w:lang w:bidi="ar-EG"/>
        </w:rPr>
        <w:t xml:space="preserve">معيار </w:t>
      </w:r>
      <w:r w:rsidR="008F213F" w:rsidRPr="00451679">
        <w:rPr>
          <w:rtl/>
          <w:lang w:bidi="ar-EG"/>
        </w:rPr>
        <w:t xml:space="preserve">تعريف </w:t>
      </w:r>
      <w:r w:rsidR="008F213F" w:rsidRPr="00451679">
        <w:rPr>
          <w:rFonts w:hint="cs"/>
          <w:rtl/>
          <w:lang w:bidi="ar-EG"/>
        </w:rPr>
        <w:t>أ</w:t>
      </w:r>
      <w:r w:rsidR="008F213F" w:rsidRPr="00451679">
        <w:rPr>
          <w:rtl/>
          <w:lang w:bidi="ar-EG"/>
        </w:rPr>
        <w:t>نو</w:t>
      </w:r>
      <w:r w:rsidR="008F213F" w:rsidRPr="00451679">
        <w:rPr>
          <w:rFonts w:hint="cs"/>
          <w:rtl/>
          <w:lang w:bidi="ar-EG"/>
        </w:rPr>
        <w:t>ا</w:t>
      </w:r>
      <w:r w:rsidR="008F213F" w:rsidRPr="00451679">
        <w:rPr>
          <w:rtl/>
          <w:lang w:bidi="ar-EG"/>
        </w:rPr>
        <w:t xml:space="preserve">ع الوثائق </w:t>
      </w:r>
      <w:r w:rsidR="008F213F" w:rsidRPr="00451679">
        <w:rPr>
          <w:rFonts w:hint="cs"/>
          <w:rtl/>
          <w:lang w:bidi="ar-EG"/>
        </w:rPr>
        <w:t xml:space="preserve">في نظام </w:t>
      </w:r>
      <w:r w:rsidR="008F213F" w:rsidRPr="00451679">
        <w:rPr>
          <w:rtl/>
          <w:lang w:bidi="ar-EG"/>
        </w:rPr>
        <w:t xml:space="preserve">لاهاي </w:t>
      </w:r>
      <w:r w:rsidR="00422A5A" w:rsidRPr="00451679">
        <w:rPr>
          <w:rFonts w:hint="cs"/>
          <w:rtl/>
          <w:lang w:bidi="ar-EG"/>
        </w:rPr>
        <w:t>وب</w:t>
      </w:r>
      <w:r w:rsidR="00422A5A" w:rsidRPr="00451679">
        <w:rPr>
          <w:rtl/>
          <w:lang w:bidi="ar-EG"/>
        </w:rPr>
        <w:t>مرحلة أ</w:t>
      </w:r>
      <w:r w:rsidR="00422A5A" w:rsidRPr="00451679">
        <w:rPr>
          <w:rFonts w:hint="cs"/>
          <w:rtl/>
          <w:lang w:bidi="ar-EG"/>
        </w:rPr>
        <w:t>ُ</w:t>
      </w:r>
      <w:r w:rsidR="00422A5A" w:rsidRPr="00451679">
        <w:rPr>
          <w:rtl/>
          <w:lang w:bidi="ar-EG"/>
        </w:rPr>
        <w:t>ف</w:t>
      </w:r>
      <w:r w:rsidR="00422A5A" w:rsidRPr="00451679">
        <w:rPr>
          <w:rFonts w:hint="cs"/>
          <w:rtl/>
          <w:lang w:bidi="ar-EG"/>
        </w:rPr>
        <w:t>ُ</w:t>
      </w:r>
      <w:r w:rsidR="00422A5A" w:rsidRPr="00451679">
        <w:rPr>
          <w:rtl/>
          <w:lang w:bidi="ar-EG"/>
        </w:rPr>
        <w:t xml:space="preserve">ول </w:t>
      </w:r>
      <w:r w:rsidR="00422A5A" w:rsidRPr="00451679">
        <w:rPr>
          <w:rFonts w:hint="cs"/>
          <w:rtl/>
          <w:lang w:bidi="ar-EG"/>
        </w:rPr>
        <w:t>ال</w:t>
      </w:r>
      <w:r w:rsidR="00422A5A" w:rsidRPr="00451679">
        <w:rPr>
          <w:rtl/>
          <w:lang w:bidi="ar-EG"/>
        </w:rPr>
        <w:t xml:space="preserve">نشرة الحالية </w:t>
      </w:r>
      <w:r w:rsidR="00422A5A" w:rsidRPr="00451679">
        <w:rPr>
          <w:rFonts w:hint="cs"/>
          <w:rtl/>
          <w:lang w:bidi="ar-EG"/>
        </w:rPr>
        <w:t>ل</w:t>
      </w:r>
      <w:r w:rsidR="00422A5A" w:rsidRPr="00451679">
        <w:rPr>
          <w:rtl/>
          <w:lang w:bidi="ar-EG"/>
        </w:rPr>
        <w:t xml:space="preserve">تعريف </w:t>
      </w:r>
      <w:r w:rsidR="00422A5A" w:rsidRPr="00451679">
        <w:rPr>
          <w:rFonts w:hint="cs"/>
          <w:rtl/>
          <w:lang w:bidi="ar-EG"/>
        </w:rPr>
        <w:t>أ</w:t>
      </w:r>
      <w:r w:rsidR="00422A5A" w:rsidRPr="00451679">
        <w:rPr>
          <w:rtl/>
          <w:lang w:bidi="ar-EG"/>
        </w:rPr>
        <w:t>نو</w:t>
      </w:r>
      <w:r w:rsidR="00422A5A" w:rsidRPr="00451679">
        <w:rPr>
          <w:rFonts w:hint="cs"/>
          <w:rtl/>
          <w:lang w:bidi="ar-EG"/>
        </w:rPr>
        <w:t>ا</w:t>
      </w:r>
      <w:r w:rsidR="00422A5A" w:rsidRPr="00451679">
        <w:rPr>
          <w:rtl/>
          <w:lang w:bidi="ar-EG"/>
        </w:rPr>
        <w:t xml:space="preserve">ع الوثائق </w:t>
      </w:r>
      <w:r w:rsidR="00422A5A" w:rsidRPr="00451679">
        <w:rPr>
          <w:rFonts w:hint="cs"/>
          <w:rtl/>
          <w:lang w:bidi="ar-EG"/>
        </w:rPr>
        <w:t xml:space="preserve">في نظام </w:t>
      </w:r>
      <w:r w:rsidR="00422A5A" w:rsidRPr="00451679">
        <w:rPr>
          <w:rtl/>
          <w:lang w:bidi="ar-EG"/>
        </w:rPr>
        <w:t xml:space="preserve">لاهاي </w:t>
      </w:r>
      <w:r w:rsidR="00422A5A" w:rsidRPr="00451679">
        <w:rPr>
          <w:rFonts w:hint="cs"/>
          <w:rtl/>
          <w:lang w:bidi="ar-EG"/>
        </w:rPr>
        <w:t>خلال</w:t>
      </w:r>
      <w:r w:rsidR="00422A5A" w:rsidRPr="00451679">
        <w:rPr>
          <w:rtl/>
          <w:lang w:bidi="ar-EG"/>
        </w:rPr>
        <w:t xml:space="preserve"> الإطار الزمني المقترح</w:t>
      </w:r>
      <w:r w:rsidR="0079335F" w:rsidRPr="00451679">
        <w:rPr>
          <w:rFonts w:hint="cs"/>
          <w:rtl/>
          <w:lang w:bidi="ar-EG"/>
        </w:rPr>
        <w:t xml:space="preserve">. واقترحت </w:t>
      </w:r>
      <w:r w:rsidR="00422A5A" w:rsidRPr="00451679">
        <w:rPr>
          <w:rFonts w:hint="cs"/>
          <w:rtl/>
          <w:lang w:bidi="ar-EG"/>
        </w:rPr>
        <w:t xml:space="preserve">عدة وفود </w:t>
      </w:r>
      <w:r w:rsidR="0079335F" w:rsidRPr="00451679">
        <w:rPr>
          <w:rFonts w:hint="cs"/>
          <w:rtl/>
          <w:lang w:bidi="ar-EG"/>
        </w:rPr>
        <w:t>أن يقوم</w:t>
      </w:r>
      <w:r w:rsidR="00422A5A" w:rsidRPr="00451679">
        <w:rPr>
          <w:rFonts w:hint="cs"/>
          <w:rtl/>
          <w:lang w:bidi="ar-EG"/>
        </w:rPr>
        <w:t xml:space="preserve"> المكتب الدولي </w:t>
      </w:r>
      <w:r w:rsidR="0079335F" w:rsidRPr="00451679">
        <w:rPr>
          <w:rFonts w:hint="cs"/>
          <w:rtl/>
          <w:lang w:bidi="ar-EG"/>
        </w:rPr>
        <w:t>ب</w:t>
      </w:r>
      <w:r w:rsidR="00422A5A" w:rsidRPr="00451679">
        <w:rPr>
          <w:rFonts w:hint="cs"/>
          <w:rtl/>
          <w:lang w:bidi="ar-EG"/>
        </w:rPr>
        <w:t>تمديد الفترة بسنة إضافية واحدة حتى يُتاح لمكاتب الملكية الصناعية المزيد من الوقت لتحضير الانتقال من النسق القديم إلى النسق الجديد استنادا إلى المعيار</w:t>
      </w:r>
      <w:r w:rsidR="00D563FB">
        <w:rPr>
          <w:rFonts w:hint="eastAsia"/>
          <w:rtl/>
          <w:lang w:bidi="ar-EG"/>
        </w:rPr>
        <w:t> </w:t>
      </w:r>
      <w:r w:rsidR="00422A5A" w:rsidRPr="00451679">
        <w:rPr>
          <w:lang w:bidi="ar-EG"/>
        </w:rPr>
        <w:t>ST.96</w:t>
      </w:r>
      <w:r w:rsidR="00422A5A" w:rsidRPr="00451679">
        <w:rPr>
          <w:rFonts w:hint="cs"/>
          <w:rtl/>
          <w:lang w:bidi="ar-EG"/>
        </w:rPr>
        <w:t>.</w:t>
      </w:r>
    </w:p>
    <w:p w:rsidR="00466016" w:rsidRPr="00451679" w:rsidRDefault="009249C5" w:rsidP="00660836">
      <w:pPr>
        <w:pStyle w:val="Heading3"/>
        <w:spacing w:before="0" w:after="120"/>
        <w:rPr>
          <w:rtl/>
        </w:rPr>
      </w:pPr>
      <w:r w:rsidRPr="00451679">
        <w:rPr>
          <w:rFonts w:hint="cs"/>
          <w:rtl/>
        </w:rPr>
        <w:lastRenderedPageBreak/>
        <w:t xml:space="preserve">البند 8 من جدول الأعمال: مراجعة معيار الويبو </w:t>
      </w:r>
      <w:r w:rsidRPr="00984302">
        <w:rPr>
          <w:lang w:val="en-US"/>
        </w:rPr>
        <w:t>ST.26</w:t>
      </w:r>
    </w:p>
    <w:p w:rsidR="00422A5A" w:rsidRPr="00451679" w:rsidRDefault="00422A5A" w:rsidP="00D563FB">
      <w:pPr>
        <w:pStyle w:val="NumberedParaAR"/>
        <w:numPr>
          <w:ilvl w:val="0"/>
          <w:numId w:val="23"/>
        </w:numPr>
      </w:pPr>
      <w:r w:rsidRPr="00451679">
        <w:rPr>
          <w:rFonts w:hint="cs"/>
          <w:rtl/>
        </w:rPr>
        <w:t>أحاطت لجنة المعايير علما بنتائج العمل</w:t>
      </w:r>
      <w:r w:rsidR="004A3B50" w:rsidRPr="00451679">
        <w:rPr>
          <w:rFonts w:hint="cs"/>
          <w:rtl/>
        </w:rPr>
        <w:t xml:space="preserve"> الذي قامت به </w:t>
      </w:r>
      <w:r w:rsidR="004A3B50" w:rsidRPr="00451679">
        <w:rPr>
          <w:rtl/>
        </w:rPr>
        <w:t>فرقة العمل المعنية بقوائم التسلسل</w:t>
      </w:r>
      <w:r w:rsidR="00C904B9" w:rsidRPr="00451679">
        <w:rPr>
          <w:rFonts w:hint="cs"/>
          <w:rtl/>
        </w:rPr>
        <w:t xml:space="preserve"> وتقرير المشرف على فرقة</w:t>
      </w:r>
      <w:r w:rsidR="00D563FB">
        <w:rPr>
          <w:rFonts w:hint="eastAsia"/>
          <w:rtl/>
        </w:rPr>
        <w:t> </w:t>
      </w:r>
      <w:r w:rsidR="00C904B9" w:rsidRPr="00451679">
        <w:rPr>
          <w:rFonts w:hint="cs"/>
          <w:rtl/>
        </w:rPr>
        <w:t>العمل، كما هو مبين في الوثيقة</w:t>
      </w:r>
      <w:r w:rsidR="00D563FB">
        <w:rPr>
          <w:rFonts w:hint="eastAsia"/>
          <w:rtl/>
        </w:rPr>
        <w:t> </w:t>
      </w:r>
      <w:r w:rsidR="00C904B9" w:rsidRPr="00451679">
        <w:t>CWS/5/6</w:t>
      </w:r>
      <w:r w:rsidR="00C904B9" w:rsidRPr="00451679">
        <w:rPr>
          <w:rFonts w:hint="cs"/>
          <w:rtl/>
        </w:rPr>
        <w:t>.</w:t>
      </w:r>
    </w:p>
    <w:p w:rsidR="00C904B9" w:rsidRPr="00451679" w:rsidRDefault="00C904B9" w:rsidP="006D08A6">
      <w:pPr>
        <w:pStyle w:val="NumberedParaAR"/>
        <w:numPr>
          <w:ilvl w:val="0"/>
          <w:numId w:val="23"/>
        </w:numPr>
      </w:pPr>
      <w:r w:rsidRPr="00451679">
        <w:rPr>
          <w:rFonts w:hint="cs"/>
          <w:rtl/>
        </w:rPr>
        <w:t xml:space="preserve">واعتمدت لجنة </w:t>
      </w:r>
      <w:r w:rsidR="00D563FB">
        <w:rPr>
          <w:rFonts w:hint="cs"/>
          <w:rtl/>
        </w:rPr>
        <w:t xml:space="preserve">المعايير </w:t>
      </w:r>
      <w:r w:rsidR="00621266" w:rsidRPr="00451679">
        <w:rPr>
          <w:rFonts w:hint="cs"/>
          <w:rtl/>
        </w:rPr>
        <w:t>الصيغة</w:t>
      </w:r>
      <w:r w:rsidRPr="00451679">
        <w:rPr>
          <w:rFonts w:hint="cs"/>
          <w:rtl/>
        </w:rPr>
        <w:t xml:space="preserve"> المراجعة لمعيار الويبو</w:t>
      </w:r>
      <w:r w:rsidR="00621266" w:rsidRPr="00451679">
        <w:rPr>
          <w:rFonts w:hint="eastAsia"/>
          <w:rtl/>
        </w:rPr>
        <w:t> </w:t>
      </w:r>
      <w:r w:rsidRPr="00451679">
        <w:t>ST.26</w:t>
      </w:r>
      <w:r w:rsidRPr="00451679">
        <w:rPr>
          <w:rFonts w:hint="cs"/>
          <w:rtl/>
        </w:rPr>
        <w:t>، كما وردت في المرفق الثاني من الوثيقة</w:t>
      </w:r>
      <w:r w:rsidRPr="00451679">
        <w:rPr>
          <w:rFonts w:hint="eastAsia"/>
          <w:rtl/>
        </w:rPr>
        <w:t> </w:t>
      </w:r>
      <w:r w:rsidRPr="00451679">
        <w:t>CWS/5/6</w:t>
      </w:r>
      <w:r w:rsidR="00621266" w:rsidRPr="00451679">
        <w:rPr>
          <w:rFonts w:hint="cs"/>
          <w:rtl/>
        </w:rPr>
        <w:t>، مع التعديلات التحريرية التي عرضها</w:t>
      </w:r>
      <w:r w:rsidR="006D08A6">
        <w:rPr>
          <w:rFonts w:hint="cs"/>
          <w:rtl/>
        </w:rPr>
        <w:t xml:space="preserve"> وفد الولايات المتحدة الأمريكية و</w:t>
      </w:r>
      <w:r w:rsidR="00621266" w:rsidRPr="00451679">
        <w:rPr>
          <w:rFonts w:hint="cs"/>
          <w:rtl/>
        </w:rPr>
        <w:t>الأمانة.</w:t>
      </w:r>
    </w:p>
    <w:p w:rsidR="00466016" w:rsidRPr="00451679" w:rsidRDefault="009249C5" w:rsidP="00660836">
      <w:pPr>
        <w:pStyle w:val="Heading3"/>
        <w:spacing w:before="0" w:after="120"/>
        <w:rPr>
          <w:rtl/>
        </w:rPr>
      </w:pPr>
      <w:r w:rsidRPr="00451679">
        <w:rPr>
          <w:rFonts w:hint="cs"/>
          <w:rtl/>
        </w:rPr>
        <w:t xml:space="preserve">البند 9 من جدول الأعمال: </w:t>
      </w:r>
      <w:r w:rsidRPr="00451679">
        <w:rPr>
          <w:rtl/>
        </w:rPr>
        <w:t xml:space="preserve">توصيات بشأن أحكام الانتقال من معيار الويبو </w:t>
      </w:r>
      <w:r w:rsidRPr="00984302">
        <w:rPr>
          <w:lang w:val="en-US"/>
        </w:rPr>
        <w:t>ST.25</w:t>
      </w:r>
      <w:r w:rsidRPr="00451679">
        <w:rPr>
          <w:rtl/>
        </w:rPr>
        <w:t xml:space="preserve"> إلى معيار الويبو </w:t>
      </w:r>
      <w:r w:rsidRPr="00984302">
        <w:rPr>
          <w:lang w:val="en-US"/>
        </w:rPr>
        <w:t>ST.26</w:t>
      </w:r>
    </w:p>
    <w:p w:rsidR="004F2286" w:rsidRPr="00451679" w:rsidRDefault="004F2286" w:rsidP="006D08A6">
      <w:pPr>
        <w:pStyle w:val="NumberedParaAR"/>
        <w:numPr>
          <w:ilvl w:val="0"/>
          <w:numId w:val="23"/>
        </w:numPr>
      </w:pPr>
      <w:r w:rsidRPr="00451679">
        <w:rPr>
          <w:rFonts w:hint="cs"/>
          <w:rtl/>
        </w:rPr>
        <w:t>استندت المناقشات إلى الوثيق</w:t>
      </w:r>
      <w:r w:rsidR="006D08A6">
        <w:rPr>
          <w:rFonts w:hint="cs"/>
          <w:rtl/>
        </w:rPr>
        <w:t>تين</w:t>
      </w:r>
      <w:r w:rsidRPr="00451679">
        <w:rPr>
          <w:rFonts w:hint="cs"/>
          <w:rtl/>
        </w:rPr>
        <w:t xml:space="preserve"> </w:t>
      </w:r>
      <w:r w:rsidRPr="00451679">
        <w:t>CWS/5/7 Rev.1</w:t>
      </w:r>
      <w:r w:rsidR="006D08A6">
        <w:rPr>
          <w:rFonts w:hint="cs"/>
          <w:rtl/>
          <w:lang w:bidi="ar-EG"/>
        </w:rPr>
        <w:t xml:space="preserve"> و</w:t>
      </w:r>
      <w:r w:rsidR="006D08A6">
        <w:rPr>
          <w:lang w:bidi="ar-EG"/>
        </w:rPr>
        <w:t>CWS/5/7 Rev.1 ADD.</w:t>
      </w:r>
      <w:r w:rsidRPr="00451679">
        <w:rPr>
          <w:rFonts w:hint="cs"/>
          <w:rtl/>
        </w:rPr>
        <w:t>.</w:t>
      </w:r>
    </w:p>
    <w:p w:rsidR="004F2286" w:rsidRPr="00451679" w:rsidRDefault="00985410" w:rsidP="00985410">
      <w:pPr>
        <w:pStyle w:val="NumberedParaAR"/>
        <w:numPr>
          <w:ilvl w:val="0"/>
          <w:numId w:val="23"/>
        </w:numPr>
      </w:pPr>
      <w:r w:rsidRPr="00451679">
        <w:rPr>
          <w:rFonts w:hint="cs"/>
          <w:rtl/>
        </w:rPr>
        <w:t xml:space="preserve">واتفقت لجنة المعايير على أن يكون سيناريو "القطيعة" الخيار للانتقال من معيار الويبو </w:t>
      </w:r>
      <w:r w:rsidRPr="00451679">
        <w:t>ST.25</w:t>
      </w:r>
      <w:r w:rsidRPr="00451679">
        <w:rPr>
          <w:rFonts w:hint="cs"/>
          <w:rtl/>
        </w:rPr>
        <w:t xml:space="preserve"> إلى معيار الويبو</w:t>
      </w:r>
      <w:r w:rsidRPr="00451679">
        <w:rPr>
          <w:rFonts w:hint="eastAsia"/>
          <w:rtl/>
        </w:rPr>
        <w:t> </w:t>
      </w:r>
      <w:r w:rsidRPr="00451679">
        <w:t>ST.26</w:t>
      </w:r>
      <w:r w:rsidRPr="00451679">
        <w:rPr>
          <w:rFonts w:hint="cs"/>
          <w:rtl/>
        </w:rPr>
        <w:t xml:space="preserve">، وعلى أن يكون </w:t>
      </w:r>
      <w:r w:rsidRPr="00451679">
        <w:rPr>
          <w:rFonts w:hint="cs"/>
          <w:rtl/>
          <w:lang w:bidi="ar-EG"/>
        </w:rPr>
        <w:t>تاريخ الإيداع الدولي التاريخ المرجعي، وعلى أن يكون "يناير 2022" تاريخ الانتقال.</w:t>
      </w:r>
    </w:p>
    <w:p w:rsidR="00985410" w:rsidRPr="00451679" w:rsidRDefault="00FD1301" w:rsidP="00985410">
      <w:pPr>
        <w:pStyle w:val="NumberedParaAR"/>
        <w:numPr>
          <w:ilvl w:val="0"/>
          <w:numId w:val="23"/>
        </w:numPr>
      </w:pPr>
      <w:r w:rsidRPr="00451679">
        <w:rPr>
          <w:rFonts w:hint="cs"/>
          <w:rtl/>
        </w:rPr>
        <w:t>والتمست لجنة المعايير من فرقة العمل المعنية بقوائم التسلسل ما يلي:</w:t>
      </w:r>
    </w:p>
    <w:p w:rsidR="00FD1301" w:rsidRPr="00451679" w:rsidRDefault="00FD1301" w:rsidP="00FD1301">
      <w:pPr>
        <w:pStyle w:val="NormalParaAR"/>
        <w:ind w:left="566"/>
        <w:rPr>
          <w:rtl/>
        </w:rPr>
      </w:pPr>
      <w:r w:rsidRPr="00451679">
        <w:rPr>
          <w:rFonts w:hint="cs"/>
          <w:rtl/>
        </w:rPr>
        <w:t>(أ)</w:t>
      </w:r>
      <w:r w:rsidRPr="00451679">
        <w:rPr>
          <w:rtl/>
        </w:rPr>
        <w:tab/>
      </w:r>
      <w:r w:rsidRPr="00451679">
        <w:rPr>
          <w:rFonts w:hint="cs"/>
          <w:rtl/>
        </w:rPr>
        <w:t>دعم المكتب الدولي عن طريق توفير متطلبات المستخدمين وردودهم بشأن أداة الإصدار والتثبيت؛</w:t>
      </w:r>
    </w:p>
    <w:p w:rsidR="00FD1301" w:rsidRPr="00451679" w:rsidRDefault="00FD1301" w:rsidP="00FD1301">
      <w:pPr>
        <w:pStyle w:val="NormalParaAR"/>
        <w:ind w:left="566"/>
        <w:rPr>
          <w:rtl/>
        </w:rPr>
      </w:pPr>
      <w:r w:rsidRPr="00451679">
        <w:rPr>
          <w:rFonts w:hint="cs"/>
          <w:rtl/>
        </w:rPr>
        <w:t>(ب)</w:t>
      </w:r>
      <w:r w:rsidRPr="00451679">
        <w:rPr>
          <w:rtl/>
        </w:rPr>
        <w:tab/>
      </w:r>
      <w:r w:rsidRPr="00451679">
        <w:rPr>
          <w:rFonts w:hint="cs"/>
          <w:rtl/>
        </w:rPr>
        <w:t>ود</w:t>
      </w:r>
      <w:r w:rsidRPr="00451679">
        <w:rPr>
          <w:rtl/>
        </w:rPr>
        <w:t xml:space="preserve">عم المكتب الدولي </w:t>
      </w:r>
      <w:r w:rsidRPr="00451679">
        <w:rPr>
          <w:rFonts w:hint="cs"/>
          <w:rtl/>
        </w:rPr>
        <w:t>ل</w:t>
      </w:r>
      <w:r w:rsidRPr="00451679">
        <w:rPr>
          <w:rtl/>
        </w:rPr>
        <w:t>إجراء المراجعات اللازمة على التعليمات الإدارية لمعاهدة التعاون بشأن البراءات</w:t>
      </w:r>
      <w:r w:rsidRPr="00451679">
        <w:rPr>
          <w:rFonts w:hint="cs"/>
          <w:rtl/>
        </w:rPr>
        <w:t>؛</w:t>
      </w:r>
    </w:p>
    <w:p w:rsidR="00FD1301" w:rsidRPr="00451679" w:rsidRDefault="00FD1301" w:rsidP="00FD1301">
      <w:pPr>
        <w:pStyle w:val="NormalParaAR"/>
        <w:ind w:left="566"/>
      </w:pPr>
      <w:r w:rsidRPr="00451679">
        <w:rPr>
          <w:rFonts w:hint="cs"/>
          <w:rtl/>
        </w:rPr>
        <w:t>(ج)</w:t>
      </w:r>
      <w:r w:rsidRPr="00451679">
        <w:rPr>
          <w:rtl/>
        </w:rPr>
        <w:tab/>
      </w:r>
      <w:r w:rsidRPr="00451679">
        <w:rPr>
          <w:rFonts w:hint="cs"/>
          <w:rtl/>
        </w:rPr>
        <w:t xml:space="preserve">وإعداد أية مراجعات ضرورية لمعيار الويبو </w:t>
      </w:r>
      <w:r w:rsidRPr="00451679">
        <w:t>ST.26</w:t>
      </w:r>
      <w:r w:rsidRPr="00451679">
        <w:rPr>
          <w:rFonts w:hint="cs"/>
          <w:rtl/>
        </w:rPr>
        <w:t xml:space="preserve"> بناء على طلب لجنة المعايير.</w:t>
      </w:r>
    </w:p>
    <w:p w:rsidR="00466016" w:rsidRPr="00451679" w:rsidRDefault="009249C5" w:rsidP="00660836">
      <w:pPr>
        <w:pStyle w:val="Heading3"/>
        <w:spacing w:before="0" w:after="120"/>
        <w:rPr>
          <w:rtl/>
        </w:rPr>
      </w:pPr>
      <w:r w:rsidRPr="00451679">
        <w:rPr>
          <w:rFonts w:hint="cs"/>
          <w:rtl/>
        </w:rPr>
        <w:t xml:space="preserve">البند 10 من جدول الأعمال: عرض بشأن استحداث برنامج حاسوبي لمعيار </w:t>
      </w:r>
      <w:r w:rsidRPr="00451679">
        <w:rPr>
          <w:rtl/>
        </w:rPr>
        <w:t xml:space="preserve">الويبو </w:t>
      </w:r>
      <w:r w:rsidRPr="00984302">
        <w:rPr>
          <w:lang w:val="en-US"/>
        </w:rPr>
        <w:t>ST.26</w:t>
      </w:r>
    </w:p>
    <w:p w:rsidR="00466016" w:rsidRPr="00451679" w:rsidRDefault="0043782F" w:rsidP="00AA2D6A">
      <w:pPr>
        <w:pStyle w:val="NumberedParaAR"/>
        <w:numPr>
          <w:ilvl w:val="0"/>
          <w:numId w:val="23"/>
        </w:numPr>
      </w:pPr>
      <w:r w:rsidRPr="00451679">
        <w:rPr>
          <w:rFonts w:hint="cs"/>
          <w:rtl/>
        </w:rPr>
        <w:t xml:space="preserve">أحاطت لجنة المعايير علما </w:t>
      </w:r>
      <w:r w:rsidR="00B742BA" w:rsidRPr="00451679">
        <w:rPr>
          <w:rFonts w:hint="cs"/>
          <w:rtl/>
        </w:rPr>
        <w:t>بالعر</w:t>
      </w:r>
      <w:r w:rsidR="00B742BA" w:rsidRPr="00451679">
        <w:rPr>
          <w:rFonts w:hint="cs"/>
          <w:rtl/>
        </w:rPr>
        <w:tab/>
        <w:t xml:space="preserve">ض الذي قدمه المكتب الدولي بشأن استحداث برنامج حاسوبي لمعيار </w:t>
      </w:r>
      <w:r w:rsidR="00B742BA" w:rsidRPr="00451679">
        <w:rPr>
          <w:rtl/>
        </w:rPr>
        <w:t>الويبو</w:t>
      </w:r>
      <w:r w:rsidR="00AA2D6A" w:rsidRPr="00451679">
        <w:rPr>
          <w:rFonts w:hint="cs"/>
          <w:rtl/>
        </w:rPr>
        <w:t> </w:t>
      </w:r>
      <w:r w:rsidR="00B742BA" w:rsidRPr="00451679">
        <w:rPr>
          <w:lang w:val="fr-CH"/>
        </w:rPr>
        <w:t>ST.26</w:t>
      </w:r>
      <w:r w:rsidR="00B742BA" w:rsidRPr="00451679">
        <w:rPr>
          <w:rFonts w:hint="cs"/>
          <w:rtl/>
          <w:lang w:val="fr-CH"/>
        </w:rPr>
        <w:t>، بما في ذلك مشروع خريطة طريق رفيعة المستوى</w:t>
      </w:r>
      <w:r w:rsidR="00AA2D6A" w:rsidRPr="00451679">
        <w:rPr>
          <w:rFonts w:hint="cs"/>
          <w:rtl/>
          <w:lang w:val="fr-CH"/>
        </w:rPr>
        <w:t xml:space="preserve"> للانتقال </w:t>
      </w:r>
      <w:r w:rsidR="00AA2D6A" w:rsidRPr="00451679">
        <w:rPr>
          <w:rtl/>
          <w:lang w:val="fr-CH"/>
        </w:rPr>
        <w:t xml:space="preserve">من معيار الويبو </w:t>
      </w:r>
      <w:r w:rsidR="00AA2D6A" w:rsidRPr="00451679">
        <w:rPr>
          <w:lang w:val="fr-CH"/>
        </w:rPr>
        <w:t>ST.25</w:t>
      </w:r>
      <w:r w:rsidR="00AA2D6A" w:rsidRPr="00451679">
        <w:rPr>
          <w:rtl/>
          <w:lang w:val="fr-CH"/>
        </w:rPr>
        <w:t xml:space="preserve"> إلى معيار الويبو </w:t>
      </w:r>
      <w:r w:rsidR="00AA2D6A" w:rsidRPr="00451679">
        <w:rPr>
          <w:lang w:val="fr-CH"/>
        </w:rPr>
        <w:t>ST.26</w:t>
      </w:r>
      <w:r w:rsidR="00AA2D6A" w:rsidRPr="00451679">
        <w:rPr>
          <w:rFonts w:hint="cs"/>
          <w:rtl/>
          <w:lang w:val="fr-CH"/>
        </w:rPr>
        <w:t>.</w:t>
      </w:r>
    </w:p>
    <w:p w:rsidR="00466016" w:rsidRPr="00984302" w:rsidRDefault="00466016" w:rsidP="00660836">
      <w:pPr>
        <w:pStyle w:val="Heading3"/>
        <w:spacing w:before="0" w:after="120"/>
        <w:rPr>
          <w:lang w:val="en-US"/>
        </w:rPr>
      </w:pPr>
      <w:r w:rsidRPr="00451679">
        <w:rPr>
          <w:rFonts w:hint="cs"/>
          <w:rtl/>
        </w:rPr>
        <w:t>البند 11</w:t>
      </w:r>
      <w:r w:rsidR="009249C5" w:rsidRPr="00451679">
        <w:rPr>
          <w:rFonts w:hint="cs"/>
          <w:rtl/>
        </w:rPr>
        <w:t xml:space="preserve"> من جدول الأعمال: معيار الويبو الجديد بشأن تبادل بيانات الوضع القانوني للبراءات بين مكاتب الملكية الصناعية</w:t>
      </w:r>
    </w:p>
    <w:p w:rsidR="00AA2D6A" w:rsidRPr="00536657" w:rsidRDefault="00AA2D6A" w:rsidP="00D563FB">
      <w:pPr>
        <w:pStyle w:val="NumberedParaAR"/>
        <w:numPr>
          <w:ilvl w:val="0"/>
          <w:numId w:val="23"/>
        </w:numPr>
        <w:rPr>
          <w:lang w:val="fr-CH"/>
        </w:rPr>
      </w:pPr>
      <w:r w:rsidRPr="00451679">
        <w:rPr>
          <w:rFonts w:hint="cs"/>
          <w:rtl/>
        </w:rPr>
        <w:t xml:space="preserve">أحاطت لجنة المعايير علما بالتقرير الذي أعده المكتب الدولي بشأن نتائج عمل فرقة العمل </w:t>
      </w:r>
      <w:r w:rsidRPr="00451679">
        <w:rPr>
          <w:rtl/>
        </w:rPr>
        <w:t>المعنية بالوضع القانوني</w:t>
      </w:r>
      <w:r w:rsidRPr="00451679">
        <w:rPr>
          <w:rFonts w:hint="cs"/>
          <w:rtl/>
        </w:rPr>
        <w:t>، كما</w:t>
      </w:r>
      <w:r w:rsidR="00D563FB">
        <w:rPr>
          <w:rFonts w:hint="eastAsia"/>
          <w:rtl/>
        </w:rPr>
        <w:t> </w:t>
      </w:r>
      <w:r w:rsidRPr="00451679">
        <w:rPr>
          <w:rFonts w:hint="cs"/>
          <w:rtl/>
        </w:rPr>
        <w:t>هو مبيّن في الوثيقة</w:t>
      </w:r>
      <w:r w:rsidRPr="00451679">
        <w:rPr>
          <w:rFonts w:hint="eastAsia"/>
          <w:rtl/>
        </w:rPr>
        <w:t> </w:t>
      </w:r>
      <w:r w:rsidRPr="00536657">
        <w:rPr>
          <w:lang w:val="fr-CH"/>
        </w:rPr>
        <w:t>CWS/5/8 Rev.1</w:t>
      </w:r>
      <w:r w:rsidRPr="00451679">
        <w:rPr>
          <w:rFonts w:hint="cs"/>
          <w:rtl/>
        </w:rPr>
        <w:t>.</w:t>
      </w:r>
    </w:p>
    <w:p w:rsidR="00AA2D6A" w:rsidRPr="00984302" w:rsidRDefault="00AA2D6A" w:rsidP="00D563FB">
      <w:pPr>
        <w:pStyle w:val="NumberedParaAR"/>
        <w:numPr>
          <w:ilvl w:val="0"/>
          <w:numId w:val="23"/>
        </w:numPr>
        <w:rPr>
          <w:lang w:val="fr-CH"/>
        </w:rPr>
      </w:pPr>
      <w:r w:rsidRPr="00451679">
        <w:rPr>
          <w:rFonts w:hint="cs"/>
          <w:rtl/>
        </w:rPr>
        <w:t xml:space="preserve">واعتمدت لجنة المعايير معيارا جديدا للويبو </w:t>
      </w:r>
      <w:r w:rsidRPr="00984302">
        <w:rPr>
          <w:lang w:val="fr-CH"/>
        </w:rPr>
        <w:t>ST.27</w:t>
      </w:r>
      <w:r w:rsidRPr="00451679">
        <w:rPr>
          <w:rFonts w:hint="cs"/>
          <w:rtl/>
        </w:rPr>
        <w:t xml:space="preserve"> "توصية بشأن تبادل بيانات الوضع القانوني للبراءات"، كما ورد في مرفق الوثيقة</w:t>
      </w:r>
      <w:r w:rsidR="00D563FB">
        <w:rPr>
          <w:rFonts w:hint="eastAsia"/>
          <w:rtl/>
        </w:rPr>
        <w:t> </w:t>
      </w:r>
      <w:r w:rsidRPr="00984302">
        <w:rPr>
          <w:lang w:val="fr-CH"/>
        </w:rPr>
        <w:t>CWS/5/8 Rev.1</w:t>
      </w:r>
      <w:r w:rsidRPr="00451679">
        <w:rPr>
          <w:rFonts w:hint="cs"/>
          <w:rtl/>
        </w:rPr>
        <w:t>، مع إدخال التعديلات التالية على الجملة الأولى من الفقرة</w:t>
      </w:r>
      <w:r w:rsidR="00D06241" w:rsidRPr="00451679">
        <w:rPr>
          <w:rFonts w:hint="eastAsia"/>
          <w:rtl/>
        </w:rPr>
        <w:t> </w:t>
      </w:r>
      <w:r w:rsidRPr="00451679">
        <w:rPr>
          <w:rFonts w:hint="cs"/>
          <w:rtl/>
        </w:rPr>
        <w:t>35 والمرفق الرابع من المعيار</w:t>
      </w:r>
      <w:r w:rsidR="00D06241" w:rsidRPr="00451679">
        <w:rPr>
          <w:rFonts w:hint="eastAsia"/>
          <w:rtl/>
        </w:rPr>
        <w:t> </w:t>
      </w:r>
      <w:r w:rsidR="00D06241" w:rsidRPr="00984302">
        <w:rPr>
          <w:lang w:val="fr-CH"/>
        </w:rPr>
        <w:t>ST.27</w:t>
      </w:r>
      <w:r w:rsidR="00D06241" w:rsidRPr="00451679">
        <w:rPr>
          <w:rFonts w:hint="cs"/>
          <w:rtl/>
        </w:rPr>
        <w:t>:</w:t>
      </w:r>
    </w:p>
    <w:p w:rsidR="00D06241" w:rsidRPr="00451679" w:rsidRDefault="00D06241" w:rsidP="00D563FB">
      <w:pPr>
        <w:pStyle w:val="NormalParaAR"/>
        <w:ind w:left="566"/>
        <w:rPr>
          <w:rtl/>
        </w:rPr>
      </w:pPr>
      <w:r w:rsidRPr="00451679">
        <w:rPr>
          <w:rFonts w:hint="cs"/>
          <w:rtl/>
        </w:rPr>
        <w:t>(أ)</w:t>
      </w:r>
      <w:r w:rsidRPr="00451679">
        <w:rPr>
          <w:rtl/>
        </w:rPr>
        <w:tab/>
      </w:r>
      <w:r w:rsidRPr="00451679">
        <w:rPr>
          <w:rFonts w:hint="cs"/>
          <w:rtl/>
        </w:rPr>
        <w:t>عُدّلت الجملة الأولى من الفقرة 35 لتصبح كما يلي: "بالإضافة إلى عملية المسح المشروحة في الفقرة</w:t>
      </w:r>
      <w:r w:rsidR="00D563FB">
        <w:rPr>
          <w:rFonts w:hint="eastAsia"/>
          <w:rtl/>
        </w:rPr>
        <w:t> </w:t>
      </w:r>
      <w:r w:rsidRPr="00451679">
        <w:rPr>
          <w:rFonts w:hint="cs"/>
          <w:rtl/>
        </w:rPr>
        <w:t xml:space="preserve">33 أعلاه، يوصي هذا المعيار بأن تقوم مكاتب الملكية الصناعية بمسح أحداثها الوطنية/الإقليمية لتحويلها إلى حدث </w:t>
      </w:r>
      <w:r w:rsidR="00D563FB">
        <w:rPr>
          <w:rFonts w:hint="cs"/>
          <w:rtl/>
        </w:rPr>
        <w:t>مفصّل</w:t>
      </w:r>
      <w:r w:rsidRPr="00451679">
        <w:rPr>
          <w:rFonts w:hint="cs"/>
          <w:rtl/>
        </w:rPr>
        <w:t>."؛</w:t>
      </w:r>
    </w:p>
    <w:p w:rsidR="00D06241" w:rsidRPr="00451679" w:rsidRDefault="00D06241" w:rsidP="00D06241">
      <w:pPr>
        <w:pStyle w:val="NormalParaAR"/>
        <w:ind w:left="566"/>
      </w:pPr>
      <w:r w:rsidRPr="00451679">
        <w:rPr>
          <w:rFonts w:hint="cs"/>
          <w:rtl/>
        </w:rPr>
        <w:t>(ب)</w:t>
      </w:r>
      <w:r w:rsidRPr="00451679">
        <w:rPr>
          <w:rtl/>
        </w:rPr>
        <w:tab/>
      </w:r>
      <w:r w:rsidRPr="00451679">
        <w:rPr>
          <w:rFonts w:hint="cs"/>
          <w:rtl/>
        </w:rPr>
        <w:t xml:space="preserve">وفي نص مقدمة المرفق الرابع للمعيار </w:t>
      </w:r>
      <w:r w:rsidRPr="00451679">
        <w:t>ST.27</w:t>
      </w:r>
      <w:r w:rsidRPr="00451679">
        <w:rPr>
          <w:rFonts w:hint="cs"/>
          <w:rtl/>
        </w:rPr>
        <w:t>، استُبدلت عبارة "القالب النموذجي "بعبارة "القالب النموذجي المقترح".</w:t>
      </w:r>
    </w:p>
    <w:p w:rsidR="00466016" w:rsidRPr="00451679" w:rsidRDefault="00E95D91" w:rsidP="00E95D91">
      <w:pPr>
        <w:pStyle w:val="NumberedParaAR"/>
        <w:numPr>
          <w:ilvl w:val="0"/>
          <w:numId w:val="23"/>
        </w:numPr>
      </w:pPr>
      <w:r w:rsidRPr="00451679">
        <w:rPr>
          <w:rFonts w:hint="cs"/>
          <w:rtl/>
        </w:rPr>
        <w:t xml:space="preserve">ووافقت لجنة المعايير أيضا على إدراج الملاحظة التحريرية التالية في معيار الويبو </w:t>
      </w:r>
      <w:r w:rsidRPr="00451679">
        <w:t>ST.27</w:t>
      </w:r>
      <w:r w:rsidRPr="00451679">
        <w:rPr>
          <w:rFonts w:hint="cs"/>
          <w:rtl/>
          <w:lang w:bidi="ar-EG"/>
        </w:rPr>
        <w:t>:</w:t>
      </w:r>
    </w:p>
    <w:p w:rsidR="00E95D91" w:rsidRPr="00451679" w:rsidRDefault="00E95D91" w:rsidP="001A35E7">
      <w:pPr>
        <w:pStyle w:val="NormalParaAR"/>
        <w:ind w:left="566"/>
        <w:rPr>
          <w:i/>
          <w:iCs/>
          <w:rtl/>
        </w:rPr>
      </w:pPr>
      <w:r w:rsidRPr="00451679">
        <w:rPr>
          <w:i/>
          <w:iCs/>
          <w:rtl/>
        </w:rPr>
        <w:t>"ملاحظة تحريرية من المكتب الدولي</w:t>
      </w:r>
    </w:p>
    <w:p w:rsidR="00E95D91" w:rsidRPr="00451679" w:rsidRDefault="00E95D91" w:rsidP="00F17757">
      <w:pPr>
        <w:pStyle w:val="NormalParaAR"/>
        <w:ind w:left="566"/>
        <w:rPr>
          <w:rtl/>
        </w:rPr>
      </w:pPr>
      <w:r w:rsidRPr="00451679">
        <w:rPr>
          <w:rtl/>
        </w:rPr>
        <w:t>"</w:t>
      </w:r>
      <w:r w:rsidRPr="00451679">
        <w:rPr>
          <w:rFonts w:hint="cs"/>
          <w:rtl/>
        </w:rPr>
        <w:t xml:space="preserve">الأحداث </w:t>
      </w:r>
      <w:r w:rsidR="00F17757" w:rsidRPr="00451679">
        <w:rPr>
          <w:rFonts w:hint="cs"/>
          <w:rtl/>
        </w:rPr>
        <w:t>المفصّلة</w:t>
      </w:r>
      <w:r w:rsidRPr="00451679">
        <w:rPr>
          <w:rFonts w:hint="cs"/>
          <w:rtl/>
        </w:rPr>
        <w:t xml:space="preserve"> </w:t>
      </w:r>
      <w:r w:rsidR="00F17757" w:rsidRPr="00451679">
        <w:rPr>
          <w:rFonts w:hint="cs"/>
          <w:rtl/>
        </w:rPr>
        <w:t>المندرجة</w:t>
      </w:r>
      <w:r w:rsidRPr="00451679">
        <w:rPr>
          <w:rFonts w:hint="cs"/>
          <w:rtl/>
        </w:rPr>
        <w:t xml:space="preserve"> في هذا المعيار أحداث مؤقتة ستستعرضها مكاتب الملكية الصناعية وتقيّمها لمدة سنة. وعلى أساس نتائج الاستعراض والتقييم التي تبلّغها المكاتب المذكورة، سيُقدم اقتراح نهائي بشأن الأحداث </w:t>
      </w:r>
      <w:r w:rsidR="00F17757" w:rsidRPr="00451679">
        <w:rPr>
          <w:rFonts w:hint="cs"/>
          <w:rtl/>
        </w:rPr>
        <w:t>المفصّلة</w:t>
      </w:r>
      <w:r w:rsidRPr="00451679">
        <w:rPr>
          <w:rFonts w:hint="cs"/>
          <w:rtl/>
        </w:rPr>
        <w:t xml:space="preserve"> في هذا المعيار كي توافق عليه لجنة المعايير في دورتها السادسة. ويجوز لمكاتب الملكية الصناعية أن تختار تبادل بيانات الوضع القانوني </w:t>
      </w:r>
      <w:r w:rsidR="001A35E7" w:rsidRPr="00451679">
        <w:rPr>
          <w:rFonts w:hint="cs"/>
          <w:rtl/>
        </w:rPr>
        <w:t>على أساس الفئات والأحداث الرئيسية فقط، إن رغبت في ذلك</w:t>
      </w:r>
      <w:r w:rsidRPr="00451679">
        <w:rPr>
          <w:rtl/>
        </w:rPr>
        <w:t>.</w:t>
      </w:r>
    </w:p>
    <w:p w:rsidR="00E95D91" w:rsidRPr="00451679" w:rsidRDefault="00E95D91" w:rsidP="001A35E7">
      <w:pPr>
        <w:pStyle w:val="NormalParaAR"/>
        <w:ind w:left="566"/>
        <w:rPr>
          <w:rtl/>
        </w:rPr>
      </w:pPr>
      <w:r w:rsidRPr="00451679">
        <w:rPr>
          <w:rtl/>
        </w:rPr>
        <w:t>"</w:t>
      </w:r>
      <w:r w:rsidR="001A35E7" w:rsidRPr="00451679">
        <w:rPr>
          <w:rFonts w:hint="cs"/>
          <w:rtl/>
        </w:rPr>
        <w:t>واعتمدت اللجنة المعنية بمعايير الويبو (لجنة المعايير) هذا المعيار في دورتها الخامسة يوم 2 يونيو 2017."</w:t>
      </w:r>
    </w:p>
    <w:p w:rsidR="001A35E7" w:rsidRPr="00451679" w:rsidRDefault="001A35E7" w:rsidP="00F17757">
      <w:pPr>
        <w:pStyle w:val="NumberedParaAR"/>
        <w:numPr>
          <w:ilvl w:val="0"/>
          <w:numId w:val="23"/>
        </w:numPr>
      </w:pPr>
      <w:r w:rsidRPr="00451679">
        <w:rPr>
          <w:rFonts w:hint="cs"/>
          <w:rtl/>
        </w:rPr>
        <w:t xml:space="preserve">والتمست لجنة المعايير من الأمانة إصدار تعميم لدعوة مكاتب الملكية الصناعية إلى تقييم ممارساتها العملية وأنظمتها المعلوماتية واستعراض الأحداث </w:t>
      </w:r>
      <w:r w:rsidR="00F17757" w:rsidRPr="00451679">
        <w:rPr>
          <w:rFonts w:hint="cs"/>
          <w:rtl/>
        </w:rPr>
        <w:t>المفصّلة</w:t>
      </w:r>
      <w:r w:rsidRPr="00451679">
        <w:rPr>
          <w:rFonts w:hint="cs"/>
          <w:rtl/>
        </w:rPr>
        <w:t xml:space="preserve"> المؤقتة.</w:t>
      </w:r>
    </w:p>
    <w:p w:rsidR="001A35E7" w:rsidRPr="00451679" w:rsidRDefault="001A35E7" w:rsidP="001A35E7">
      <w:pPr>
        <w:pStyle w:val="NumberedParaAR"/>
        <w:numPr>
          <w:ilvl w:val="0"/>
          <w:numId w:val="23"/>
        </w:numPr>
      </w:pPr>
      <w:r w:rsidRPr="00451679">
        <w:rPr>
          <w:rFonts w:hint="cs"/>
          <w:rtl/>
        </w:rPr>
        <w:t>والتمست لجنة المعايير من فرقة العمل المعنية بالوضع القانوني ما يلي:</w:t>
      </w:r>
    </w:p>
    <w:p w:rsidR="001A35E7" w:rsidRPr="00451679" w:rsidRDefault="001A35E7" w:rsidP="00F17757">
      <w:pPr>
        <w:pStyle w:val="NormalParaAR"/>
        <w:ind w:left="566"/>
        <w:rPr>
          <w:rtl/>
        </w:rPr>
      </w:pPr>
      <w:r w:rsidRPr="00451679">
        <w:rPr>
          <w:rFonts w:hint="cs"/>
          <w:rtl/>
        </w:rPr>
        <w:t>(أ)</w:t>
      </w:r>
      <w:r w:rsidRPr="00451679">
        <w:rPr>
          <w:rtl/>
        </w:rPr>
        <w:tab/>
      </w:r>
      <w:r w:rsidRPr="00451679">
        <w:rPr>
          <w:rFonts w:hint="cs"/>
          <w:rtl/>
        </w:rPr>
        <w:t xml:space="preserve">استكمال قائمة الأحداث </w:t>
      </w:r>
      <w:r w:rsidR="00F17757" w:rsidRPr="00451679">
        <w:rPr>
          <w:rFonts w:hint="cs"/>
          <w:rtl/>
        </w:rPr>
        <w:t>المفصّلة</w:t>
      </w:r>
      <w:r w:rsidRPr="00451679">
        <w:rPr>
          <w:rFonts w:hint="cs"/>
          <w:rtl/>
        </w:rPr>
        <w:t xml:space="preserve"> والوثيقة الإرشادية بخصوص بيانات الوضع القانوني للبراءات وعرضهما على لجنة المعايير كي تنظر فيهما وتوافق عليهما في دورتها السادسة؛</w:t>
      </w:r>
    </w:p>
    <w:p w:rsidR="001A35E7" w:rsidRPr="00451679" w:rsidRDefault="001A35E7" w:rsidP="004459C3">
      <w:pPr>
        <w:pStyle w:val="NormalParaAR"/>
        <w:ind w:left="566"/>
        <w:rPr>
          <w:rtl/>
        </w:rPr>
      </w:pPr>
      <w:r w:rsidRPr="00451679">
        <w:rPr>
          <w:rFonts w:hint="cs"/>
          <w:rtl/>
        </w:rPr>
        <w:t>(ب)</w:t>
      </w:r>
      <w:r w:rsidRPr="00451679">
        <w:rPr>
          <w:rtl/>
        </w:rPr>
        <w:tab/>
      </w:r>
      <w:r w:rsidRPr="00451679">
        <w:rPr>
          <w:rFonts w:hint="cs"/>
          <w:rtl/>
        </w:rPr>
        <w:t xml:space="preserve">وإعداد توصية </w:t>
      </w:r>
      <w:r w:rsidR="00F17757" w:rsidRPr="00451679">
        <w:rPr>
          <w:rFonts w:hint="cs"/>
          <w:rtl/>
        </w:rPr>
        <w:t xml:space="preserve">بشأن </w:t>
      </w:r>
      <w:r w:rsidRPr="00451679">
        <w:rPr>
          <w:rFonts w:hint="cs"/>
          <w:rtl/>
        </w:rPr>
        <w:t xml:space="preserve">تبادل بيانات الوضع القانوني </w:t>
      </w:r>
      <w:r w:rsidR="00F17757" w:rsidRPr="00451679">
        <w:rPr>
          <w:rFonts w:hint="cs"/>
          <w:rtl/>
        </w:rPr>
        <w:t>ل</w:t>
      </w:r>
      <w:r w:rsidRPr="00451679">
        <w:rPr>
          <w:rFonts w:hint="cs"/>
          <w:rtl/>
        </w:rPr>
        <w:t xml:space="preserve">لعلامات التجارية والتصاميم الصناعية وتقديم تقرير مرحلي </w:t>
      </w:r>
      <w:r w:rsidR="004459C3" w:rsidRPr="00451679">
        <w:rPr>
          <w:rFonts w:hint="cs"/>
          <w:rtl/>
        </w:rPr>
        <w:t>عنها إلى لجنة المعايير كي تنظر فيه في دورتها السادسة.</w:t>
      </w:r>
    </w:p>
    <w:p w:rsidR="00FD74A0" w:rsidRPr="00451679" w:rsidRDefault="00FD74A0" w:rsidP="00FD74A0">
      <w:pPr>
        <w:pStyle w:val="NumberedParaAR"/>
        <w:numPr>
          <w:ilvl w:val="0"/>
          <w:numId w:val="23"/>
        </w:numPr>
      </w:pPr>
      <w:r w:rsidRPr="00451679">
        <w:rPr>
          <w:rFonts w:hint="cs"/>
          <w:rtl/>
        </w:rPr>
        <w:t xml:space="preserve">والتمست لجنة المعايير من فرقة عمل </w:t>
      </w:r>
      <w:r w:rsidRPr="00451679">
        <w:t>XML4IP</w:t>
      </w:r>
      <w:r w:rsidRPr="00451679">
        <w:rPr>
          <w:rFonts w:hint="cs"/>
          <w:rtl/>
        </w:rPr>
        <w:t xml:space="preserve"> تطوير مكونات مخطط لغة الترميز الموسعة (</w:t>
      </w:r>
      <w:r w:rsidRPr="00451679">
        <w:t>XML</w:t>
      </w:r>
      <w:r w:rsidRPr="00451679">
        <w:rPr>
          <w:rFonts w:hint="cs"/>
          <w:rtl/>
        </w:rPr>
        <w:t>) بالتشاور مع فرقة العمل المعنية بالوضع القانوني من أجل تيسير تبادل بيانات الوضع القانوني للبراءات استنادا إلى معيار الويبو الجديد</w:t>
      </w:r>
      <w:r w:rsidRPr="00451679">
        <w:rPr>
          <w:rFonts w:hint="eastAsia"/>
          <w:rtl/>
        </w:rPr>
        <w:t> </w:t>
      </w:r>
      <w:r w:rsidRPr="00451679">
        <w:t>ST.27</w:t>
      </w:r>
      <w:r w:rsidRPr="00451679">
        <w:rPr>
          <w:rFonts w:hint="cs"/>
          <w:rtl/>
        </w:rPr>
        <w:t xml:space="preserve"> وتقديم تقرير عن نتائج ذلك العمل إلى لجنة المعايير في دورتها السادسة.</w:t>
      </w:r>
    </w:p>
    <w:p w:rsidR="00FD74A0" w:rsidRPr="00451679" w:rsidRDefault="00FD74A0" w:rsidP="00FD74A0">
      <w:pPr>
        <w:pStyle w:val="NumberedParaAR"/>
        <w:numPr>
          <w:ilvl w:val="0"/>
          <w:numId w:val="23"/>
        </w:numPr>
      </w:pPr>
      <w:r w:rsidRPr="00451679">
        <w:rPr>
          <w:rFonts w:hint="cs"/>
          <w:rtl/>
        </w:rPr>
        <w:t>وعدّلت لجنة المعايير وصف المهمة رقم 47 ليصبح كما يلي:</w:t>
      </w:r>
    </w:p>
    <w:p w:rsidR="00FD74A0" w:rsidRPr="00451679" w:rsidRDefault="00FD74A0" w:rsidP="00FD74A0">
      <w:pPr>
        <w:pStyle w:val="NormalParaAR"/>
        <w:ind w:left="566"/>
        <w:rPr>
          <w:rtl/>
        </w:rPr>
      </w:pPr>
      <w:r w:rsidRPr="00451679">
        <w:rPr>
          <w:rFonts w:hint="cs"/>
          <w:rtl/>
        </w:rPr>
        <w:t>"</w:t>
      </w:r>
      <w:r w:rsidRPr="00451679">
        <w:rPr>
          <w:rtl/>
        </w:rPr>
        <w:t>إعداد اقتراح نهائي للأحداث المفصّلة ووثيقة إرشادية بشأن بيانات الوضع القانوني للبراءات؛ وإعداد توصية بشأن تبادل مكاتب الملكية الصناعية لبيانات الوضع القانوني للعلامات التجارية والتصاميم الصناعية".</w:t>
      </w:r>
    </w:p>
    <w:p w:rsidR="0010281A" w:rsidRPr="00451679" w:rsidRDefault="0010281A" w:rsidP="0010281A">
      <w:pPr>
        <w:pStyle w:val="NumberedParaAR"/>
        <w:numPr>
          <w:ilvl w:val="0"/>
          <w:numId w:val="23"/>
        </w:numPr>
      </w:pPr>
      <w:r w:rsidRPr="00451679">
        <w:rPr>
          <w:rFonts w:hint="cs"/>
          <w:rtl/>
        </w:rPr>
        <w:t>والتمست لجنة المعايير من الأمانة أن تستعرض نسق (أنساق) التواريخ الموصى به (بها) في معايير الويبو وتقدم لها تقريرا عن نتيجة ذلك الاستعراض في دورتها السادسة.</w:t>
      </w:r>
    </w:p>
    <w:p w:rsidR="00466016" w:rsidRPr="00984302" w:rsidRDefault="009249C5" w:rsidP="00287A95">
      <w:pPr>
        <w:pStyle w:val="Heading3"/>
        <w:spacing w:before="0" w:after="120"/>
        <w:rPr>
          <w:lang w:val="en-US"/>
        </w:rPr>
      </w:pPr>
      <w:r w:rsidRPr="00451679">
        <w:rPr>
          <w:rFonts w:hint="cs"/>
          <w:rtl/>
        </w:rPr>
        <w:t>البند 12 من جدول الأعمال:</w:t>
      </w:r>
      <w:r w:rsidR="00466016" w:rsidRPr="00451679">
        <w:rPr>
          <w:rFonts w:hint="cs"/>
          <w:rtl/>
        </w:rPr>
        <w:t xml:space="preserve"> </w:t>
      </w:r>
      <w:r w:rsidRPr="00451679">
        <w:rPr>
          <w:rFonts w:hint="cs"/>
          <w:rtl/>
        </w:rPr>
        <w:t xml:space="preserve">معيار الويبو الجديد بشأن ملف الإدارة </w:t>
      </w:r>
      <w:r w:rsidR="00287A95" w:rsidRPr="00451679">
        <w:rPr>
          <w:rFonts w:hint="cs"/>
          <w:rtl/>
        </w:rPr>
        <w:t>فيما يخص</w:t>
      </w:r>
      <w:r w:rsidRPr="00451679">
        <w:rPr>
          <w:rFonts w:hint="cs"/>
          <w:rtl/>
        </w:rPr>
        <w:t xml:space="preserve"> وثائق البراءات التي ينشرها مكتب البراءات</w:t>
      </w:r>
    </w:p>
    <w:p w:rsidR="00A24676" w:rsidRPr="00451679" w:rsidRDefault="00A24676" w:rsidP="00A24676">
      <w:pPr>
        <w:pStyle w:val="NumberedParaAR"/>
        <w:numPr>
          <w:ilvl w:val="0"/>
          <w:numId w:val="23"/>
        </w:numPr>
      </w:pPr>
      <w:r w:rsidRPr="00451679">
        <w:rPr>
          <w:rFonts w:hint="cs"/>
          <w:rtl/>
        </w:rPr>
        <w:t>أحاطت لجنة المعايير علما بالتقرير الذي أعده المكتب الأوروبي للبراءات بشأن العمل الذي قامت به فرقة العمل المعنية بملف الإدارة، كما ورد في المرفق الأول من الوثيقة</w:t>
      </w:r>
      <w:r w:rsidRPr="00451679">
        <w:rPr>
          <w:rFonts w:hint="eastAsia"/>
          <w:rtl/>
        </w:rPr>
        <w:t> </w:t>
      </w:r>
      <w:r w:rsidRPr="00451679">
        <w:t>CWS/5/9</w:t>
      </w:r>
      <w:r w:rsidRPr="00451679">
        <w:rPr>
          <w:rFonts w:hint="cs"/>
          <w:rtl/>
        </w:rPr>
        <w:t>.</w:t>
      </w:r>
    </w:p>
    <w:p w:rsidR="00A24676" w:rsidRPr="00451679" w:rsidRDefault="00A24676" w:rsidP="00287A95">
      <w:pPr>
        <w:pStyle w:val="NumberedParaAR"/>
        <w:numPr>
          <w:ilvl w:val="0"/>
          <w:numId w:val="23"/>
        </w:numPr>
      </w:pPr>
      <w:r w:rsidRPr="00451679">
        <w:rPr>
          <w:rFonts w:hint="cs"/>
          <w:rtl/>
        </w:rPr>
        <w:t xml:space="preserve">واعتمدت لجنة المعايير معيار الويبو الجديد </w:t>
      </w:r>
      <w:r w:rsidRPr="00451679">
        <w:t>ST.37</w:t>
      </w:r>
      <w:r w:rsidRPr="00451679">
        <w:rPr>
          <w:rFonts w:hint="cs"/>
          <w:rtl/>
        </w:rPr>
        <w:t xml:space="preserve"> "</w:t>
      </w:r>
      <w:r w:rsidRPr="00451679">
        <w:rPr>
          <w:rtl/>
        </w:rPr>
        <w:t>توصية بشأن ملف الإدارة فيما يخص وثائق البراءات المنشورة"</w:t>
      </w:r>
      <w:r w:rsidR="00287A95" w:rsidRPr="00451679">
        <w:rPr>
          <w:rFonts w:hint="cs"/>
          <w:rtl/>
        </w:rPr>
        <w:t>، كما ورد في المرفق الثاني من الوثيقة</w:t>
      </w:r>
      <w:r w:rsidR="00287A95" w:rsidRPr="00451679">
        <w:rPr>
          <w:rFonts w:hint="eastAsia"/>
          <w:rtl/>
        </w:rPr>
        <w:t> </w:t>
      </w:r>
      <w:r w:rsidR="00287A95" w:rsidRPr="00451679">
        <w:t>CWS/5/9</w:t>
      </w:r>
      <w:r w:rsidR="00287A95" w:rsidRPr="00451679">
        <w:rPr>
          <w:rFonts w:hint="cs"/>
          <w:rtl/>
        </w:rPr>
        <w:t>، مع إدخال التعديلات التالية:</w:t>
      </w:r>
    </w:p>
    <w:p w:rsidR="00287A95" w:rsidRPr="00451679" w:rsidRDefault="00287A95" w:rsidP="00796921">
      <w:pPr>
        <w:pStyle w:val="NormalParaAR"/>
        <w:ind w:left="566"/>
        <w:rPr>
          <w:rtl/>
        </w:rPr>
      </w:pPr>
      <w:r w:rsidRPr="00451679">
        <w:rPr>
          <w:rFonts w:hint="cs"/>
          <w:rtl/>
        </w:rPr>
        <w:t>(أ)</w:t>
      </w:r>
      <w:r w:rsidRPr="00451679">
        <w:rPr>
          <w:rtl/>
        </w:rPr>
        <w:tab/>
      </w:r>
      <w:r w:rsidRPr="00451679">
        <w:rPr>
          <w:rFonts w:hint="cs"/>
          <w:rtl/>
        </w:rPr>
        <w:t>عُدّلت تعريف الرمز "</w:t>
      </w:r>
      <w:r w:rsidRPr="00451679">
        <w:t>E</w:t>
      </w:r>
      <w:r w:rsidRPr="00451679">
        <w:rPr>
          <w:rFonts w:hint="cs"/>
          <w:rtl/>
        </w:rPr>
        <w:t>" الوارد في الفقرة 23 ليصبح كما يلي: "رقم المنشور المخصّص من قبل مكتب الملكية الصناعية ويمثّل حالة دخول المرحلة الوطنية/الإقليمية بناء على معاهدة التعاون بشأن البراءات (</w:t>
      </w:r>
      <w:r w:rsidR="00796921" w:rsidRPr="00451679">
        <w:rPr>
          <w:rFonts w:hint="cs"/>
          <w:rtl/>
        </w:rPr>
        <w:t>على سبيل المثال،</w:t>
      </w:r>
      <w:r w:rsidRPr="00451679">
        <w:rPr>
          <w:rFonts w:hint="cs"/>
          <w:rtl/>
        </w:rPr>
        <w:t xml:space="preserve"> </w:t>
      </w:r>
      <w:r w:rsidR="00796921" w:rsidRPr="00451679">
        <w:rPr>
          <w:rFonts w:hint="cs"/>
          <w:rtl/>
        </w:rPr>
        <w:t>طلبات</w:t>
      </w:r>
      <w:r w:rsidR="00796921" w:rsidRPr="00451679">
        <w:rPr>
          <w:rFonts w:hint="eastAsia"/>
          <w:rtl/>
        </w:rPr>
        <w:t> </w:t>
      </w:r>
      <w:r w:rsidR="00796921" w:rsidRPr="00451679">
        <w:t>Euro-PCT</w:t>
      </w:r>
      <w:r w:rsidRPr="00451679">
        <w:rPr>
          <w:rFonts w:hint="cs"/>
          <w:rtl/>
        </w:rPr>
        <w:t xml:space="preserve">). </w:t>
      </w:r>
      <w:r w:rsidR="00796921" w:rsidRPr="00451679">
        <w:rPr>
          <w:rFonts w:hint="cs"/>
          <w:rtl/>
        </w:rPr>
        <w:t xml:space="preserve">لا توجد وثيقة منشورة ذات صلة. طلب </w:t>
      </w:r>
      <w:r w:rsidR="00796921" w:rsidRPr="00451679">
        <w:t>Euro-PCT</w:t>
      </w:r>
      <w:r w:rsidR="00796921" w:rsidRPr="00451679">
        <w:rPr>
          <w:rFonts w:hint="cs"/>
          <w:rtl/>
        </w:rPr>
        <w:t xml:space="preserve"> هو طلب براءة دولي مودع بناء على معاهدة التعاون بشأن البراءات ودخل المرحلة الإقليمية الأوروبية."</w:t>
      </w:r>
    </w:p>
    <w:p w:rsidR="00796921" w:rsidRPr="00451679" w:rsidRDefault="00796921" w:rsidP="00796921">
      <w:pPr>
        <w:pStyle w:val="NormalParaAR"/>
        <w:ind w:left="566"/>
        <w:rPr>
          <w:rtl/>
        </w:rPr>
      </w:pPr>
      <w:r w:rsidRPr="00451679">
        <w:rPr>
          <w:rFonts w:hint="cs"/>
          <w:rtl/>
        </w:rPr>
        <w:t>(ب) وأضيفت الجملة التالية إلى الفقرة 29: "إذا استخدم مكتب الملكية الصناعية أنساقا لأرقام الطلبات في ملف الإدارة تختلف عن الأنساق المستخدمة في المنشور الأصلي، فينبغي تقديم شروح حول تلك الأنساق في ملف التعاريف.</w:t>
      </w:r>
    </w:p>
    <w:p w:rsidR="00796921" w:rsidRPr="00451679" w:rsidRDefault="00796921" w:rsidP="00796921">
      <w:pPr>
        <w:pStyle w:val="NormalParaAR"/>
        <w:ind w:left="566"/>
        <w:rPr>
          <w:rtl/>
        </w:rPr>
      </w:pPr>
      <w:r w:rsidRPr="00451679">
        <w:rPr>
          <w:rFonts w:hint="cs"/>
          <w:rtl/>
        </w:rPr>
        <w:t>(ج)</w:t>
      </w:r>
      <w:r w:rsidRPr="00451679">
        <w:rPr>
          <w:rtl/>
        </w:rPr>
        <w:tab/>
      </w:r>
      <w:r w:rsidRPr="00451679">
        <w:rPr>
          <w:rFonts w:hint="cs"/>
          <w:rtl/>
        </w:rPr>
        <w:t>وعُدّل تعريف الرمز "</w:t>
      </w:r>
      <w:r w:rsidRPr="00451679">
        <w:t>E</w:t>
      </w:r>
      <w:r w:rsidRPr="00451679">
        <w:rPr>
          <w:rFonts w:hint="cs"/>
          <w:rtl/>
        </w:rPr>
        <w:t>" الوارد في المرفق الأول ليصبح "الطلبات المودعة بناء على معاهدة التعاون بشأن البراءات والتي لم ي</w:t>
      </w:r>
      <w:r w:rsidR="009A7A07" w:rsidRPr="00451679">
        <w:rPr>
          <w:rFonts w:hint="cs"/>
          <w:rtl/>
        </w:rPr>
        <w:t>ُعاد نشرها."</w:t>
      </w:r>
    </w:p>
    <w:p w:rsidR="009A7A07" w:rsidRPr="00451679" w:rsidRDefault="009A7A07" w:rsidP="009A7A07">
      <w:pPr>
        <w:pStyle w:val="NumberedParaAR"/>
        <w:numPr>
          <w:ilvl w:val="0"/>
          <w:numId w:val="23"/>
        </w:numPr>
      </w:pPr>
      <w:r w:rsidRPr="00451679">
        <w:rPr>
          <w:rFonts w:hint="cs"/>
          <w:rtl/>
        </w:rPr>
        <w:t xml:space="preserve">ووافقت لجنة المعايير أيضا على إدراج الملاحظة التحريرية التالية في معيار الويبو </w:t>
      </w:r>
      <w:r w:rsidR="00A24676" w:rsidRPr="00451679">
        <w:t>ST.37</w:t>
      </w:r>
      <w:r w:rsidRPr="00451679">
        <w:rPr>
          <w:rFonts w:hint="cs"/>
          <w:rtl/>
        </w:rPr>
        <w:t>:</w:t>
      </w:r>
    </w:p>
    <w:p w:rsidR="009A7A07" w:rsidRPr="00451679" w:rsidRDefault="009A7A07" w:rsidP="009A7A07">
      <w:pPr>
        <w:pStyle w:val="NormalParaAR"/>
        <w:ind w:left="566"/>
        <w:rPr>
          <w:rtl/>
        </w:rPr>
      </w:pPr>
      <w:r w:rsidRPr="00451679">
        <w:rPr>
          <w:rFonts w:hint="cs"/>
          <w:rtl/>
          <w:lang w:bidi="ar-EG"/>
        </w:rPr>
        <w:t>"</w:t>
      </w:r>
      <w:r w:rsidRPr="00451679">
        <w:rPr>
          <w:rtl/>
          <w:lang w:bidi="ar-EG"/>
        </w:rPr>
        <w:t>ملاحظة تحريرية من المكتب الدولي</w:t>
      </w:r>
    </w:p>
    <w:p w:rsidR="009A7A07" w:rsidRPr="00451679" w:rsidRDefault="009A7A07" w:rsidP="009A7A07">
      <w:pPr>
        <w:pStyle w:val="NormalParaAR"/>
        <w:ind w:left="566"/>
        <w:rPr>
          <w:rtl/>
          <w:lang w:bidi="ar-EG"/>
        </w:rPr>
      </w:pPr>
      <w:r w:rsidRPr="00451679">
        <w:rPr>
          <w:rFonts w:hint="cs"/>
          <w:rtl/>
          <w:lang w:bidi="ar-EG"/>
        </w:rPr>
        <w:t xml:space="preserve">"تعكف فرقة العمل المعنية بملف الإدارة، حالياً، على </w:t>
      </w:r>
      <w:r w:rsidRPr="00451679">
        <w:rPr>
          <w:rtl/>
          <w:lang w:bidi="ar-EG"/>
        </w:rPr>
        <w:t xml:space="preserve">إعداد المرفقين الثالث والرابع لهذا المعيار، اللذين </w:t>
      </w:r>
      <w:r w:rsidRPr="00451679">
        <w:rPr>
          <w:rFonts w:hint="cs"/>
          <w:rtl/>
          <w:lang w:bidi="ar-EG"/>
        </w:rPr>
        <w:t xml:space="preserve">يُحدِّدان </w:t>
      </w:r>
      <w:r w:rsidRPr="00451679">
        <w:rPr>
          <w:rtl/>
          <w:lang w:bidi="ar-EG"/>
        </w:rPr>
        <w:t xml:space="preserve">مخطط </w:t>
      </w:r>
      <w:r w:rsidRPr="00451679">
        <w:rPr>
          <w:rFonts w:hint="cs"/>
          <w:rtl/>
          <w:lang w:bidi="ar-EG"/>
        </w:rPr>
        <w:t xml:space="preserve">لغة الترميز الموسعة </w:t>
      </w:r>
      <w:r w:rsidRPr="00451679">
        <w:rPr>
          <w:rtl/>
          <w:lang w:bidi="ar-EG"/>
        </w:rPr>
        <w:t>(</w:t>
      </w:r>
      <w:r w:rsidRPr="00451679">
        <w:t>XSD</w:t>
      </w:r>
      <w:r w:rsidRPr="00451679">
        <w:rPr>
          <w:rtl/>
          <w:lang w:bidi="ar-EG"/>
        </w:rPr>
        <w:t>) وتعريف نوع البيانات (</w:t>
      </w:r>
      <w:r w:rsidRPr="00451679">
        <w:t>DTD</w:t>
      </w:r>
      <w:r w:rsidRPr="00451679">
        <w:rPr>
          <w:rtl/>
          <w:lang w:bidi="ar-EG"/>
        </w:rPr>
        <w:t>). ومن الم</w:t>
      </w:r>
      <w:r w:rsidRPr="00451679">
        <w:rPr>
          <w:rFonts w:hint="cs"/>
          <w:rtl/>
          <w:lang w:bidi="ar-EG"/>
        </w:rPr>
        <w:t xml:space="preserve">قرّر </w:t>
      </w:r>
      <w:r w:rsidRPr="00451679">
        <w:rPr>
          <w:rtl/>
          <w:lang w:bidi="ar-EG"/>
        </w:rPr>
        <w:t>عرض</w:t>
      </w:r>
      <w:r w:rsidRPr="00451679">
        <w:rPr>
          <w:rFonts w:hint="cs"/>
          <w:rtl/>
          <w:lang w:bidi="ar-EG"/>
        </w:rPr>
        <w:t xml:space="preserve"> هذين المرفقين </w:t>
      </w:r>
      <w:r w:rsidRPr="00451679">
        <w:rPr>
          <w:rtl/>
          <w:lang w:bidi="ar-EG"/>
        </w:rPr>
        <w:t>على اللجنة المعنية بمعايير الويبو</w:t>
      </w:r>
      <w:r w:rsidRPr="00451679">
        <w:rPr>
          <w:rFonts w:hint="cs"/>
          <w:rtl/>
          <w:lang w:bidi="ar-EG"/>
        </w:rPr>
        <w:t xml:space="preserve"> (لجنة المعايير) </w:t>
      </w:r>
      <w:r w:rsidRPr="00451679">
        <w:rPr>
          <w:rtl/>
          <w:lang w:bidi="ar-EG"/>
        </w:rPr>
        <w:t>ل</w:t>
      </w:r>
      <w:r w:rsidRPr="00451679">
        <w:rPr>
          <w:rFonts w:hint="cs"/>
          <w:rtl/>
          <w:lang w:bidi="ar-EG"/>
        </w:rPr>
        <w:t>ت</w:t>
      </w:r>
      <w:r w:rsidRPr="00451679">
        <w:rPr>
          <w:rtl/>
          <w:lang w:bidi="ar-EG"/>
        </w:rPr>
        <w:t>نظر فيه</w:t>
      </w:r>
      <w:r w:rsidRPr="00451679">
        <w:rPr>
          <w:rFonts w:hint="cs"/>
          <w:rtl/>
          <w:lang w:bidi="ar-EG"/>
        </w:rPr>
        <w:t>م</w:t>
      </w:r>
      <w:r w:rsidRPr="00451679">
        <w:rPr>
          <w:rtl/>
          <w:lang w:bidi="ar-EG"/>
        </w:rPr>
        <w:t>ا و</w:t>
      </w:r>
      <w:r w:rsidRPr="00451679">
        <w:rPr>
          <w:rFonts w:hint="cs"/>
          <w:rtl/>
          <w:lang w:bidi="ar-EG"/>
        </w:rPr>
        <w:t>ت</w:t>
      </w:r>
      <w:r w:rsidRPr="00451679">
        <w:rPr>
          <w:rtl/>
          <w:lang w:bidi="ar-EG"/>
        </w:rPr>
        <w:t>عتمده</w:t>
      </w:r>
      <w:r w:rsidRPr="00451679">
        <w:rPr>
          <w:rFonts w:hint="cs"/>
          <w:rtl/>
          <w:lang w:bidi="ar-EG"/>
        </w:rPr>
        <w:t>م</w:t>
      </w:r>
      <w:r w:rsidRPr="00451679">
        <w:rPr>
          <w:rtl/>
          <w:lang w:bidi="ar-EG"/>
        </w:rPr>
        <w:t>ا في دورتها السادسة في عام</w:t>
      </w:r>
      <w:r w:rsidRPr="00451679">
        <w:rPr>
          <w:rFonts w:hint="cs"/>
          <w:rtl/>
          <w:lang w:bidi="ar-EG"/>
        </w:rPr>
        <w:t> </w:t>
      </w:r>
      <w:r w:rsidRPr="00451679">
        <w:rPr>
          <w:rtl/>
          <w:lang w:bidi="ar-EG"/>
        </w:rPr>
        <w:t>2018.</w:t>
      </w:r>
    </w:p>
    <w:p w:rsidR="009A7A07" w:rsidRPr="00451679" w:rsidRDefault="009A7A07" w:rsidP="009A7A07">
      <w:pPr>
        <w:pStyle w:val="NormalParaAR"/>
        <w:ind w:left="566"/>
        <w:rPr>
          <w:rtl/>
          <w:lang w:bidi="ar-EG"/>
        </w:rPr>
      </w:pPr>
      <w:r w:rsidRPr="00451679">
        <w:rPr>
          <w:rFonts w:hint="cs"/>
          <w:rtl/>
          <w:lang w:bidi="ar-EG"/>
        </w:rPr>
        <w:t>"</w:t>
      </w:r>
      <w:r w:rsidRPr="00451679">
        <w:rPr>
          <w:rtl/>
          <w:lang w:bidi="ar-EG"/>
        </w:rPr>
        <w:t>و</w:t>
      </w:r>
      <w:r w:rsidRPr="00451679">
        <w:rPr>
          <w:rFonts w:hint="cs"/>
          <w:rtl/>
          <w:lang w:bidi="ar-EG"/>
        </w:rPr>
        <w:t>إ</w:t>
      </w:r>
      <w:r w:rsidRPr="00451679">
        <w:rPr>
          <w:rtl/>
          <w:lang w:bidi="ar-EG"/>
        </w:rPr>
        <w:t xml:space="preserve">لى أن تعتمد لجنة </w:t>
      </w:r>
      <w:r w:rsidRPr="00451679">
        <w:rPr>
          <w:rFonts w:hint="cs"/>
          <w:rtl/>
          <w:lang w:bidi="ar-EG"/>
        </w:rPr>
        <w:t xml:space="preserve">المعايير </w:t>
      </w:r>
      <w:r w:rsidRPr="00451679">
        <w:rPr>
          <w:rtl/>
          <w:lang w:bidi="ar-EG"/>
        </w:rPr>
        <w:t>المرفق</w:t>
      </w:r>
      <w:r w:rsidRPr="00451679">
        <w:rPr>
          <w:rFonts w:hint="cs"/>
          <w:rtl/>
          <w:lang w:bidi="ar-EG"/>
        </w:rPr>
        <w:t>ين</w:t>
      </w:r>
      <w:r w:rsidRPr="00451679">
        <w:rPr>
          <w:rtl/>
          <w:lang w:bidi="ar-EG"/>
        </w:rPr>
        <w:t xml:space="preserve"> المذكور</w:t>
      </w:r>
      <w:r w:rsidRPr="00451679">
        <w:rPr>
          <w:rFonts w:hint="cs"/>
          <w:rtl/>
          <w:lang w:bidi="ar-EG"/>
        </w:rPr>
        <w:t>ين</w:t>
      </w:r>
      <w:r w:rsidRPr="00451679">
        <w:rPr>
          <w:rtl/>
          <w:lang w:bidi="ar-EG"/>
        </w:rPr>
        <w:t>، فإن الن</w:t>
      </w:r>
      <w:r w:rsidRPr="00451679">
        <w:rPr>
          <w:rFonts w:hint="cs"/>
          <w:rtl/>
          <w:lang w:bidi="ar-EG"/>
        </w:rPr>
        <w:t xml:space="preserve">سق </w:t>
      </w:r>
      <w:r w:rsidRPr="00451679">
        <w:rPr>
          <w:rtl/>
          <w:lang w:bidi="ar-EG"/>
        </w:rPr>
        <w:t xml:space="preserve">الوحيد الموصى به لأغراض هذا المعيار هو </w:t>
      </w:r>
      <w:r w:rsidRPr="00451679">
        <w:rPr>
          <w:rFonts w:hint="cs"/>
          <w:rtl/>
          <w:lang w:bidi="ar-EG"/>
        </w:rPr>
        <w:t xml:space="preserve">النسق </w:t>
      </w:r>
      <w:r w:rsidRPr="00451679">
        <w:rPr>
          <w:rtl/>
          <w:lang w:bidi="ar-EG"/>
        </w:rPr>
        <w:t>النص</w:t>
      </w:r>
      <w:r w:rsidRPr="00451679">
        <w:rPr>
          <w:rFonts w:hint="cs"/>
          <w:rtl/>
          <w:lang w:bidi="ar-EG"/>
        </w:rPr>
        <w:t>ي</w:t>
      </w:r>
      <w:r w:rsidRPr="00451679">
        <w:rPr>
          <w:rtl/>
          <w:lang w:bidi="ar-EG"/>
        </w:rPr>
        <w:t>.</w:t>
      </w:r>
      <w:r w:rsidRPr="00451679">
        <w:rPr>
          <w:rFonts w:hint="cs"/>
          <w:rtl/>
          <w:lang w:bidi="ar-EG"/>
        </w:rPr>
        <w:t>"</w:t>
      </w:r>
    </w:p>
    <w:p w:rsidR="009A7A07" w:rsidRPr="00451679" w:rsidRDefault="009A7A07" w:rsidP="009A7A07">
      <w:pPr>
        <w:pStyle w:val="NumberedParaAR"/>
        <w:numPr>
          <w:ilvl w:val="0"/>
          <w:numId w:val="23"/>
        </w:numPr>
        <w:rPr>
          <w:lang w:bidi="ar-EG"/>
        </w:rPr>
      </w:pPr>
      <w:r w:rsidRPr="00451679">
        <w:rPr>
          <w:rFonts w:hint="cs"/>
          <w:rtl/>
          <w:lang w:bidi="ar-EG"/>
        </w:rPr>
        <w:t>وعدّلت لجنة المعايير وصف المهمة رقم 51 ليصبح كما يلي:</w:t>
      </w:r>
    </w:p>
    <w:p w:rsidR="009A7A07" w:rsidRPr="00451679" w:rsidRDefault="009C5DCE" w:rsidP="009C5DCE">
      <w:pPr>
        <w:pStyle w:val="NormalParaAR"/>
        <w:ind w:left="566"/>
        <w:rPr>
          <w:rtl/>
          <w:lang w:bidi="ar-EG"/>
        </w:rPr>
      </w:pPr>
      <w:r w:rsidRPr="00451679">
        <w:rPr>
          <w:rtl/>
          <w:lang w:bidi="ar-EG"/>
        </w:rPr>
        <w:t xml:space="preserve">"إعداد </w:t>
      </w:r>
      <w:r w:rsidRPr="00451679">
        <w:rPr>
          <w:rFonts w:hint="cs"/>
          <w:rtl/>
          <w:lang w:bidi="ar-EG"/>
        </w:rPr>
        <w:t>المرفق</w:t>
      </w:r>
      <w:r w:rsidRPr="00451679">
        <w:rPr>
          <w:rtl/>
          <w:lang w:bidi="ar-EG"/>
        </w:rPr>
        <w:t xml:space="preserve"> الثالث</w:t>
      </w:r>
      <w:r w:rsidRPr="00451679">
        <w:rPr>
          <w:rFonts w:hint="cs"/>
          <w:rtl/>
          <w:lang w:bidi="ar-EG"/>
        </w:rPr>
        <w:t xml:space="preserve"> (</w:t>
      </w:r>
      <w:r w:rsidRPr="00451679">
        <w:rPr>
          <w:rtl/>
          <w:lang w:bidi="ar-EG"/>
        </w:rPr>
        <w:t>مخطط لغة الترميز الموسعة (</w:t>
      </w:r>
      <w:r w:rsidRPr="00451679">
        <w:rPr>
          <w:lang w:bidi="ar-EG"/>
        </w:rPr>
        <w:t>XSD</w:t>
      </w:r>
      <w:r w:rsidRPr="00451679">
        <w:rPr>
          <w:rtl/>
          <w:lang w:bidi="ar-EG"/>
        </w:rPr>
        <w:t>)</w:t>
      </w:r>
      <w:r w:rsidRPr="00451679">
        <w:rPr>
          <w:rFonts w:hint="cs"/>
          <w:rtl/>
          <w:lang w:bidi="ar-EG"/>
        </w:rPr>
        <w:t xml:space="preserve">) </w:t>
      </w:r>
      <w:r w:rsidRPr="00451679">
        <w:rPr>
          <w:rtl/>
          <w:lang w:bidi="ar-EG"/>
        </w:rPr>
        <w:t>والمرفق الرابع</w:t>
      </w:r>
      <w:r w:rsidRPr="00451679">
        <w:rPr>
          <w:rFonts w:hint="cs"/>
          <w:rtl/>
          <w:lang w:bidi="ar-EG"/>
        </w:rPr>
        <w:t xml:space="preserve"> (</w:t>
      </w:r>
      <w:r w:rsidRPr="00451679">
        <w:rPr>
          <w:rtl/>
          <w:lang w:bidi="ar-EG"/>
        </w:rPr>
        <w:t>تعريف نوع البيانات (</w:t>
      </w:r>
      <w:r w:rsidRPr="00451679">
        <w:rPr>
          <w:lang w:bidi="ar-EG"/>
        </w:rPr>
        <w:t>DTD</w:t>
      </w:r>
      <w:r w:rsidRPr="00451679">
        <w:rPr>
          <w:rtl/>
          <w:lang w:bidi="ar-EG"/>
        </w:rPr>
        <w:t>)</w:t>
      </w:r>
      <w:r w:rsidRPr="00451679">
        <w:rPr>
          <w:rFonts w:hint="cs"/>
          <w:rtl/>
          <w:lang w:bidi="ar-EG"/>
        </w:rPr>
        <w:t xml:space="preserve">) </w:t>
      </w:r>
      <w:r w:rsidRPr="00451679">
        <w:rPr>
          <w:rtl/>
          <w:lang w:bidi="ar-EG"/>
        </w:rPr>
        <w:t xml:space="preserve">لمعيار الويبو </w:t>
      </w:r>
      <w:r w:rsidRPr="00451679">
        <w:rPr>
          <w:lang w:bidi="ar-EG"/>
        </w:rPr>
        <w:t>ST.37</w:t>
      </w:r>
      <w:r w:rsidRPr="00451679">
        <w:rPr>
          <w:rFonts w:hint="cs"/>
          <w:rtl/>
          <w:lang w:bidi="ar-EG"/>
        </w:rPr>
        <w:t xml:space="preserve"> (</w:t>
      </w:r>
      <w:r w:rsidRPr="00451679">
        <w:rPr>
          <w:rtl/>
          <w:lang w:bidi="ar-EG"/>
        </w:rPr>
        <w:t>توصية</w:t>
      </w:r>
      <w:r w:rsidRPr="00451679">
        <w:rPr>
          <w:rFonts w:hint="cs"/>
          <w:rtl/>
          <w:lang w:bidi="ar-EG"/>
        </w:rPr>
        <w:t xml:space="preserve"> بشأن </w:t>
      </w:r>
      <w:r w:rsidRPr="00451679">
        <w:rPr>
          <w:rtl/>
          <w:lang w:bidi="ar-EG"/>
        </w:rPr>
        <w:t>ملف الإدارة فيما يخص وثائق البراءات المنشورة</w:t>
      </w:r>
      <w:r w:rsidRPr="00451679">
        <w:rPr>
          <w:rFonts w:hint="cs"/>
          <w:rtl/>
          <w:lang w:bidi="ar-EG"/>
        </w:rPr>
        <w:t>) وعرضهما على لجنة المعايير كي تنظر فيهما</w:t>
      </w:r>
      <w:r w:rsidRPr="00451679">
        <w:rPr>
          <w:rtl/>
          <w:lang w:bidi="ar-EG"/>
        </w:rPr>
        <w:t xml:space="preserve"> </w:t>
      </w:r>
      <w:r w:rsidRPr="00451679">
        <w:rPr>
          <w:rFonts w:hint="cs"/>
          <w:rtl/>
          <w:lang w:bidi="ar-EG"/>
        </w:rPr>
        <w:t xml:space="preserve">في </w:t>
      </w:r>
      <w:r w:rsidRPr="00451679">
        <w:rPr>
          <w:rtl/>
          <w:lang w:bidi="ar-EG"/>
        </w:rPr>
        <w:t>دور</w:t>
      </w:r>
      <w:r w:rsidRPr="00451679">
        <w:rPr>
          <w:rFonts w:hint="cs"/>
          <w:rtl/>
          <w:lang w:bidi="ar-EG"/>
        </w:rPr>
        <w:t>تها</w:t>
      </w:r>
      <w:r w:rsidRPr="00451679">
        <w:rPr>
          <w:rtl/>
          <w:lang w:bidi="ar-EG"/>
        </w:rPr>
        <w:t xml:space="preserve"> السادسة التي ست</w:t>
      </w:r>
      <w:r w:rsidRPr="00451679">
        <w:rPr>
          <w:rFonts w:hint="cs"/>
          <w:rtl/>
          <w:lang w:bidi="ar-EG"/>
        </w:rPr>
        <w:t>ُ</w:t>
      </w:r>
      <w:r w:rsidRPr="00451679">
        <w:rPr>
          <w:rtl/>
          <w:lang w:bidi="ar-EG"/>
        </w:rPr>
        <w:t xml:space="preserve">عقد في </w:t>
      </w:r>
      <w:r w:rsidRPr="00451679">
        <w:rPr>
          <w:rFonts w:hint="cs"/>
          <w:rtl/>
          <w:lang w:bidi="ar-EG"/>
        </w:rPr>
        <w:t>عام</w:t>
      </w:r>
      <w:r w:rsidRPr="00451679">
        <w:rPr>
          <w:rFonts w:hint="eastAsia"/>
          <w:rtl/>
          <w:lang w:bidi="ar-EG"/>
        </w:rPr>
        <w:t> </w:t>
      </w:r>
      <w:r w:rsidRPr="00451679">
        <w:rPr>
          <w:rtl/>
          <w:lang w:bidi="ar-EG"/>
        </w:rPr>
        <w:t>2018."</w:t>
      </w:r>
    </w:p>
    <w:p w:rsidR="00466016" w:rsidRPr="00451679" w:rsidRDefault="009249C5" w:rsidP="00456685">
      <w:pPr>
        <w:pStyle w:val="Heading3"/>
        <w:spacing w:before="0" w:after="120"/>
      </w:pPr>
      <w:r w:rsidRPr="00451679">
        <w:rPr>
          <w:rFonts w:hint="cs"/>
          <w:rtl/>
        </w:rPr>
        <w:t>البند 13 من جدول الأعمال: تقرير عن إعداد معيار جديد للويبو للإدارة الإلكترونية ل</w:t>
      </w:r>
      <w:r w:rsidRPr="00451679">
        <w:rPr>
          <w:rtl/>
        </w:rPr>
        <w:t xml:space="preserve">علامات الحركة </w:t>
      </w:r>
      <w:r w:rsidRPr="00451679">
        <w:rPr>
          <w:rFonts w:hint="cs"/>
          <w:rtl/>
        </w:rPr>
        <w:t xml:space="preserve">وعلامات </w:t>
      </w:r>
      <w:r w:rsidRPr="00451679">
        <w:rPr>
          <w:rtl/>
        </w:rPr>
        <w:t>الوسائط المتعددة</w:t>
      </w:r>
    </w:p>
    <w:p w:rsidR="009C5DCE" w:rsidRPr="00536657" w:rsidRDefault="00737B97" w:rsidP="00737B97">
      <w:pPr>
        <w:pStyle w:val="NumberedParaAR"/>
        <w:numPr>
          <w:ilvl w:val="0"/>
          <w:numId w:val="23"/>
        </w:numPr>
        <w:rPr>
          <w:lang w:val="fr-CH"/>
        </w:rPr>
      </w:pPr>
      <w:r w:rsidRPr="00451679">
        <w:rPr>
          <w:rFonts w:hint="cs"/>
          <w:rtl/>
        </w:rPr>
        <w:t xml:space="preserve">أحاطت لجنة المعايير علما بالتقرير الذي أعده المكتب الدولي عن العمل الذي قامت به </w:t>
      </w:r>
      <w:r w:rsidRPr="00451679">
        <w:rPr>
          <w:rtl/>
          <w:lang w:bidi="ar-EG"/>
        </w:rPr>
        <w:t>فرقة العمل المعنية بتوحيد العلامات التجارية</w:t>
      </w:r>
      <w:r w:rsidRPr="00451679">
        <w:rPr>
          <w:rFonts w:hint="cs"/>
          <w:rtl/>
          <w:lang w:bidi="ar-EG"/>
        </w:rPr>
        <w:t xml:space="preserve"> ونتائج الاستقصاء بشأن ممارسات مكاتب الملكية الصناعية </w:t>
      </w:r>
      <w:r w:rsidRPr="00451679">
        <w:rPr>
          <w:rtl/>
          <w:lang w:bidi="ar-EG"/>
        </w:rPr>
        <w:t xml:space="preserve">المتعلقة بعلامات </w:t>
      </w:r>
      <w:r w:rsidRPr="00451679">
        <w:rPr>
          <w:rFonts w:hint="cs"/>
          <w:rtl/>
          <w:lang w:bidi="ar-EG"/>
        </w:rPr>
        <w:t xml:space="preserve">الحركة </w:t>
      </w:r>
      <w:r w:rsidRPr="00451679">
        <w:rPr>
          <w:rtl/>
          <w:lang w:bidi="ar-EG"/>
        </w:rPr>
        <w:t>و</w:t>
      </w:r>
      <w:r w:rsidRPr="00451679">
        <w:rPr>
          <w:rFonts w:hint="cs"/>
          <w:rtl/>
          <w:lang w:bidi="ar-EG"/>
        </w:rPr>
        <w:t xml:space="preserve">علامات </w:t>
      </w:r>
      <w:r w:rsidRPr="00451679">
        <w:rPr>
          <w:rtl/>
          <w:lang w:bidi="ar-EG"/>
        </w:rPr>
        <w:t>الوسائط المتعددة</w:t>
      </w:r>
      <w:r w:rsidRPr="00451679">
        <w:rPr>
          <w:rFonts w:hint="cs"/>
          <w:rtl/>
          <w:lang w:bidi="ar-EG"/>
        </w:rPr>
        <w:t>، على النحو الوارد في الوثيقة</w:t>
      </w:r>
      <w:r w:rsidRPr="00451679">
        <w:rPr>
          <w:rFonts w:hint="eastAsia"/>
          <w:rtl/>
          <w:lang w:bidi="ar-EG"/>
        </w:rPr>
        <w:t> </w:t>
      </w:r>
      <w:r w:rsidRPr="00536657">
        <w:rPr>
          <w:lang w:val="fr-CH" w:bidi="ar-EG"/>
        </w:rPr>
        <w:t>CWS/5/10</w:t>
      </w:r>
      <w:r w:rsidRPr="00451679">
        <w:rPr>
          <w:rFonts w:hint="cs"/>
          <w:rtl/>
          <w:lang w:bidi="ar-EG"/>
        </w:rPr>
        <w:t xml:space="preserve"> ومرفقها.</w:t>
      </w:r>
    </w:p>
    <w:p w:rsidR="00737B97" w:rsidRPr="00984302" w:rsidRDefault="00737B97" w:rsidP="00AA1FFA">
      <w:pPr>
        <w:pStyle w:val="NumberedParaAR"/>
        <w:numPr>
          <w:ilvl w:val="0"/>
          <w:numId w:val="23"/>
        </w:numPr>
        <w:rPr>
          <w:lang w:val="fr-CH"/>
        </w:rPr>
      </w:pPr>
      <w:r w:rsidRPr="00451679">
        <w:rPr>
          <w:rFonts w:hint="cs"/>
          <w:rtl/>
          <w:lang w:bidi="ar-EG"/>
        </w:rPr>
        <w:t xml:space="preserve">ووافقت لجنة المعايير على إرجاء وضع توصيات بشأن الإدارة الإلكترونية لعلامات الحركة وعلامات الوسائط المتعددة </w:t>
      </w:r>
      <w:r w:rsidR="00AA1FFA" w:rsidRPr="00451679">
        <w:rPr>
          <w:rFonts w:hint="cs"/>
          <w:rtl/>
          <w:lang w:bidi="ar-EG"/>
        </w:rPr>
        <w:t>إلى</w:t>
      </w:r>
      <w:r w:rsidRPr="00451679">
        <w:rPr>
          <w:rFonts w:hint="cs"/>
          <w:rtl/>
          <w:lang w:bidi="ar-EG"/>
        </w:rPr>
        <w:t xml:space="preserve"> سنة 2019 </w:t>
      </w:r>
      <w:r w:rsidRPr="00451679">
        <w:rPr>
          <w:rtl/>
          <w:lang w:bidi="ar-EG"/>
        </w:rPr>
        <w:t>–</w:t>
      </w:r>
      <w:r w:rsidRPr="00451679">
        <w:rPr>
          <w:rFonts w:hint="cs"/>
          <w:rtl/>
          <w:lang w:bidi="ar-EG"/>
        </w:rPr>
        <w:t xml:space="preserve"> وهي </w:t>
      </w:r>
      <w:r w:rsidR="00AA1FFA" w:rsidRPr="00451679">
        <w:rPr>
          <w:rFonts w:hint="cs"/>
          <w:rtl/>
          <w:lang w:bidi="ar-EG"/>
        </w:rPr>
        <w:t>السنة التي يُتوقّع أن تُ</w:t>
      </w:r>
      <w:r w:rsidRPr="00451679">
        <w:rPr>
          <w:rFonts w:hint="cs"/>
          <w:rtl/>
          <w:lang w:bidi="ar-EG"/>
        </w:rPr>
        <w:t xml:space="preserve">نفّذ فيها </w:t>
      </w:r>
      <w:r w:rsidR="00AA1FFA" w:rsidRPr="00451679">
        <w:rPr>
          <w:rFonts w:hint="cs"/>
          <w:rtl/>
          <w:lang w:bidi="ar-EG"/>
        </w:rPr>
        <w:t xml:space="preserve">مكاتب الملكية الصناعية المعنية </w:t>
      </w:r>
      <w:r w:rsidRPr="00451679">
        <w:rPr>
          <w:rFonts w:hint="cs"/>
          <w:rtl/>
          <w:lang w:bidi="ar-EG"/>
        </w:rPr>
        <w:t>ال</w:t>
      </w:r>
      <w:r w:rsidRPr="00451679">
        <w:rPr>
          <w:rtl/>
          <w:lang w:bidi="ar-EG"/>
        </w:rPr>
        <w:t xml:space="preserve">توجيه </w:t>
      </w:r>
      <w:r w:rsidRPr="00451679">
        <w:rPr>
          <w:rFonts w:hint="cs"/>
          <w:rtl/>
          <w:lang w:bidi="ar-EG"/>
        </w:rPr>
        <w:t>رقم</w:t>
      </w:r>
      <w:r w:rsidR="00AA1FFA" w:rsidRPr="00451679">
        <w:rPr>
          <w:rFonts w:hint="eastAsia"/>
          <w:rtl/>
          <w:lang w:bidi="ar-EG"/>
        </w:rPr>
        <w:t> </w:t>
      </w:r>
      <w:r w:rsidRPr="00984302">
        <w:rPr>
          <w:lang w:val="fr-CH" w:bidi="ar-EG"/>
        </w:rPr>
        <w:t>2008/95/EC</w:t>
      </w:r>
      <w:r w:rsidRPr="00451679">
        <w:rPr>
          <w:rtl/>
          <w:lang w:bidi="ar-EG"/>
        </w:rPr>
        <w:t xml:space="preserve"> الصادر عن المفوضية الأوروبية</w:t>
      </w:r>
      <w:r w:rsidR="00AA1FFA" w:rsidRPr="00451679">
        <w:rPr>
          <w:rFonts w:hint="cs"/>
          <w:rtl/>
          <w:lang w:bidi="ar-EG"/>
        </w:rPr>
        <w:t xml:space="preserve"> بتاريخ 22 أكتوبر 2008 </w:t>
      </w:r>
      <w:r w:rsidR="00AA1FFA" w:rsidRPr="00451679">
        <w:rPr>
          <w:rtl/>
          <w:lang w:bidi="ar-EG"/>
        </w:rPr>
        <w:t>–</w:t>
      </w:r>
      <w:r w:rsidR="00AA1FFA" w:rsidRPr="00451679">
        <w:rPr>
          <w:rFonts w:hint="cs"/>
          <w:rtl/>
          <w:lang w:bidi="ar-EG"/>
        </w:rPr>
        <w:t xml:space="preserve"> وتعليق المهمة رقم</w:t>
      </w:r>
      <w:r w:rsidR="00AA1FFA" w:rsidRPr="00451679">
        <w:rPr>
          <w:rFonts w:hint="eastAsia"/>
          <w:rtl/>
          <w:lang w:bidi="ar-EG"/>
        </w:rPr>
        <w:t> </w:t>
      </w:r>
      <w:r w:rsidR="00AA1FFA" w:rsidRPr="00451679">
        <w:rPr>
          <w:rFonts w:hint="cs"/>
          <w:rtl/>
          <w:lang w:bidi="ar-EG"/>
        </w:rPr>
        <w:t>49 حتى ذلك الحين.</w:t>
      </w:r>
    </w:p>
    <w:p w:rsidR="00466016" w:rsidRPr="00536657" w:rsidRDefault="009249C5" w:rsidP="00456685">
      <w:pPr>
        <w:pStyle w:val="Heading3"/>
        <w:spacing w:before="0" w:after="120"/>
        <w:rPr>
          <w:lang w:val="en-US"/>
        </w:rPr>
      </w:pPr>
      <w:r w:rsidRPr="00451679">
        <w:rPr>
          <w:rFonts w:hint="cs"/>
          <w:rtl/>
        </w:rPr>
        <w:t>البند 14 من جدول الأعمال: تقرير فرقة العمل المعنية بالجزء 7 عن المهمة رقم 50</w:t>
      </w:r>
    </w:p>
    <w:p w:rsidR="00AA1FFA" w:rsidRPr="00451679" w:rsidRDefault="00AA1FFA" w:rsidP="00AA1FFA">
      <w:pPr>
        <w:pStyle w:val="NumberedParaAR"/>
        <w:numPr>
          <w:ilvl w:val="0"/>
          <w:numId w:val="23"/>
        </w:numPr>
      </w:pPr>
      <w:r w:rsidRPr="00451679">
        <w:rPr>
          <w:rFonts w:hint="cs"/>
          <w:rtl/>
        </w:rPr>
        <w:t xml:space="preserve">استندت المناقشات إلى الوثيقة </w:t>
      </w:r>
      <w:r w:rsidRPr="00451679">
        <w:t>CWS/5/11</w:t>
      </w:r>
      <w:r w:rsidRPr="00451679">
        <w:rPr>
          <w:rFonts w:hint="cs"/>
          <w:rtl/>
        </w:rPr>
        <w:t>.</w:t>
      </w:r>
    </w:p>
    <w:p w:rsidR="00AA1FFA" w:rsidRPr="00451679" w:rsidRDefault="00F008DB" w:rsidP="00F008DB">
      <w:pPr>
        <w:pStyle w:val="NumberedParaAR"/>
        <w:numPr>
          <w:ilvl w:val="0"/>
          <w:numId w:val="23"/>
        </w:numPr>
      </w:pPr>
      <w:r w:rsidRPr="00451679">
        <w:rPr>
          <w:rFonts w:hint="cs"/>
          <w:rtl/>
        </w:rPr>
        <w:t xml:space="preserve">وأحاطت لجنة المعايير علما بالتقرير المرحلي وخطة العمل المؤقتة </w:t>
      </w:r>
      <w:r w:rsidRPr="00451679">
        <w:rPr>
          <w:rtl/>
          <w:lang w:bidi="ar-EG"/>
        </w:rPr>
        <w:t xml:space="preserve">لحفظ وتحديث </w:t>
      </w:r>
      <w:r w:rsidRPr="00451679">
        <w:rPr>
          <w:rFonts w:hint="cs"/>
          <w:rtl/>
          <w:lang w:bidi="ar-EG"/>
        </w:rPr>
        <w:t>ا</w:t>
      </w:r>
      <w:r w:rsidRPr="00451679">
        <w:rPr>
          <w:rtl/>
          <w:lang w:bidi="ar-EG"/>
        </w:rPr>
        <w:t>لدراسات الاستقصائية المنشورة في الجزء</w:t>
      </w:r>
      <w:r w:rsidRPr="00451679">
        <w:rPr>
          <w:rFonts w:hint="cs"/>
          <w:rtl/>
          <w:lang w:bidi="ar-EG"/>
        </w:rPr>
        <w:t> </w:t>
      </w:r>
      <w:r w:rsidRPr="00451679">
        <w:rPr>
          <w:rtl/>
          <w:lang w:bidi="ar-EG"/>
        </w:rPr>
        <w:t xml:space="preserve">7 </w:t>
      </w:r>
      <w:r w:rsidRPr="00451679">
        <w:rPr>
          <w:rFonts w:hint="cs"/>
          <w:rtl/>
        </w:rPr>
        <w:t>من دليل الويبو، لا</w:t>
      </w:r>
      <w:r w:rsidRPr="00451679">
        <w:rPr>
          <w:rFonts w:hint="eastAsia"/>
          <w:rtl/>
        </w:rPr>
        <w:t> </w:t>
      </w:r>
      <w:r w:rsidRPr="00451679">
        <w:rPr>
          <w:rFonts w:hint="cs"/>
          <w:rtl/>
        </w:rPr>
        <w:t>سيما الإجراءات التي يتعيّن اتخاذها عقب الدورة الخامسة للجنة المعايير، على النحو المشار إليه في المرفق الثاني من الوثيقة</w:t>
      </w:r>
      <w:r w:rsidRPr="00451679">
        <w:rPr>
          <w:rFonts w:hint="eastAsia"/>
          <w:rtl/>
        </w:rPr>
        <w:t> </w:t>
      </w:r>
      <w:r w:rsidRPr="00451679">
        <w:t>CWS/5/11</w:t>
      </w:r>
      <w:r w:rsidRPr="00451679">
        <w:rPr>
          <w:rFonts w:hint="cs"/>
          <w:rtl/>
        </w:rPr>
        <w:t>.</w:t>
      </w:r>
    </w:p>
    <w:p w:rsidR="00F008DB" w:rsidRPr="00451679" w:rsidRDefault="00F008DB" w:rsidP="00F008DB">
      <w:pPr>
        <w:pStyle w:val="NumberedParaAR"/>
        <w:numPr>
          <w:ilvl w:val="0"/>
          <w:numId w:val="23"/>
        </w:numPr>
      </w:pPr>
      <w:r w:rsidRPr="00451679">
        <w:rPr>
          <w:rFonts w:hint="cs"/>
          <w:rtl/>
        </w:rPr>
        <w:t>ووافقت لجنة المعايير على</w:t>
      </w:r>
      <w:r w:rsidRPr="00451679">
        <w:rPr>
          <w:rtl/>
        </w:rPr>
        <w:t xml:space="preserve"> النهج </w:t>
      </w:r>
      <w:r w:rsidRPr="00451679">
        <w:rPr>
          <w:rFonts w:hint="cs"/>
          <w:rtl/>
        </w:rPr>
        <w:t xml:space="preserve">التالي </w:t>
      </w:r>
      <w:r w:rsidRPr="00451679">
        <w:rPr>
          <w:rtl/>
        </w:rPr>
        <w:t>الخاص بنشر الدراسات الاستقصائية الجديدة والمحدثة في الجزء</w:t>
      </w:r>
      <w:r w:rsidRPr="00451679">
        <w:rPr>
          <w:rFonts w:hint="cs"/>
          <w:rtl/>
        </w:rPr>
        <w:t> </w:t>
      </w:r>
      <w:r w:rsidRPr="00451679">
        <w:rPr>
          <w:rtl/>
        </w:rPr>
        <w:t>7 من دليل الويبو</w:t>
      </w:r>
      <w:r w:rsidRPr="00451679">
        <w:rPr>
          <w:rFonts w:hint="cs"/>
          <w:rtl/>
        </w:rPr>
        <w:t>:</w:t>
      </w:r>
    </w:p>
    <w:p w:rsidR="00F008DB" w:rsidRPr="00451679" w:rsidRDefault="00F008DB" w:rsidP="00F008DB">
      <w:pPr>
        <w:pStyle w:val="NormalParaAR"/>
        <w:ind w:left="566"/>
        <w:rPr>
          <w:rtl/>
          <w:lang w:bidi="ar-EG"/>
        </w:rPr>
      </w:pPr>
      <w:r w:rsidRPr="00451679">
        <w:rPr>
          <w:rFonts w:hint="cs"/>
          <w:rtl/>
        </w:rPr>
        <w:t>(أ)</w:t>
      </w:r>
      <w:r w:rsidRPr="00451679">
        <w:rPr>
          <w:rtl/>
        </w:rPr>
        <w:tab/>
      </w:r>
      <w:r w:rsidRPr="00451679">
        <w:rPr>
          <w:rFonts w:hint="cs"/>
          <w:rtl/>
          <w:lang w:bidi="ar-EG"/>
        </w:rPr>
        <w:t>بالنسبة إلى التحديث (المنتظم</w:t>
      </w:r>
      <w:r w:rsidRPr="00451679">
        <w:rPr>
          <w:rtl/>
          <w:lang w:bidi="ar-EG"/>
        </w:rPr>
        <w:t>) ل</w:t>
      </w:r>
      <w:r w:rsidRPr="00451679">
        <w:rPr>
          <w:rFonts w:hint="cs"/>
          <w:rtl/>
          <w:lang w:bidi="ar-EG"/>
        </w:rPr>
        <w:t>دراسة استقصائية ت</w:t>
      </w:r>
      <w:r w:rsidRPr="00451679">
        <w:rPr>
          <w:rtl/>
          <w:lang w:bidi="ar-EG"/>
        </w:rPr>
        <w:t>ستند إلى الاستبيان الذي وافقت عليه لجنة</w:t>
      </w:r>
      <w:r w:rsidRPr="00451679">
        <w:rPr>
          <w:rFonts w:hint="cs"/>
          <w:rtl/>
          <w:lang w:bidi="ar-EG"/>
        </w:rPr>
        <w:t xml:space="preserve"> المعايير</w:t>
      </w:r>
      <w:r w:rsidRPr="00451679">
        <w:rPr>
          <w:rtl/>
          <w:lang w:bidi="ar-EG"/>
        </w:rPr>
        <w:t xml:space="preserve">، الموجود بالفعل في دليل الويبو، ينبغي للمكتب الدولي أن ينشر الدراسة الاستقصائية المحدثة وأن يبلغ لجنة </w:t>
      </w:r>
      <w:r w:rsidRPr="00451679">
        <w:rPr>
          <w:rFonts w:hint="cs"/>
          <w:rtl/>
          <w:lang w:bidi="ar-EG"/>
        </w:rPr>
        <w:t xml:space="preserve">المعايير </w:t>
      </w:r>
      <w:r w:rsidRPr="00451679">
        <w:rPr>
          <w:rtl/>
          <w:lang w:bidi="ar-EG"/>
        </w:rPr>
        <w:t>في الدورة التالية للنشر.</w:t>
      </w:r>
    </w:p>
    <w:p w:rsidR="003635B8" w:rsidRPr="00451679" w:rsidRDefault="003635B8" w:rsidP="003635B8">
      <w:pPr>
        <w:pStyle w:val="NormalParaAR"/>
        <w:ind w:left="566"/>
        <w:rPr>
          <w:rtl/>
          <w:lang w:bidi="ar-EG"/>
        </w:rPr>
      </w:pPr>
      <w:r w:rsidRPr="00451679">
        <w:rPr>
          <w:rFonts w:hint="cs"/>
          <w:rtl/>
          <w:lang w:bidi="ar-EG"/>
        </w:rPr>
        <w:t>(ب)</w:t>
      </w:r>
      <w:r w:rsidRPr="00451679">
        <w:rPr>
          <w:rtl/>
          <w:lang w:bidi="ar-EG"/>
        </w:rPr>
        <w:tab/>
      </w:r>
      <w:r w:rsidRPr="00451679">
        <w:rPr>
          <w:rFonts w:hint="cs"/>
          <w:rtl/>
          <w:lang w:bidi="ar-EG"/>
        </w:rPr>
        <w:t>و</w:t>
      </w:r>
      <w:r w:rsidRPr="00451679">
        <w:rPr>
          <w:rtl/>
          <w:lang w:bidi="ar-EG"/>
        </w:rPr>
        <w:t>بالنسبة</w:t>
      </w:r>
      <w:r w:rsidRPr="00451679">
        <w:rPr>
          <w:rFonts w:hint="cs"/>
          <w:rtl/>
          <w:lang w:bidi="ar-EG"/>
        </w:rPr>
        <w:t xml:space="preserve"> إلى الدراسات الاستقصائية</w:t>
      </w:r>
      <w:r w:rsidRPr="00451679">
        <w:rPr>
          <w:rtl/>
          <w:lang w:bidi="ar-EG"/>
        </w:rPr>
        <w:t xml:space="preserve"> الجديدة، ينبغي أن </w:t>
      </w:r>
      <w:r w:rsidRPr="00451679">
        <w:rPr>
          <w:rFonts w:hint="cs"/>
          <w:rtl/>
          <w:lang w:bidi="ar-EG"/>
        </w:rPr>
        <w:t xml:space="preserve">يكون نشرها </w:t>
      </w:r>
      <w:r w:rsidRPr="00451679">
        <w:rPr>
          <w:rtl/>
          <w:lang w:bidi="ar-EG"/>
        </w:rPr>
        <w:t>في الجزء</w:t>
      </w:r>
      <w:r w:rsidRPr="00451679">
        <w:rPr>
          <w:rFonts w:hint="cs"/>
          <w:rtl/>
          <w:lang w:bidi="ar-EG"/>
        </w:rPr>
        <w:t> </w:t>
      </w:r>
      <w:r w:rsidRPr="00451679">
        <w:rPr>
          <w:rtl/>
          <w:lang w:bidi="ar-EG"/>
        </w:rPr>
        <w:t>7 من دليل الويبو</w:t>
      </w:r>
      <w:r w:rsidRPr="00451679">
        <w:rPr>
          <w:rFonts w:hint="cs"/>
          <w:rtl/>
          <w:lang w:bidi="ar-EG"/>
        </w:rPr>
        <w:t xml:space="preserve"> بموافقة لجنة المعايير</w:t>
      </w:r>
      <w:r w:rsidRPr="00451679">
        <w:rPr>
          <w:rtl/>
          <w:lang w:bidi="ar-EG"/>
        </w:rPr>
        <w:t>.</w:t>
      </w:r>
    </w:p>
    <w:p w:rsidR="003635B8" w:rsidRPr="00451679" w:rsidRDefault="003635B8" w:rsidP="003635B8">
      <w:pPr>
        <w:pStyle w:val="NormalParaAR"/>
        <w:ind w:left="566"/>
      </w:pPr>
      <w:r w:rsidRPr="00451679">
        <w:rPr>
          <w:rFonts w:hint="cs"/>
          <w:rtl/>
          <w:lang w:bidi="ar-EG"/>
        </w:rPr>
        <w:t>(ج)</w:t>
      </w:r>
      <w:r w:rsidRPr="00451679">
        <w:rPr>
          <w:rtl/>
          <w:lang w:bidi="ar-EG"/>
        </w:rPr>
        <w:tab/>
        <w:t>و</w:t>
      </w:r>
      <w:r w:rsidRPr="00451679">
        <w:rPr>
          <w:rFonts w:hint="cs"/>
          <w:rtl/>
          <w:lang w:bidi="ar-EG"/>
        </w:rPr>
        <w:t>بالنسبة إلى الدراسة الاستقصائية التي تُحدَّث</w:t>
      </w:r>
      <w:r w:rsidRPr="00451679">
        <w:rPr>
          <w:rtl/>
          <w:lang w:bidi="ar-EG"/>
        </w:rPr>
        <w:t xml:space="preserve"> </w:t>
      </w:r>
      <w:r w:rsidRPr="00451679">
        <w:rPr>
          <w:rFonts w:hint="cs"/>
          <w:rtl/>
          <w:lang w:bidi="ar-EG"/>
        </w:rPr>
        <w:t xml:space="preserve">بناءً على </w:t>
      </w:r>
      <w:r w:rsidRPr="00451679">
        <w:rPr>
          <w:rtl/>
          <w:lang w:bidi="ar-EG"/>
        </w:rPr>
        <w:t>استبيان م</w:t>
      </w:r>
      <w:r w:rsidRPr="00451679">
        <w:rPr>
          <w:rFonts w:hint="cs"/>
          <w:rtl/>
          <w:lang w:bidi="ar-EG"/>
        </w:rPr>
        <w:t>ُ</w:t>
      </w:r>
      <w:r w:rsidRPr="00451679">
        <w:rPr>
          <w:rtl/>
          <w:lang w:bidi="ar-EG"/>
        </w:rPr>
        <w:t>نق</w:t>
      </w:r>
      <w:r w:rsidRPr="00451679">
        <w:rPr>
          <w:rFonts w:hint="cs"/>
          <w:rtl/>
          <w:lang w:bidi="ar-EG"/>
        </w:rPr>
        <w:t>َّ</w:t>
      </w:r>
      <w:r w:rsidRPr="00451679">
        <w:rPr>
          <w:rtl/>
          <w:lang w:bidi="ar-EG"/>
        </w:rPr>
        <w:t>ح (</w:t>
      </w:r>
      <w:r w:rsidRPr="00451679">
        <w:rPr>
          <w:rFonts w:hint="cs"/>
          <w:rtl/>
          <w:lang w:bidi="ar-EG"/>
        </w:rPr>
        <w:t xml:space="preserve">دراسة </w:t>
      </w:r>
      <w:r w:rsidRPr="00451679">
        <w:rPr>
          <w:rtl/>
          <w:lang w:bidi="ar-EG"/>
        </w:rPr>
        <w:t>استقصا</w:t>
      </w:r>
      <w:r w:rsidRPr="00451679">
        <w:rPr>
          <w:rFonts w:hint="cs"/>
          <w:rtl/>
          <w:lang w:bidi="ar-EG"/>
        </w:rPr>
        <w:t>ئية</w:t>
      </w:r>
      <w:r w:rsidRPr="00451679">
        <w:rPr>
          <w:rtl/>
          <w:lang w:bidi="ar-EG"/>
        </w:rPr>
        <w:t xml:space="preserve"> جديد</w:t>
      </w:r>
      <w:r w:rsidRPr="00451679">
        <w:rPr>
          <w:rFonts w:hint="cs"/>
          <w:rtl/>
          <w:lang w:bidi="ar-EG"/>
        </w:rPr>
        <w:t>ة فعلياً</w:t>
      </w:r>
      <w:r w:rsidRPr="00451679">
        <w:rPr>
          <w:rtl/>
          <w:lang w:bidi="ar-EG"/>
        </w:rPr>
        <w:t xml:space="preserve">)، ينبغي </w:t>
      </w:r>
      <w:r w:rsidRPr="00451679">
        <w:rPr>
          <w:rFonts w:hint="cs"/>
          <w:rtl/>
          <w:lang w:bidi="ar-EG"/>
        </w:rPr>
        <w:t xml:space="preserve">أن يكون نشر الدراسة </w:t>
      </w:r>
      <w:r w:rsidRPr="00451679">
        <w:rPr>
          <w:rtl/>
          <w:lang w:bidi="ar-EG"/>
        </w:rPr>
        <w:t>الاستقصائية المحدثة في الجزء</w:t>
      </w:r>
      <w:r w:rsidRPr="00451679">
        <w:rPr>
          <w:rFonts w:hint="cs"/>
          <w:rtl/>
          <w:lang w:bidi="ar-EG"/>
        </w:rPr>
        <w:t> </w:t>
      </w:r>
      <w:r w:rsidRPr="00451679">
        <w:rPr>
          <w:rtl/>
          <w:lang w:bidi="ar-EG"/>
        </w:rPr>
        <w:t>7 من دليل الويبو</w:t>
      </w:r>
      <w:r w:rsidRPr="00451679">
        <w:rPr>
          <w:rFonts w:hint="cs"/>
          <w:rtl/>
          <w:lang w:bidi="ar-EG"/>
        </w:rPr>
        <w:t xml:space="preserve"> بموافقة لجنة المعايير</w:t>
      </w:r>
      <w:r w:rsidRPr="00451679">
        <w:rPr>
          <w:rtl/>
          <w:lang w:bidi="ar-EG"/>
        </w:rPr>
        <w:t>.</w:t>
      </w:r>
    </w:p>
    <w:p w:rsidR="00F008DB" w:rsidRPr="00451679" w:rsidRDefault="003635B8" w:rsidP="003635B8">
      <w:pPr>
        <w:pStyle w:val="NumberedParaAR"/>
        <w:numPr>
          <w:ilvl w:val="0"/>
          <w:numId w:val="23"/>
        </w:numPr>
      </w:pPr>
      <w:r w:rsidRPr="00451679">
        <w:rPr>
          <w:rFonts w:hint="cs"/>
          <w:rtl/>
        </w:rPr>
        <w:t xml:space="preserve">والتمست لجنة المعايير من </w:t>
      </w:r>
      <w:r w:rsidRPr="00451679">
        <w:rPr>
          <w:rtl/>
        </w:rPr>
        <w:t>فرقة العمل المعنية بالجزء</w:t>
      </w:r>
      <w:r w:rsidRPr="00451679">
        <w:rPr>
          <w:rFonts w:hint="cs"/>
          <w:rtl/>
        </w:rPr>
        <w:t> </w:t>
      </w:r>
      <w:r w:rsidRPr="00451679">
        <w:rPr>
          <w:rtl/>
        </w:rPr>
        <w:t xml:space="preserve">7 أن تعد استبياناً </w:t>
      </w:r>
      <w:r w:rsidRPr="00451679">
        <w:rPr>
          <w:rFonts w:hint="cs"/>
          <w:rtl/>
        </w:rPr>
        <w:t xml:space="preserve">مقترحاً </w:t>
      </w:r>
      <w:r w:rsidRPr="00451679">
        <w:rPr>
          <w:rtl/>
        </w:rPr>
        <w:t xml:space="preserve">بشأن ترقيم الوثائق المنشورة والحقوق المسجلة </w:t>
      </w:r>
      <w:r w:rsidRPr="00451679">
        <w:rPr>
          <w:rFonts w:hint="cs"/>
          <w:rtl/>
        </w:rPr>
        <w:t xml:space="preserve">(الممارسات الحالية والسابقة) </w:t>
      </w:r>
      <w:r w:rsidRPr="00451679">
        <w:rPr>
          <w:rtl/>
        </w:rPr>
        <w:t xml:space="preserve">وأن تعرض الاقتراح على </w:t>
      </w:r>
      <w:r w:rsidRPr="00451679">
        <w:rPr>
          <w:rFonts w:hint="cs"/>
          <w:rtl/>
        </w:rPr>
        <w:t>لجنة المعايير في دروتها السادسة.</w:t>
      </w:r>
    </w:p>
    <w:p w:rsidR="003635B8" w:rsidRPr="00451679" w:rsidRDefault="009C46F5" w:rsidP="003635B8">
      <w:pPr>
        <w:pStyle w:val="NumberedParaAR"/>
        <w:numPr>
          <w:ilvl w:val="0"/>
          <w:numId w:val="23"/>
        </w:numPr>
      </w:pPr>
      <w:r w:rsidRPr="00451679">
        <w:rPr>
          <w:rFonts w:hint="cs"/>
          <w:rtl/>
        </w:rPr>
        <w:t>والتمست لجنة المعايير من المكتب الدولي ما يلي:</w:t>
      </w:r>
    </w:p>
    <w:p w:rsidR="009C46F5" w:rsidRPr="00451679" w:rsidRDefault="009C46F5" w:rsidP="009C46F5">
      <w:pPr>
        <w:pStyle w:val="NormalParaAR"/>
        <w:ind w:left="566"/>
        <w:rPr>
          <w:rtl/>
        </w:rPr>
      </w:pPr>
      <w:r w:rsidRPr="00451679">
        <w:rPr>
          <w:rFonts w:hint="cs"/>
          <w:rtl/>
        </w:rPr>
        <w:t>(أ)</w:t>
      </w:r>
      <w:r w:rsidRPr="00451679">
        <w:rPr>
          <w:rtl/>
        </w:rPr>
        <w:tab/>
      </w:r>
      <w:r w:rsidRPr="00451679">
        <w:rPr>
          <w:rFonts w:hint="cs"/>
          <w:rtl/>
        </w:rPr>
        <w:t xml:space="preserve">دعوة </w:t>
      </w:r>
      <w:r w:rsidRPr="00451679">
        <w:rPr>
          <w:rtl/>
        </w:rPr>
        <w:t>مكاتب الملكية الصناعية إلى تحديث مشاركاتها في الجزء 4.2.7 "دراسة استقصائية بشأن عرض أرقام طلبات الأولوية"، ثم إعداد ونشر الجزء 4.2.7 المحدث من دليل الويبو؛</w:t>
      </w:r>
    </w:p>
    <w:p w:rsidR="009C46F5" w:rsidRPr="00451679" w:rsidRDefault="009C46F5" w:rsidP="009C46F5">
      <w:pPr>
        <w:pStyle w:val="NormalParaAR"/>
        <w:ind w:left="566"/>
      </w:pPr>
      <w:r w:rsidRPr="00451679">
        <w:rPr>
          <w:rFonts w:hint="cs"/>
          <w:rtl/>
        </w:rPr>
        <w:t>(ب)</w:t>
      </w:r>
      <w:r w:rsidRPr="00451679">
        <w:rPr>
          <w:rtl/>
        </w:rPr>
        <w:tab/>
        <w:t>والالتماس من المكتب الدولي نقل الجزء 1.2.7 إلى المحفوظات والاستعاضة عن الإشارة الواردة في المعيار</w:t>
      </w:r>
      <w:r w:rsidRPr="00451679">
        <w:rPr>
          <w:rFonts w:hint="cs"/>
          <w:rtl/>
        </w:rPr>
        <w:t> </w:t>
      </w:r>
      <w:r w:rsidRPr="00451679">
        <w:t>ST.10/C</w:t>
      </w:r>
      <w:r w:rsidRPr="00451679">
        <w:rPr>
          <w:rtl/>
        </w:rPr>
        <w:t xml:space="preserve"> بالجزء </w:t>
      </w:r>
      <w:r w:rsidRPr="00451679">
        <w:rPr>
          <w:rFonts w:hint="cs"/>
          <w:rtl/>
        </w:rPr>
        <w:t>6</w:t>
      </w:r>
      <w:r w:rsidRPr="00451679">
        <w:rPr>
          <w:rtl/>
        </w:rPr>
        <w:t>.2.7 (تغيير في الصياغة)</w:t>
      </w:r>
      <w:r w:rsidRPr="00451679">
        <w:rPr>
          <w:rFonts w:hint="cs"/>
          <w:rtl/>
        </w:rPr>
        <w:t xml:space="preserve"> وإدراج الرابط إلى الجزء المنقول إلى المحفوظات 1.2.7 في الجزء</w:t>
      </w:r>
      <w:r w:rsidRPr="00451679">
        <w:rPr>
          <w:rFonts w:hint="eastAsia"/>
          <w:rtl/>
        </w:rPr>
        <w:t> </w:t>
      </w:r>
      <w:r w:rsidRPr="00451679">
        <w:rPr>
          <w:rFonts w:hint="cs"/>
          <w:rtl/>
        </w:rPr>
        <w:t>6.2.7.</w:t>
      </w:r>
    </w:p>
    <w:p w:rsidR="00466016" w:rsidRPr="00536657" w:rsidRDefault="00466016" w:rsidP="00456685">
      <w:pPr>
        <w:pStyle w:val="Heading3"/>
        <w:spacing w:before="0" w:after="120"/>
        <w:rPr>
          <w:lang w:val="en-US"/>
        </w:rPr>
      </w:pPr>
      <w:r w:rsidRPr="00451679">
        <w:rPr>
          <w:rFonts w:hint="cs"/>
          <w:rtl/>
        </w:rPr>
        <w:t>البند 15</w:t>
      </w:r>
      <w:r w:rsidR="009249C5" w:rsidRPr="00451679">
        <w:rPr>
          <w:rFonts w:hint="cs"/>
          <w:rtl/>
        </w:rPr>
        <w:t xml:space="preserve"> من جدول الأعمال: تقرير عن ال</w:t>
      </w:r>
      <w:r w:rsidR="009249C5" w:rsidRPr="00451679">
        <w:rPr>
          <w:rtl/>
        </w:rPr>
        <w:t xml:space="preserve">دراسة </w:t>
      </w:r>
      <w:r w:rsidR="009249C5" w:rsidRPr="00451679">
        <w:rPr>
          <w:rFonts w:hint="cs"/>
          <w:rtl/>
        </w:rPr>
        <w:t>ال</w:t>
      </w:r>
      <w:r w:rsidR="009249C5" w:rsidRPr="00451679">
        <w:rPr>
          <w:rtl/>
        </w:rPr>
        <w:t xml:space="preserve">استقصائية بشأن </w:t>
      </w:r>
      <w:r w:rsidR="009249C5" w:rsidRPr="00451679">
        <w:rPr>
          <w:rFonts w:hint="cs"/>
          <w:rtl/>
        </w:rPr>
        <w:t xml:space="preserve">أنظمة ترقيم </w:t>
      </w:r>
      <w:r w:rsidR="009249C5" w:rsidRPr="00451679">
        <w:rPr>
          <w:rtl/>
        </w:rPr>
        <w:t xml:space="preserve">الطلبات وطلبات الأولوية التي </w:t>
      </w:r>
      <w:r w:rsidR="009249C5" w:rsidRPr="00451679">
        <w:rPr>
          <w:rFonts w:hint="cs"/>
          <w:rtl/>
        </w:rPr>
        <w:t>كانت تستخدمها</w:t>
      </w:r>
      <w:r w:rsidR="009249C5" w:rsidRPr="00451679">
        <w:rPr>
          <w:rtl/>
        </w:rPr>
        <w:t xml:space="preserve"> مكاتب الملكية الصناعية</w:t>
      </w:r>
      <w:r w:rsidR="009249C5" w:rsidRPr="00451679">
        <w:rPr>
          <w:rFonts w:hint="cs"/>
          <w:rtl/>
        </w:rPr>
        <w:t xml:space="preserve"> في الماضي</w:t>
      </w:r>
    </w:p>
    <w:p w:rsidR="009C46F5" w:rsidRPr="00451679" w:rsidRDefault="0078748E" w:rsidP="0078748E">
      <w:pPr>
        <w:pStyle w:val="NumberedParaAR"/>
        <w:numPr>
          <w:ilvl w:val="0"/>
          <w:numId w:val="23"/>
        </w:numPr>
      </w:pPr>
      <w:r w:rsidRPr="00451679">
        <w:rPr>
          <w:rFonts w:hint="cs"/>
          <w:rtl/>
        </w:rPr>
        <w:t>أحاطت لجنة المعايير علما بأن المكتب الدولي حدّث الجزء 6.2.7 من دليل الويبو في مارس 2017.</w:t>
      </w:r>
    </w:p>
    <w:p w:rsidR="0078748E" w:rsidRPr="00451679" w:rsidRDefault="0078748E" w:rsidP="0078748E">
      <w:pPr>
        <w:pStyle w:val="NumberedParaAR"/>
        <w:numPr>
          <w:ilvl w:val="0"/>
          <w:numId w:val="23"/>
        </w:numPr>
      </w:pPr>
      <w:r w:rsidRPr="00451679">
        <w:rPr>
          <w:rFonts w:hint="cs"/>
          <w:rtl/>
        </w:rPr>
        <w:t xml:space="preserve">وأحاطت لجنة المعايير علما كذلك بنتائج </w:t>
      </w:r>
      <w:r w:rsidRPr="00451679">
        <w:rPr>
          <w:rtl/>
          <w:lang w:bidi="ar-EG"/>
        </w:rPr>
        <w:t xml:space="preserve">الدراسة الاستقصائية </w:t>
      </w:r>
      <w:r w:rsidRPr="00451679">
        <w:rPr>
          <w:rFonts w:hint="cs"/>
          <w:rtl/>
          <w:lang w:bidi="ar-EG"/>
        </w:rPr>
        <w:t xml:space="preserve">بشأن </w:t>
      </w:r>
      <w:r w:rsidRPr="00451679">
        <w:rPr>
          <w:rtl/>
          <w:lang w:bidi="ar-EG"/>
        </w:rPr>
        <w:t>الممارسات السابقة ل</w:t>
      </w:r>
      <w:r w:rsidRPr="00451679">
        <w:rPr>
          <w:rFonts w:hint="cs"/>
          <w:rtl/>
          <w:lang w:bidi="ar-EG"/>
        </w:rPr>
        <w:t>ترقيم الطلبات و</w:t>
      </w:r>
      <w:r w:rsidRPr="00451679">
        <w:rPr>
          <w:rtl/>
          <w:lang w:bidi="ar-EG"/>
        </w:rPr>
        <w:t>طلبات الأولوية</w:t>
      </w:r>
      <w:r w:rsidRPr="00451679">
        <w:rPr>
          <w:rFonts w:hint="cs"/>
          <w:rtl/>
          <w:lang w:bidi="ar-EG"/>
        </w:rPr>
        <w:t xml:space="preserve">، على النحو الوارد في مرفق الوثيقة </w:t>
      </w:r>
      <w:r w:rsidRPr="00451679">
        <w:rPr>
          <w:lang w:bidi="ar-EG"/>
        </w:rPr>
        <w:t>CWS/5/12</w:t>
      </w:r>
      <w:r w:rsidRPr="00451679">
        <w:rPr>
          <w:rFonts w:hint="cs"/>
          <w:rtl/>
          <w:lang w:bidi="ar-EG"/>
        </w:rPr>
        <w:t xml:space="preserve">، ووافقت على </w:t>
      </w:r>
      <w:r w:rsidRPr="00451679">
        <w:rPr>
          <w:rtl/>
          <w:lang w:bidi="ar-EG"/>
        </w:rPr>
        <w:t>نشرها بوصفها جزءا</w:t>
      </w:r>
      <w:r w:rsidRPr="00451679">
        <w:rPr>
          <w:rFonts w:hint="cs"/>
          <w:rtl/>
          <w:lang w:bidi="ar-EG"/>
        </w:rPr>
        <w:t>ً</w:t>
      </w:r>
      <w:r w:rsidRPr="00451679">
        <w:rPr>
          <w:rtl/>
          <w:lang w:bidi="ar-EG"/>
        </w:rPr>
        <w:t xml:space="preserve"> جديدا</w:t>
      </w:r>
      <w:r w:rsidRPr="00451679">
        <w:rPr>
          <w:rFonts w:hint="cs"/>
          <w:rtl/>
          <w:lang w:bidi="ar-EG"/>
        </w:rPr>
        <w:t>ً</w:t>
      </w:r>
      <w:r w:rsidRPr="00451679">
        <w:rPr>
          <w:rtl/>
          <w:lang w:bidi="ar-EG"/>
        </w:rPr>
        <w:t xml:space="preserve"> </w:t>
      </w:r>
      <w:r w:rsidRPr="00451679">
        <w:rPr>
          <w:rFonts w:hint="cs"/>
          <w:rtl/>
          <w:lang w:bidi="ar-EG"/>
        </w:rPr>
        <w:t xml:space="preserve">برقم </w:t>
      </w:r>
      <w:r w:rsidRPr="00451679">
        <w:rPr>
          <w:rtl/>
          <w:lang w:bidi="ar-EG"/>
        </w:rPr>
        <w:t xml:space="preserve">7.2.7 </w:t>
      </w:r>
      <w:r w:rsidRPr="00451679">
        <w:rPr>
          <w:rFonts w:hint="cs"/>
          <w:rtl/>
          <w:lang w:bidi="ar-EG"/>
        </w:rPr>
        <w:t>في</w:t>
      </w:r>
      <w:r w:rsidRPr="00451679">
        <w:rPr>
          <w:rtl/>
          <w:lang w:bidi="ar-EG"/>
        </w:rPr>
        <w:t xml:space="preserve"> دليل الويبو</w:t>
      </w:r>
      <w:r w:rsidRPr="00451679">
        <w:rPr>
          <w:rFonts w:hint="cs"/>
          <w:rtl/>
          <w:lang w:bidi="ar-EG"/>
        </w:rPr>
        <w:t>. وأشار وفد الولايات المتحدة الأمريكية إلى أن المعلومات الخاصة بالممارسات التي كان يتبعها مكتب الولايات المتحدة الأمريكية للبراءات والعلامات التجارية فيما يخص ترقيم الطلبات قد قُدمت إلى الأمانة قبل انعقاد الدورة والتمس إدراجها في الجزء</w:t>
      </w:r>
      <w:r w:rsidRPr="00451679">
        <w:rPr>
          <w:rFonts w:hint="eastAsia"/>
          <w:rtl/>
          <w:lang w:bidi="ar-EG"/>
        </w:rPr>
        <w:t> </w:t>
      </w:r>
      <w:r w:rsidRPr="00451679">
        <w:rPr>
          <w:rFonts w:hint="cs"/>
          <w:rtl/>
          <w:lang w:bidi="ar-EG"/>
        </w:rPr>
        <w:t>7.2.7.</w:t>
      </w:r>
    </w:p>
    <w:p w:rsidR="0078748E" w:rsidRPr="00451679" w:rsidRDefault="0078748E" w:rsidP="00472059">
      <w:pPr>
        <w:pStyle w:val="NumberedParaAR"/>
        <w:numPr>
          <w:ilvl w:val="0"/>
          <w:numId w:val="23"/>
        </w:numPr>
      </w:pPr>
      <w:r w:rsidRPr="00451679">
        <w:rPr>
          <w:rFonts w:hint="cs"/>
          <w:rtl/>
          <w:lang w:bidi="ar-EG"/>
        </w:rPr>
        <w:t xml:space="preserve">ووافقت لجنة المعايير </w:t>
      </w:r>
      <w:r w:rsidR="00472059" w:rsidRPr="00451679">
        <w:rPr>
          <w:rFonts w:hint="cs"/>
          <w:rtl/>
          <w:lang w:bidi="ar-EG"/>
        </w:rPr>
        <w:t xml:space="preserve">على </w:t>
      </w:r>
      <w:r w:rsidR="00472059" w:rsidRPr="00451679">
        <w:rPr>
          <w:rtl/>
          <w:lang w:bidi="ar-EG"/>
        </w:rPr>
        <w:t>اعتبار المهمة رقم</w:t>
      </w:r>
      <w:r w:rsidR="00472059" w:rsidRPr="00451679">
        <w:rPr>
          <w:rFonts w:hint="cs"/>
          <w:rtl/>
          <w:lang w:bidi="ar-EG"/>
        </w:rPr>
        <w:t> </w:t>
      </w:r>
      <w:r w:rsidR="00472059" w:rsidRPr="00451679">
        <w:rPr>
          <w:rtl/>
          <w:lang w:bidi="ar-EG"/>
        </w:rPr>
        <w:t xml:space="preserve">30 منتهية </w:t>
      </w:r>
      <w:r w:rsidR="00472059" w:rsidRPr="00451679">
        <w:rPr>
          <w:rFonts w:hint="cs"/>
          <w:rtl/>
          <w:lang w:bidi="ar-EG"/>
        </w:rPr>
        <w:t>وعلى</w:t>
      </w:r>
      <w:r w:rsidR="00472059" w:rsidRPr="00451679">
        <w:rPr>
          <w:rtl/>
          <w:lang w:bidi="ar-EG"/>
        </w:rPr>
        <w:t xml:space="preserve"> حذفها من قائمة مهام لجنة المعايير</w:t>
      </w:r>
      <w:r w:rsidR="00472059" w:rsidRPr="00451679">
        <w:rPr>
          <w:rFonts w:hint="cs"/>
          <w:rtl/>
          <w:lang w:bidi="ar-EG"/>
        </w:rPr>
        <w:t xml:space="preserve">؛ كما وافقت على </w:t>
      </w:r>
      <w:r w:rsidR="00472059" w:rsidRPr="00451679">
        <w:rPr>
          <w:rtl/>
          <w:lang w:bidi="ar-EG"/>
        </w:rPr>
        <w:t>وقف عمل فرقة العمل المعنية بالمعيار</w:t>
      </w:r>
      <w:r w:rsidR="00472059" w:rsidRPr="00451679">
        <w:rPr>
          <w:rFonts w:hint="cs"/>
          <w:rtl/>
          <w:lang w:bidi="ar-EG"/>
        </w:rPr>
        <w:t> </w:t>
      </w:r>
      <w:r w:rsidR="00472059" w:rsidRPr="00451679">
        <w:rPr>
          <w:lang w:bidi="ar-EG"/>
        </w:rPr>
        <w:t>ST 10/C</w:t>
      </w:r>
      <w:r w:rsidR="00472059" w:rsidRPr="00451679">
        <w:rPr>
          <w:rFonts w:hint="cs"/>
          <w:rtl/>
          <w:lang w:bidi="ar-EG"/>
        </w:rPr>
        <w:t>.</w:t>
      </w:r>
    </w:p>
    <w:p w:rsidR="00466016" w:rsidRPr="00536657" w:rsidRDefault="00466016" w:rsidP="00456685">
      <w:pPr>
        <w:pStyle w:val="Heading3"/>
        <w:spacing w:before="0" w:after="120"/>
        <w:rPr>
          <w:lang w:val="en-US"/>
        </w:rPr>
      </w:pPr>
      <w:r w:rsidRPr="00451679">
        <w:rPr>
          <w:rFonts w:hint="cs"/>
          <w:rtl/>
        </w:rPr>
        <w:t>البند 16</w:t>
      </w:r>
      <w:r w:rsidR="009249C5" w:rsidRPr="00451679">
        <w:rPr>
          <w:rFonts w:hint="cs"/>
          <w:rtl/>
        </w:rPr>
        <w:t xml:space="preserve"> من جدول الأعمال: استبيان بشأن حالات تمديد حماية الملكية الصناعية</w:t>
      </w:r>
    </w:p>
    <w:p w:rsidR="00472059" w:rsidRPr="00451679" w:rsidRDefault="00472059" w:rsidP="00472059">
      <w:pPr>
        <w:pStyle w:val="NumberedParaAR"/>
        <w:numPr>
          <w:ilvl w:val="0"/>
          <w:numId w:val="23"/>
        </w:numPr>
      </w:pPr>
      <w:r w:rsidRPr="00451679">
        <w:rPr>
          <w:rFonts w:hint="cs"/>
          <w:rtl/>
        </w:rPr>
        <w:t>استندت المناقشات إلى الوثيقة</w:t>
      </w:r>
      <w:r w:rsidRPr="00451679">
        <w:rPr>
          <w:rFonts w:hint="eastAsia"/>
          <w:rtl/>
        </w:rPr>
        <w:t> </w:t>
      </w:r>
      <w:r w:rsidRPr="00451679">
        <w:t>CWS/5/13</w:t>
      </w:r>
      <w:r w:rsidRPr="00451679">
        <w:rPr>
          <w:rFonts w:hint="cs"/>
          <w:rtl/>
        </w:rPr>
        <w:t>.</w:t>
      </w:r>
    </w:p>
    <w:p w:rsidR="00472059" w:rsidRPr="00451679" w:rsidRDefault="008A783D" w:rsidP="008A783D">
      <w:pPr>
        <w:pStyle w:val="NumberedParaAR"/>
        <w:numPr>
          <w:ilvl w:val="0"/>
          <w:numId w:val="23"/>
        </w:numPr>
      </w:pPr>
      <w:r w:rsidRPr="00451679">
        <w:rPr>
          <w:rFonts w:hint="cs"/>
          <w:rtl/>
        </w:rPr>
        <w:t xml:space="preserve">ونظرت لجنة المعايير في </w:t>
      </w:r>
      <w:r w:rsidRPr="00451679">
        <w:rPr>
          <w:rtl/>
        </w:rPr>
        <w:t>الاستبيان المقترح بشأن حالات تمديد حماية الملكية الصناعية</w:t>
      </w:r>
      <w:r w:rsidRPr="00451679">
        <w:rPr>
          <w:rFonts w:hint="cs"/>
          <w:rtl/>
        </w:rPr>
        <w:t xml:space="preserve"> وحدّدت عددا من القضايا الموضوعية التي يتعيّن تعديلها.</w:t>
      </w:r>
    </w:p>
    <w:p w:rsidR="008A783D" w:rsidRPr="00451679" w:rsidRDefault="008A783D" w:rsidP="00C7305D">
      <w:pPr>
        <w:pStyle w:val="NumberedParaAR"/>
        <w:numPr>
          <w:ilvl w:val="0"/>
          <w:numId w:val="23"/>
        </w:numPr>
      </w:pPr>
      <w:r w:rsidRPr="00451679">
        <w:rPr>
          <w:rFonts w:hint="cs"/>
          <w:rtl/>
        </w:rPr>
        <w:t xml:space="preserve">والتمست لجنة المعايير من </w:t>
      </w:r>
      <w:r w:rsidRPr="00451679">
        <w:rPr>
          <w:rtl/>
          <w:lang w:bidi="ar-EG"/>
        </w:rPr>
        <w:t>فرقة العمل المعنية بالجزء</w:t>
      </w:r>
      <w:r w:rsidR="00684E84" w:rsidRPr="00451679">
        <w:rPr>
          <w:rFonts w:hint="cs"/>
          <w:rtl/>
          <w:lang w:bidi="ar-EG"/>
        </w:rPr>
        <w:t> </w:t>
      </w:r>
      <w:r w:rsidRPr="00451679">
        <w:rPr>
          <w:rtl/>
          <w:lang w:bidi="ar-EG"/>
        </w:rPr>
        <w:t>7</w:t>
      </w:r>
      <w:r w:rsidRPr="00451679">
        <w:rPr>
          <w:rFonts w:hint="cs"/>
          <w:rtl/>
          <w:lang w:bidi="ar-EG"/>
        </w:rPr>
        <w:t xml:space="preserve"> تعديل مشروع الاستبيان مع مراعاة القضايا المذكورة أعلاه وعرض الاقتراح على لجنة المعايير في دروتها السادسة. ودُعيت الوفود إلى تبادل تعليقاتها واقتراحاتها بشأن الاستبيان الخاص بحالات </w:t>
      </w:r>
      <w:r w:rsidR="00684E84" w:rsidRPr="00451679">
        <w:rPr>
          <w:rFonts w:hint="cs"/>
          <w:rtl/>
          <w:lang w:bidi="ar-EG"/>
        </w:rPr>
        <w:t>تمديد حماية الملكية الصناعية عبر موقع الويكي التابع لفرقة العمل المعنية بالجزء</w:t>
      </w:r>
      <w:r w:rsidR="00684E84" w:rsidRPr="00451679">
        <w:rPr>
          <w:rFonts w:hint="eastAsia"/>
          <w:rtl/>
          <w:lang w:bidi="ar-EG"/>
        </w:rPr>
        <w:t> </w:t>
      </w:r>
      <w:r w:rsidR="00684E84" w:rsidRPr="00451679">
        <w:rPr>
          <w:rFonts w:hint="cs"/>
          <w:rtl/>
          <w:lang w:bidi="ar-EG"/>
        </w:rPr>
        <w:t>7 قبل نهاية يونيو</w:t>
      </w:r>
      <w:r w:rsidR="00C7305D">
        <w:rPr>
          <w:rFonts w:hint="eastAsia"/>
          <w:rtl/>
          <w:lang w:bidi="ar-EG"/>
        </w:rPr>
        <w:t> </w:t>
      </w:r>
      <w:r w:rsidR="00684E84" w:rsidRPr="00451679">
        <w:rPr>
          <w:rFonts w:hint="cs"/>
          <w:rtl/>
          <w:lang w:bidi="ar-EG"/>
        </w:rPr>
        <w:t>2017 والمشاركة بنشاط في مناقشات فرقة العمل.</w:t>
      </w:r>
    </w:p>
    <w:p w:rsidR="00466016" w:rsidRPr="00536657" w:rsidRDefault="00466016" w:rsidP="00456685">
      <w:pPr>
        <w:pStyle w:val="Heading3"/>
        <w:spacing w:before="0" w:after="120"/>
        <w:rPr>
          <w:lang w:val="en-US"/>
        </w:rPr>
      </w:pPr>
      <w:r w:rsidRPr="00451679">
        <w:rPr>
          <w:rFonts w:hint="cs"/>
          <w:rtl/>
        </w:rPr>
        <w:t>البند 17</w:t>
      </w:r>
      <w:r w:rsidR="009249C5" w:rsidRPr="00451679">
        <w:rPr>
          <w:rFonts w:hint="cs"/>
          <w:rtl/>
        </w:rPr>
        <w:t xml:space="preserve"> من جدول الأعمال: توحيد أسماء المودعين</w:t>
      </w:r>
    </w:p>
    <w:p w:rsidR="00951BE1" w:rsidRPr="00451679" w:rsidRDefault="00951BE1" w:rsidP="00951BE1">
      <w:pPr>
        <w:pStyle w:val="NumberedParaAR"/>
        <w:numPr>
          <w:ilvl w:val="0"/>
          <w:numId w:val="23"/>
        </w:numPr>
      </w:pPr>
      <w:r w:rsidRPr="00451679">
        <w:rPr>
          <w:rFonts w:hint="cs"/>
          <w:rtl/>
        </w:rPr>
        <w:t>أحاطت لجنة المعايير علما بمضمون الوثيقة</w:t>
      </w:r>
      <w:r w:rsidRPr="00451679">
        <w:rPr>
          <w:rFonts w:hint="eastAsia"/>
          <w:rtl/>
        </w:rPr>
        <w:t> </w:t>
      </w:r>
      <w:r w:rsidRPr="00451679">
        <w:t>CWS/5/14</w:t>
      </w:r>
      <w:r w:rsidRPr="00451679">
        <w:rPr>
          <w:rFonts w:hint="cs"/>
          <w:rtl/>
        </w:rPr>
        <w:t xml:space="preserve"> والدراسة التي أعدها المكتب الدولي بشأن توحيد أسماء المودعين، كما وردت في مرفق الوثيقة المذكورة.</w:t>
      </w:r>
    </w:p>
    <w:p w:rsidR="00951BE1" w:rsidRPr="00451679" w:rsidRDefault="00951BE1" w:rsidP="00560445">
      <w:pPr>
        <w:pStyle w:val="NumberedParaAR"/>
        <w:numPr>
          <w:ilvl w:val="0"/>
          <w:numId w:val="23"/>
        </w:numPr>
      </w:pPr>
      <w:r w:rsidRPr="00451679">
        <w:rPr>
          <w:rFonts w:hint="cs"/>
          <w:rtl/>
        </w:rPr>
        <w:t>وأحاطت لجنة المعايير علما كذلك بالوثيقة المعنونة "تقرير مرحلي عن توحيد أسماء المودعين في إطار مبادرات الملف العالمي لمكاتب الملكية الفكرية الخمسة (</w:t>
      </w:r>
      <w:r w:rsidRPr="00451679">
        <w:t>IP5</w:t>
      </w:r>
      <w:r w:rsidRPr="00451679">
        <w:rPr>
          <w:rFonts w:hint="cs"/>
          <w:rtl/>
        </w:rPr>
        <w:t xml:space="preserve">)"، والتي قدمها </w:t>
      </w:r>
      <w:r w:rsidR="00560445" w:rsidRPr="00451679">
        <w:rPr>
          <w:rFonts w:hint="cs"/>
          <w:rtl/>
        </w:rPr>
        <w:t>المكتب الكوري للملكية الفكرية بالصيغة الواردة في مرفق الوثيقة</w:t>
      </w:r>
      <w:r w:rsidR="00560445" w:rsidRPr="00451679">
        <w:rPr>
          <w:rFonts w:hint="eastAsia"/>
          <w:rtl/>
        </w:rPr>
        <w:t> </w:t>
      </w:r>
      <w:r w:rsidR="00560445" w:rsidRPr="00451679">
        <w:t>CWS/5/14 ADD.</w:t>
      </w:r>
      <w:r w:rsidR="00560445" w:rsidRPr="00451679">
        <w:rPr>
          <w:rFonts w:hint="cs"/>
          <w:rtl/>
        </w:rPr>
        <w:t>.</w:t>
      </w:r>
    </w:p>
    <w:p w:rsidR="00560445" w:rsidRPr="00451679" w:rsidRDefault="00560445" w:rsidP="00560445">
      <w:pPr>
        <w:pStyle w:val="NumberedParaAR"/>
        <w:numPr>
          <w:ilvl w:val="0"/>
          <w:numId w:val="23"/>
        </w:numPr>
      </w:pPr>
      <w:r w:rsidRPr="00451679">
        <w:rPr>
          <w:rFonts w:hint="cs"/>
          <w:rtl/>
        </w:rPr>
        <w:t>ووافقت لجنة المعايير على إنشاء مهمة جديدة بالوصف التالي:</w:t>
      </w:r>
    </w:p>
    <w:p w:rsidR="00560445" w:rsidRPr="00451679" w:rsidRDefault="00560445" w:rsidP="00560445">
      <w:pPr>
        <w:pStyle w:val="NormalParaAR"/>
        <w:ind w:left="566"/>
        <w:rPr>
          <w:rtl/>
        </w:rPr>
      </w:pPr>
      <w:r w:rsidRPr="00451679">
        <w:rPr>
          <w:rFonts w:hint="cs"/>
          <w:rtl/>
        </w:rPr>
        <w:t xml:space="preserve">"القيام بما يلي بنية </w:t>
      </w:r>
      <w:r w:rsidRPr="00451679">
        <w:rPr>
          <w:rtl/>
        </w:rPr>
        <w:t xml:space="preserve">وضع معيار للويبو يساعد مكاتب الملكية الصناعية على </w:t>
      </w:r>
      <w:r w:rsidRPr="00451679">
        <w:rPr>
          <w:rFonts w:hint="cs"/>
          <w:rtl/>
        </w:rPr>
        <w:t xml:space="preserve">تحسين" الجودة في المنبع" </w:t>
      </w:r>
      <w:r w:rsidRPr="00451679">
        <w:rPr>
          <w:rtl/>
        </w:rPr>
        <w:t xml:space="preserve">فيما يتعلق بأسماء </w:t>
      </w:r>
      <w:r w:rsidRPr="00451679">
        <w:rPr>
          <w:rFonts w:hint="cs"/>
          <w:rtl/>
        </w:rPr>
        <w:t>المودعين:</w:t>
      </w:r>
    </w:p>
    <w:p w:rsidR="00560445" w:rsidRPr="00451679" w:rsidRDefault="00560445" w:rsidP="00560445">
      <w:pPr>
        <w:pStyle w:val="NormalParaAR"/>
        <w:ind w:left="1133"/>
        <w:rPr>
          <w:rtl/>
        </w:rPr>
      </w:pPr>
      <w:r w:rsidRPr="00451679">
        <w:rPr>
          <w:rFonts w:hint="cs"/>
          <w:rtl/>
        </w:rPr>
        <w:t>"1"</w:t>
      </w:r>
      <w:r w:rsidRPr="00451679">
        <w:rPr>
          <w:rtl/>
        </w:rPr>
        <w:tab/>
        <w:t xml:space="preserve">إجراء دراسة استقصائية بشأن استخدام </w:t>
      </w:r>
      <w:r w:rsidRPr="00451679">
        <w:rPr>
          <w:rFonts w:hint="cs"/>
          <w:rtl/>
        </w:rPr>
        <w:t xml:space="preserve">مكاتب الملكية الصناعية لأدوات تعريف المُودعين </w:t>
      </w:r>
      <w:r w:rsidRPr="00451679">
        <w:rPr>
          <w:rtl/>
        </w:rPr>
        <w:t>و</w:t>
      </w:r>
      <w:r w:rsidRPr="00451679">
        <w:rPr>
          <w:rFonts w:hint="cs"/>
          <w:rtl/>
        </w:rPr>
        <w:t xml:space="preserve">بشأن </w:t>
      </w:r>
      <w:r w:rsidRPr="00451679">
        <w:rPr>
          <w:rtl/>
        </w:rPr>
        <w:t>المشكل</w:t>
      </w:r>
      <w:r w:rsidRPr="00451679">
        <w:rPr>
          <w:rFonts w:hint="cs"/>
          <w:rtl/>
        </w:rPr>
        <w:t>ات</w:t>
      </w:r>
      <w:r w:rsidRPr="00451679">
        <w:rPr>
          <w:rtl/>
        </w:rPr>
        <w:t xml:space="preserve"> التي قد ترتبط ب</w:t>
      </w:r>
      <w:r w:rsidRPr="00451679">
        <w:rPr>
          <w:rFonts w:hint="cs"/>
          <w:rtl/>
        </w:rPr>
        <w:t>ذلك؛</w:t>
      </w:r>
    </w:p>
    <w:p w:rsidR="00560445" w:rsidRPr="00451679" w:rsidRDefault="00560445" w:rsidP="00560445">
      <w:pPr>
        <w:pStyle w:val="NormalParaAR"/>
        <w:ind w:left="1133"/>
        <w:rPr>
          <w:rtl/>
        </w:rPr>
      </w:pPr>
      <w:r w:rsidRPr="00451679">
        <w:rPr>
          <w:rFonts w:hint="cs"/>
          <w:rtl/>
        </w:rPr>
        <w:t>"2"</w:t>
      </w:r>
      <w:r w:rsidRPr="00451679">
        <w:rPr>
          <w:rtl/>
        </w:rPr>
        <w:tab/>
      </w:r>
      <w:r w:rsidRPr="00451679">
        <w:rPr>
          <w:rFonts w:hint="cs"/>
          <w:rtl/>
        </w:rPr>
        <w:t>و</w:t>
      </w:r>
      <w:r w:rsidRPr="00451679">
        <w:rPr>
          <w:rtl/>
        </w:rPr>
        <w:t>إعداد اقتراح بشأن الإجراءات الم</w:t>
      </w:r>
      <w:r w:rsidRPr="00451679">
        <w:rPr>
          <w:rFonts w:hint="cs"/>
          <w:rtl/>
        </w:rPr>
        <w:t xml:space="preserve">ستقبلية </w:t>
      </w:r>
      <w:r w:rsidRPr="00451679">
        <w:rPr>
          <w:rtl/>
        </w:rPr>
        <w:t xml:space="preserve">الرامية إلى توحيد أسماء </w:t>
      </w:r>
      <w:r w:rsidRPr="00451679">
        <w:rPr>
          <w:rFonts w:hint="cs"/>
          <w:rtl/>
        </w:rPr>
        <w:t xml:space="preserve">المودعين </w:t>
      </w:r>
      <w:r w:rsidRPr="00451679">
        <w:rPr>
          <w:rtl/>
        </w:rPr>
        <w:t>في وثائق الملكية ال</w:t>
      </w:r>
      <w:r w:rsidRPr="00451679">
        <w:rPr>
          <w:rFonts w:hint="cs"/>
          <w:rtl/>
        </w:rPr>
        <w:t xml:space="preserve">صناعية </w:t>
      </w:r>
      <w:r w:rsidRPr="00451679">
        <w:rPr>
          <w:rtl/>
        </w:rPr>
        <w:t xml:space="preserve">وعرضه على اللجنة </w:t>
      </w:r>
      <w:r w:rsidRPr="00451679">
        <w:rPr>
          <w:rFonts w:hint="cs"/>
          <w:rtl/>
        </w:rPr>
        <w:t xml:space="preserve">المعنية بمعايير الويبو </w:t>
      </w:r>
      <w:r w:rsidRPr="00451679">
        <w:rPr>
          <w:rtl/>
        </w:rPr>
        <w:t>للنظر فيه.</w:t>
      </w:r>
      <w:r w:rsidRPr="00451679">
        <w:rPr>
          <w:rFonts w:hint="cs"/>
          <w:rtl/>
        </w:rPr>
        <w:t>"</w:t>
      </w:r>
    </w:p>
    <w:p w:rsidR="00560445" w:rsidRPr="00451679" w:rsidRDefault="00560445" w:rsidP="006A52F6">
      <w:pPr>
        <w:pStyle w:val="NumberedParaAR"/>
        <w:numPr>
          <w:ilvl w:val="0"/>
          <w:numId w:val="23"/>
        </w:numPr>
      </w:pPr>
      <w:r w:rsidRPr="00451679">
        <w:rPr>
          <w:rFonts w:hint="cs"/>
          <w:rtl/>
        </w:rPr>
        <w:t xml:space="preserve">كما وافقت لجنة المعايير على إنشاء </w:t>
      </w:r>
      <w:r w:rsidRPr="00451679">
        <w:rPr>
          <w:rtl/>
        </w:rPr>
        <w:t>فرقة عمل جديدة (فرقة العمل المعنية بت</w:t>
      </w:r>
      <w:r w:rsidRPr="00451679">
        <w:rPr>
          <w:rFonts w:hint="cs"/>
          <w:rtl/>
        </w:rPr>
        <w:t xml:space="preserve">وحيد </w:t>
      </w:r>
      <w:r w:rsidRPr="00451679">
        <w:rPr>
          <w:rtl/>
        </w:rPr>
        <w:t xml:space="preserve">الأسماء) </w:t>
      </w:r>
      <w:r w:rsidRPr="00451679">
        <w:rPr>
          <w:rFonts w:hint="cs"/>
          <w:rtl/>
        </w:rPr>
        <w:t>للقيام ب</w:t>
      </w:r>
      <w:r w:rsidR="006A52F6" w:rsidRPr="00451679">
        <w:rPr>
          <w:rFonts w:hint="cs"/>
          <w:rtl/>
        </w:rPr>
        <w:t xml:space="preserve">تلك </w:t>
      </w:r>
      <w:r w:rsidR="006A52F6" w:rsidRPr="00451679">
        <w:rPr>
          <w:rtl/>
        </w:rPr>
        <w:t>المهمة</w:t>
      </w:r>
      <w:r w:rsidRPr="00451679">
        <w:rPr>
          <w:rtl/>
        </w:rPr>
        <w:t>، و</w:t>
      </w:r>
      <w:r w:rsidR="006A52F6" w:rsidRPr="00451679">
        <w:rPr>
          <w:rFonts w:hint="cs"/>
          <w:rtl/>
        </w:rPr>
        <w:t xml:space="preserve">التمست منها </w:t>
      </w:r>
      <w:r w:rsidRPr="00451679">
        <w:rPr>
          <w:rFonts w:hint="cs"/>
          <w:rtl/>
        </w:rPr>
        <w:t>ما يلي:</w:t>
      </w:r>
    </w:p>
    <w:p w:rsidR="00560445" w:rsidRPr="00451679" w:rsidRDefault="00560445" w:rsidP="006A52F6">
      <w:pPr>
        <w:pStyle w:val="NormalParaAR"/>
        <w:ind w:left="566"/>
        <w:rPr>
          <w:rtl/>
        </w:rPr>
      </w:pPr>
      <w:r w:rsidRPr="00451679">
        <w:rPr>
          <w:rFonts w:hint="cs"/>
          <w:rtl/>
        </w:rPr>
        <w:t>"1"</w:t>
      </w:r>
      <w:r w:rsidRPr="00451679">
        <w:rPr>
          <w:rtl/>
        </w:rPr>
        <w:tab/>
        <w:t xml:space="preserve">إعداد استبيان لإجراء </w:t>
      </w:r>
      <w:r w:rsidRPr="00451679">
        <w:rPr>
          <w:rFonts w:hint="cs"/>
          <w:rtl/>
        </w:rPr>
        <w:t xml:space="preserve">الدراسة </w:t>
      </w:r>
      <w:r w:rsidRPr="00451679">
        <w:rPr>
          <w:rtl/>
        </w:rPr>
        <w:t>الاستقصا</w:t>
      </w:r>
      <w:r w:rsidRPr="00451679">
        <w:rPr>
          <w:rFonts w:hint="cs"/>
          <w:rtl/>
        </w:rPr>
        <w:t>ئية</w:t>
      </w:r>
      <w:r w:rsidRPr="00451679">
        <w:rPr>
          <w:rtl/>
        </w:rPr>
        <w:t xml:space="preserve"> </w:t>
      </w:r>
      <w:r w:rsidR="006A52F6" w:rsidRPr="00451679">
        <w:rPr>
          <w:rtl/>
        </w:rPr>
        <w:t xml:space="preserve">بشأن استخدام </w:t>
      </w:r>
      <w:r w:rsidR="006A52F6" w:rsidRPr="00451679">
        <w:rPr>
          <w:rFonts w:hint="cs"/>
          <w:rtl/>
        </w:rPr>
        <w:t>مكاتب الملكية الصناعية لأدوات تعريف المُودعين</w:t>
      </w:r>
      <w:r w:rsidRPr="00451679">
        <w:rPr>
          <w:rFonts w:hint="cs"/>
          <w:rtl/>
        </w:rPr>
        <w:t>،</w:t>
      </w:r>
      <w:r w:rsidRPr="00451679">
        <w:rPr>
          <w:rtl/>
        </w:rPr>
        <w:t xml:space="preserve"> وتقديمه إلى لجنة</w:t>
      </w:r>
      <w:r w:rsidRPr="00451679">
        <w:rPr>
          <w:rFonts w:hint="cs"/>
          <w:rtl/>
        </w:rPr>
        <w:t xml:space="preserve"> المعايير </w:t>
      </w:r>
      <w:r w:rsidRPr="00451679">
        <w:rPr>
          <w:rtl/>
        </w:rPr>
        <w:t>ل</w:t>
      </w:r>
      <w:r w:rsidRPr="00451679">
        <w:rPr>
          <w:rFonts w:hint="cs"/>
          <w:rtl/>
        </w:rPr>
        <w:t>ت</w:t>
      </w:r>
      <w:r w:rsidRPr="00451679">
        <w:rPr>
          <w:rtl/>
        </w:rPr>
        <w:t xml:space="preserve">نظر فيه في دورتها </w:t>
      </w:r>
      <w:r w:rsidR="006A52F6" w:rsidRPr="00451679">
        <w:rPr>
          <w:rtl/>
        </w:rPr>
        <w:t>السادسة</w:t>
      </w:r>
      <w:r w:rsidRPr="00451679">
        <w:rPr>
          <w:rtl/>
        </w:rPr>
        <w:t>؛</w:t>
      </w:r>
    </w:p>
    <w:p w:rsidR="006A52F6" w:rsidRPr="00451679" w:rsidRDefault="006A52F6" w:rsidP="006A52F6">
      <w:pPr>
        <w:pStyle w:val="NormalParaAR"/>
        <w:ind w:left="566"/>
        <w:rPr>
          <w:rtl/>
        </w:rPr>
      </w:pPr>
      <w:r w:rsidRPr="00451679">
        <w:rPr>
          <w:rFonts w:hint="cs"/>
          <w:rtl/>
        </w:rPr>
        <w:t>"2"</w:t>
      </w:r>
      <w:r w:rsidRPr="00451679">
        <w:rPr>
          <w:rtl/>
        </w:rPr>
        <w:tab/>
      </w:r>
      <w:r w:rsidRPr="00451679">
        <w:rPr>
          <w:rFonts w:hint="cs"/>
          <w:rtl/>
        </w:rPr>
        <w:t>و</w:t>
      </w:r>
      <w:r w:rsidRPr="00451679">
        <w:rPr>
          <w:rtl/>
        </w:rPr>
        <w:t xml:space="preserve">إعداد الاقتراح </w:t>
      </w:r>
      <w:r w:rsidRPr="00451679">
        <w:rPr>
          <w:rFonts w:hint="cs"/>
          <w:rtl/>
        </w:rPr>
        <w:t xml:space="preserve">الخاص </w:t>
      </w:r>
      <w:r w:rsidRPr="00451679">
        <w:rPr>
          <w:rtl/>
        </w:rPr>
        <w:t>ب</w:t>
      </w:r>
      <w:r w:rsidRPr="00451679">
        <w:rPr>
          <w:rFonts w:hint="cs"/>
          <w:rtl/>
        </w:rPr>
        <w:t>ال</w:t>
      </w:r>
      <w:r w:rsidRPr="00451679">
        <w:rPr>
          <w:rtl/>
        </w:rPr>
        <w:t xml:space="preserve">إجراءات </w:t>
      </w:r>
      <w:r w:rsidRPr="00451679">
        <w:rPr>
          <w:rFonts w:hint="cs"/>
          <w:rtl/>
        </w:rPr>
        <w:t>ال</w:t>
      </w:r>
      <w:r w:rsidRPr="00451679">
        <w:rPr>
          <w:rtl/>
        </w:rPr>
        <w:t xml:space="preserve">أخرى، </w:t>
      </w:r>
      <w:r w:rsidRPr="00451679">
        <w:rPr>
          <w:rFonts w:hint="cs"/>
          <w:rtl/>
        </w:rPr>
        <w:t xml:space="preserve">بناءً على </w:t>
      </w:r>
      <w:r w:rsidRPr="00451679">
        <w:rPr>
          <w:rtl/>
        </w:rPr>
        <w:t>نتائج الدراسة الاستقصائية، وعرضه على لجنة</w:t>
      </w:r>
      <w:r w:rsidRPr="00451679">
        <w:rPr>
          <w:rFonts w:hint="cs"/>
          <w:rtl/>
        </w:rPr>
        <w:t xml:space="preserve"> المعايير </w:t>
      </w:r>
      <w:r w:rsidRPr="00451679">
        <w:rPr>
          <w:rtl/>
        </w:rPr>
        <w:t>ل</w:t>
      </w:r>
      <w:r w:rsidRPr="00451679">
        <w:rPr>
          <w:rFonts w:hint="cs"/>
          <w:rtl/>
        </w:rPr>
        <w:t>ت</w:t>
      </w:r>
      <w:r w:rsidRPr="00451679">
        <w:rPr>
          <w:rtl/>
        </w:rPr>
        <w:t>نظر فيه في دورتها السابعة المقرر عقدها في عام 2019.</w:t>
      </w:r>
    </w:p>
    <w:p w:rsidR="006A52F6" w:rsidRPr="00451679" w:rsidRDefault="00CA0156" w:rsidP="00CA0156">
      <w:pPr>
        <w:pStyle w:val="NumberedParaAR"/>
        <w:numPr>
          <w:ilvl w:val="0"/>
          <w:numId w:val="23"/>
        </w:numPr>
      </w:pPr>
      <w:r w:rsidRPr="00451679">
        <w:rPr>
          <w:rFonts w:hint="cs"/>
          <w:rtl/>
        </w:rPr>
        <w:t>وعُيّن كل من المكتب الكوري للملكية الفكرية والمكتب الدولي للاشتراك في الإشراف على فرقة العمل المعنية بتوحيد الأسماء.</w:t>
      </w:r>
    </w:p>
    <w:p w:rsidR="00466016" w:rsidRPr="00536657" w:rsidRDefault="00466016" w:rsidP="00456685">
      <w:pPr>
        <w:pStyle w:val="Heading3"/>
        <w:spacing w:before="0" w:after="120"/>
        <w:rPr>
          <w:lang w:val="en-US"/>
        </w:rPr>
      </w:pPr>
      <w:r w:rsidRPr="00451679">
        <w:rPr>
          <w:rFonts w:hint="cs"/>
          <w:rtl/>
        </w:rPr>
        <w:t>البند 18</w:t>
      </w:r>
      <w:r w:rsidR="009249C5" w:rsidRPr="00451679">
        <w:rPr>
          <w:rFonts w:hint="cs"/>
          <w:rtl/>
        </w:rPr>
        <w:t xml:space="preserve"> من جدول الأعمال: إنشاء مهمة لإعداد توصيات بشأن الخدمات الشبكية المتعلقة بمعلومات ووثائق الملكية الفكرية</w:t>
      </w:r>
    </w:p>
    <w:p w:rsidR="00CA0156" w:rsidRPr="00451679" w:rsidRDefault="00CC5F1C" w:rsidP="00CC5F1C">
      <w:pPr>
        <w:pStyle w:val="NumberedParaAR"/>
        <w:numPr>
          <w:ilvl w:val="0"/>
          <w:numId w:val="23"/>
        </w:numPr>
      </w:pPr>
      <w:r w:rsidRPr="00451679">
        <w:rPr>
          <w:rFonts w:hint="cs"/>
          <w:rtl/>
        </w:rPr>
        <w:t>أحاطت لجنة المعايير علما بمضمون الوثيقة</w:t>
      </w:r>
      <w:r w:rsidRPr="00451679">
        <w:rPr>
          <w:rFonts w:hint="eastAsia"/>
          <w:rtl/>
        </w:rPr>
        <w:t> </w:t>
      </w:r>
      <w:r w:rsidRPr="00451679">
        <w:t>CWS/5/15</w:t>
      </w:r>
      <w:r w:rsidRPr="00451679">
        <w:rPr>
          <w:rFonts w:hint="cs"/>
          <w:rtl/>
        </w:rPr>
        <w:t xml:space="preserve"> والعروض المُقدمة من وفود أستراليا والاتحاد الروسي والولايات المتحدة الأمريكية وممثلي المكتب الدولي </w:t>
      </w:r>
      <w:r w:rsidRPr="00451679">
        <w:rPr>
          <w:rFonts w:hint="cs"/>
          <w:rtl/>
          <w:lang w:bidi="ar-EG"/>
        </w:rPr>
        <w:t>و</w:t>
      </w:r>
      <w:r w:rsidRPr="00451679">
        <w:rPr>
          <w:rtl/>
          <w:lang w:bidi="ar-EG"/>
        </w:rPr>
        <w:t>الاتحاد الدولي لحماية الأصناف النباتية الجديدة</w:t>
      </w:r>
      <w:r w:rsidRPr="00451679">
        <w:rPr>
          <w:rFonts w:hint="cs"/>
          <w:rtl/>
          <w:lang w:bidi="ar-EG"/>
        </w:rPr>
        <w:t xml:space="preserve"> (الأوبوف) بشأن ممارساتها وخططها المتعلقة بالخدمات الشبكية.</w:t>
      </w:r>
    </w:p>
    <w:p w:rsidR="00CC5F1C" w:rsidRPr="00451679" w:rsidRDefault="00CC5F1C" w:rsidP="0063460C">
      <w:pPr>
        <w:pStyle w:val="NumberedParaAR"/>
        <w:numPr>
          <w:ilvl w:val="0"/>
          <w:numId w:val="23"/>
        </w:numPr>
      </w:pPr>
      <w:r w:rsidRPr="00451679">
        <w:rPr>
          <w:rFonts w:hint="cs"/>
          <w:rtl/>
        </w:rPr>
        <w:t xml:space="preserve">ووافقت لجنة المعايير على إنشاء مهمة جديدة </w:t>
      </w:r>
      <w:r w:rsidR="0063460C" w:rsidRPr="00451679">
        <w:rPr>
          <w:rFonts w:hint="cs"/>
          <w:rtl/>
        </w:rPr>
        <w:t>بالوصف التالي:</w:t>
      </w:r>
      <w:r w:rsidR="00D514A7" w:rsidRPr="00451679">
        <w:rPr>
          <w:rFonts w:hint="cs"/>
          <w:rtl/>
        </w:rPr>
        <w:t xml:space="preserve"> </w:t>
      </w:r>
      <w:r w:rsidRPr="00451679">
        <w:rPr>
          <w:rFonts w:hint="cs"/>
          <w:rtl/>
        </w:rPr>
        <w:t>"</w:t>
      </w:r>
      <w:r w:rsidR="0063460C" w:rsidRPr="00451679">
        <w:rPr>
          <w:rtl/>
        </w:rPr>
        <w:t xml:space="preserve">إعداد توصيات بشأن </w:t>
      </w:r>
      <w:r w:rsidR="0063460C" w:rsidRPr="00451679">
        <w:rPr>
          <w:rFonts w:hint="cs"/>
          <w:rtl/>
        </w:rPr>
        <w:t>تبادل البيانات الداعم للتواصل بين الأجهزة، مع التركيز على:</w:t>
      </w:r>
    </w:p>
    <w:p w:rsidR="0063460C" w:rsidRPr="00451679" w:rsidRDefault="0063460C" w:rsidP="0063460C">
      <w:pPr>
        <w:pStyle w:val="NormalParaAR"/>
        <w:ind w:left="566"/>
        <w:rPr>
          <w:rtl/>
        </w:rPr>
      </w:pPr>
      <w:r w:rsidRPr="00451679">
        <w:rPr>
          <w:rFonts w:hint="cs"/>
          <w:rtl/>
        </w:rPr>
        <w:t>"1"</w:t>
      </w:r>
      <w:r w:rsidRPr="00451679">
        <w:rPr>
          <w:rtl/>
        </w:rPr>
        <w:tab/>
      </w:r>
      <w:r w:rsidRPr="00451679">
        <w:rPr>
          <w:rtl/>
          <w:lang w:bidi="ar-EG"/>
        </w:rPr>
        <w:t xml:space="preserve">نسق </w:t>
      </w:r>
      <w:r w:rsidRPr="00451679">
        <w:rPr>
          <w:rFonts w:hint="cs"/>
          <w:rtl/>
          <w:lang w:bidi="ar-EG"/>
        </w:rPr>
        <w:t>ال</w:t>
      </w:r>
      <w:r w:rsidRPr="00451679">
        <w:rPr>
          <w:rtl/>
          <w:lang w:bidi="ar-EG"/>
        </w:rPr>
        <w:t>رسائل</w:t>
      </w:r>
      <w:r w:rsidRPr="00451679">
        <w:rPr>
          <w:rFonts w:hint="cs"/>
          <w:rtl/>
          <w:lang w:bidi="ar-EG"/>
        </w:rPr>
        <w:t>،</w:t>
      </w:r>
      <w:r w:rsidRPr="00451679">
        <w:rPr>
          <w:rtl/>
          <w:lang w:bidi="ar-EG"/>
        </w:rPr>
        <w:t xml:space="preserve"> وهيكل </w:t>
      </w:r>
      <w:r w:rsidRPr="00451679">
        <w:rPr>
          <w:rFonts w:hint="cs"/>
          <w:rtl/>
          <w:lang w:bidi="ar-EG"/>
        </w:rPr>
        <w:t>ال</w:t>
      </w:r>
      <w:r w:rsidRPr="00451679">
        <w:rPr>
          <w:rtl/>
          <w:lang w:bidi="ar-EG"/>
        </w:rPr>
        <w:t>بيانات</w:t>
      </w:r>
      <w:r w:rsidRPr="00451679">
        <w:rPr>
          <w:rFonts w:hint="cs"/>
          <w:rtl/>
          <w:lang w:bidi="ar-EG"/>
        </w:rPr>
        <w:t>،</w:t>
      </w:r>
      <w:r w:rsidRPr="00451679">
        <w:rPr>
          <w:rtl/>
          <w:lang w:bidi="ar-EG"/>
        </w:rPr>
        <w:t xml:space="preserve"> </w:t>
      </w:r>
      <w:r w:rsidRPr="00451679">
        <w:rPr>
          <w:rFonts w:hint="cs"/>
          <w:rtl/>
          <w:lang w:bidi="ar-EG"/>
        </w:rPr>
        <w:t>وقاموس</w:t>
      </w:r>
      <w:r w:rsidRPr="00451679">
        <w:rPr>
          <w:rtl/>
          <w:lang w:bidi="ar-EG"/>
        </w:rPr>
        <w:t xml:space="preserve"> </w:t>
      </w:r>
      <w:r w:rsidRPr="00451679">
        <w:rPr>
          <w:rFonts w:hint="cs"/>
          <w:rtl/>
          <w:lang w:bidi="ar-EG"/>
        </w:rPr>
        <w:t>ال</w:t>
      </w:r>
      <w:r w:rsidRPr="00451679">
        <w:rPr>
          <w:rtl/>
          <w:lang w:bidi="ar-EG"/>
        </w:rPr>
        <w:t xml:space="preserve">بيانات </w:t>
      </w:r>
      <w:r w:rsidRPr="00451679">
        <w:rPr>
          <w:rFonts w:hint="cs"/>
          <w:rtl/>
          <w:lang w:bidi="ar-EG"/>
        </w:rPr>
        <w:t xml:space="preserve">بنسق </w:t>
      </w:r>
      <w:r w:rsidRPr="00451679">
        <w:t>JSON</w:t>
      </w:r>
      <w:r w:rsidRPr="00451679">
        <w:rPr>
          <w:rtl/>
          <w:lang w:bidi="ar-EG"/>
        </w:rPr>
        <w:t xml:space="preserve"> </w:t>
      </w:r>
      <w:r w:rsidR="00D514A7" w:rsidRPr="00451679">
        <w:rPr>
          <w:rFonts w:hint="cs"/>
          <w:rtl/>
          <w:lang w:bidi="ar-EG"/>
        </w:rPr>
        <w:t>و/</w:t>
      </w:r>
      <w:r w:rsidRPr="00451679">
        <w:rPr>
          <w:rFonts w:hint="cs"/>
          <w:rtl/>
          <w:lang w:bidi="ar-EG"/>
        </w:rPr>
        <w:t>أو</w:t>
      </w:r>
      <w:r w:rsidR="00D514A7" w:rsidRPr="00451679">
        <w:rPr>
          <w:rFonts w:hint="cs"/>
          <w:rtl/>
          <w:lang w:bidi="ar-EG"/>
        </w:rPr>
        <w:t xml:space="preserve"> نسق</w:t>
      </w:r>
      <w:r w:rsidRPr="00451679">
        <w:rPr>
          <w:rFonts w:hint="cs"/>
          <w:rtl/>
          <w:lang w:bidi="ar-EG"/>
        </w:rPr>
        <w:t xml:space="preserve"> </w:t>
      </w:r>
      <w:r w:rsidRPr="00451679">
        <w:t>XML</w:t>
      </w:r>
      <w:r w:rsidR="00D514A7" w:rsidRPr="00451679">
        <w:rPr>
          <w:rFonts w:hint="cs"/>
          <w:rtl/>
        </w:rPr>
        <w:t>؛</w:t>
      </w:r>
    </w:p>
    <w:p w:rsidR="00D514A7" w:rsidRPr="00451679" w:rsidRDefault="00D514A7" w:rsidP="00D514A7">
      <w:pPr>
        <w:pStyle w:val="NormalParaAR"/>
        <w:ind w:left="566"/>
        <w:rPr>
          <w:rtl/>
          <w:lang w:bidi="ar-EG"/>
        </w:rPr>
      </w:pPr>
      <w:r w:rsidRPr="00451679">
        <w:rPr>
          <w:rFonts w:hint="cs"/>
          <w:rtl/>
        </w:rPr>
        <w:t>"2"</w:t>
      </w:r>
      <w:r w:rsidRPr="00451679">
        <w:rPr>
          <w:rtl/>
        </w:rPr>
        <w:tab/>
      </w:r>
      <w:r w:rsidRPr="00451679">
        <w:rPr>
          <w:rFonts w:hint="cs"/>
          <w:rtl/>
          <w:lang w:bidi="ar-EG"/>
        </w:rPr>
        <w:t>و</w:t>
      </w:r>
      <w:r w:rsidRPr="00451679">
        <w:rPr>
          <w:rtl/>
          <w:lang w:bidi="ar-EG"/>
        </w:rPr>
        <w:t>اصطلاحات التسمية</w:t>
      </w:r>
      <w:r w:rsidRPr="00451679">
        <w:rPr>
          <w:rFonts w:hint="cs"/>
          <w:rtl/>
          <w:lang w:bidi="ar-EG"/>
        </w:rPr>
        <w:t xml:space="preserve"> ل</w:t>
      </w:r>
      <w:r w:rsidRPr="00451679">
        <w:rPr>
          <w:rtl/>
          <w:lang w:bidi="ar-EG"/>
        </w:rPr>
        <w:t>معرّف الموارد المنتظم (</w:t>
      </w:r>
      <w:r w:rsidRPr="00451679">
        <w:t>URI</w:t>
      </w:r>
      <w:r w:rsidRPr="00451679">
        <w:rPr>
          <w:rtl/>
          <w:lang w:bidi="ar-EG"/>
        </w:rPr>
        <w:t>)</w:t>
      </w:r>
      <w:r w:rsidRPr="00451679">
        <w:rPr>
          <w:rFonts w:hint="cs"/>
          <w:rtl/>
          <w:lang w:bidi="ar-EG"/>
        </w:rPr>
        <w:t>؛</w:t>
      </w:r>
    </w:p>
    <w:p w:rsidR="00D514A7" w:rsidRPr="00451679" w:rsidRDefault="00D514A7" w:rsidP="00D514A7">
      <w:pPr>
        <w:pStyle w:val="NormalParaAR"/>
        <w:ind w:left="-1"/>
      </w:pPr>
      <w:r w:rsidRPr="00451679">
        <w:rPr>
          <w:rFonts w:hint="cs"/>
          <w:rtl/>
          <w:lang w:bidi="ar-EG"/>
        </w:rPr>
        <w:t xml:space="preserve">وإسنادها إلى فرقة عمل </w:t>
      </w:r>
      <w:r w:rsidRPr="00451679">
        <w:rPr>
          <w:lang w:bidi="ar-EG"/>
        </w:rPr>
        <w:t>XML4IP</w:t>
      </w:r>
      <w:r w:rsidRPr="00451679">
        <w:rPr>
          <w:rFonts w:hint="cs"/>
          <w:rtl/>
          <w:lang w:bidi="ar-EG"/>
        </w:rPr>
        <w:t>.</w:t>
      </w:r>
    </w:p>
    <w:p w:rsidR="00466016" w:rsidRPr="00984302" w:rsidRDefault="00466016" w:rsidP="00456685">
      <w:pPr>
        <w:pStyle w:val="Heading3"/>
        <w:spacing w:before="0" w:after="120"/>
        <w:rPr>
          <w:lang w:val="en-US"/>
        </w:rPr>
      </w:pPr>
      <w:r w:rsidRPr="00451679">
        <w:rPr>
          <w:rFonts w:hint="cs"/>
          <w:rtl/>
        </w:rPr>
        <w:t>البند 19</w:t>
      </w:r>
      <w:r w:rsidR="009249C5" w:rsidRPr="00451679">
        <w:rPr>
          <w:rFonts w:hint="cs"/>
          <w:rtl/>
        </w:rPr>
        <w:t xml:space="preserve"> من جدول الأعمال: إنشاء مهمة لإعداد توصيات لفائدة سجلات البراءات الوطنية والإقليمية</w:t>
      </w:r>
    </w:p>
    <w:p w:rsidR="00D514A7" w:rsidRPr="00536657" w:rsidRDefault="00D03724" w:rsidP="00D03724">
      <w:pPr>
        <w:pStyle w:val="NumberedParaAR"/>
        <w:numPr>
          <w:ilvl w:val="0"/>
          <w:numId w:val="23"/>
        </w:numPr>
        <w:rPr>
          <w:lang w:val="fr-CH"/>
        </w:rPr>
      </w:pPr>
      <w:r w:rsidRPr="00451679">
        <w:rPr>
          <w:rFonts w:hint="cs"/>
          <w:rtl/>
        </w:rPr>
        <w:t>أحاطت لجنة المعايير علما بمضمون الوثيقة</w:t>
      </w:r>
      <w:r w:rsidRPr="00451679">
        <w:rPr>
          <w:rFonts w:hint="eastAsia"/>
          <w:rtl/>
        </w:rPr>
        <w:t> </w:t>
      </w:r>
      <w:r w:rsidRPr="00536657">
        <w:rPr>
          <w:lang w:val="fr-CH"/>
        </w:rPr>
        <w:t>CWS/5/16</w:t>
      </w:r>
      <w:r w:rsidRPr="00451679">
        <w:rPr>
          <w:rFonts w:hint="cs"/>
          <w:rtl/>
        </w:rPr>
        <w:t xml:space="preserve"> ووافقت على إنشاء مهمة جديدة رقم</w:t>
      </w:r>
      <w:r w:rsidRPr="00451679">
        <w:rPr>
          <w:rFonts w:hint="eastAsia"/>
          <w:rtl/>
        </w:rPr>
        <w:t> </w:t>
      </w:r>
      <w:r w:rsidRPr="00451679">
        <w:rPr>
          <w:rFonts w:hint="cs"/>
          <w:rtl/>
        </w:rPr>
        <w:t>52 بالوصف التالي:</w:t>
      </w:r>
    </w:p>
    <w:p w:rsidR="00D03724" w:rsidRPr="00451679" w:rsidRDefault="00D03724" w:rsidP="00EC0979">
      <w:pPr>
        <w:pStyle w:val="NormalParaAR"/>
        <w:ind w:left="566"/>
        <w:rPr>
          <w:rtl/>
          <w:lang w:bidi="ar-EG"/>
        </w:rPr>
      </w:pPr>
      <w:r w:rsidRPr="00451679">
        <w:rPr>
          <w:rtl/>
          <w:lang w:bidi="ar-EG"/>
        </w:rPr>
        <w:t>"</w:t>
      </w:r>
      <w:r w:rsidR="00984ADD" w:rsidRPr="00451679">
        <w:rPr>
          <w:rFonts w:hint="cs"/>
          <w:rtl/>
          <w:lang w:bidi="ar-EG"/>
        </w:rPr>
        <w:t xml:space="preserve">إجراء </w:t>
      </w:r>
      <w:r w:rsidR="00984ADD" w:rsidRPr="00451679">
        <w:rPr>
          <w:rtl/>
          <w:lang w:bidi="ar-EG"/>
        </w:rPr>
        <w:t>دراسة استقصائية عن محتوى ووظائف</w:t>
      </w:r>
      <w:r w:rsidR="00984ADD" w:rsidRPr="00451679">
        <w:rPr>
          <w:rFonts w:hint="cs"/>
          <w:rtl/>
          <w:lang w:bidi="ar-EG"/>
        </w:rPr>
        <w:t xml:space="preserve"> أنظمة النفاذ إلى معلومات البراءات </w:t>
      </w:r>
      <w:r w:rsidRPr="00451679">
        <w:rPr>
          <w:rtl/>
          <w:lang w:bidi="ar-EG"/>
        </w:rPr>
        <w:t xml:space="preserve">التي </w:t>
      </w:r>
      <w:r w:rsidR="00984ADD" w:rsidRPr="00451679">
        <w:rPr>
          <w:rFonts w:hint="cs"/>
          <w:rtl/>
          <w:lang w:bidi="ar-EG"/>
        </w:rPr>
        <w:t>تتيحها</w:t>
      </w:r>
      <w:r w:rsidRPr="00451679">
        <w:rPr>
          <w:rtl/>
          <w:lang w:bidi="ar-EG"/>
        </w:rPr>
        <w:t xml:space="preserve"> مكاتب الملكية الصناعية</w:t>
      </w:r>
      <w:r w:rsidR="00984ADD" w:rsidRPr="00451679">
        <w:rPr>
          <w:rFonts w:hint="cs"/>
          <w:rtl/>
          <w:lang w:bidi="ar-EG"/>
        </w:rPr>
        <w:t xml:space="preserve"> للجمهور</w:t>
      </w:r>
      <w:r w:rsidR="0059160A" w:rsidRPr="00451679">
        <w:rPr>
          <w:rFonts w:hint="cs"/>
          <w:rtl/>
          <w:lang w:bidi="ar-EG"/>
        </w:rPr>
        <w:t xml:space="preserve">، فضلا عن </w:t>
      </w:r>
      <w:r w:rsidR="0059160A" w:rsidRPr="00451679">
        <w:rPr>
          <w:rtl/>
          <w:lang w:bidi="ar-EG"/>
        </w:rPr>
        <w:t>الخطط المستقبلية فيما ي</w:t>
      </w:r>
      <w:r w:rsidR="0059160A" w:rsidRPr="00451679">
        <w:rPr>
          <w:rFonts w:hint="cs"/>
          <w:rtl/>
          <w:lang w:bidi="ar-EG"/>
        </w:rPr>
        <w:t xml:space="preserve">خص </w:t>
      </w:r>
      <w:r w:rsidR="0059160A" w:rsidRPr="00451679">
        <w:rPr>
          <w:rtl/>
          <w:lang w:bidi="ar-EG"/>
        </w:rPr>
        <w:t>ممارسات</w:t>
      </w:r>
      <w:r w:rsidR="0059160A" w:rsidRPr="00451679">
        <w:rPr>
          <w:rFonts w:hint="cs"/>
          <w:rtl/>
          <w:lang w:bidi="ar-EG"/>
        </w:rPr>
        <w:t>ها</w:t>
      </w:r>
      <w:r w:rsidR="0059160A" w:rsidRPr="00451679">
        <w:rPr>
          <w:rtl/>
          <w:lang w:bidi="ar-EG"/>
        </w:rPr>
        <w:t xml:space="preserve"> </w:t>
      </w:r>
      <w:r w:rsidR="0059160A" w:rsidRPr="00451679">
        <w:rPr>
          <w:rFonts w:hint="cs"/>
          <w:rtl/>
          <w:lang w:bidi="ar-EG"/>
        </w:rPr>
        <w:t>المتعلقة بال</w:t>
      </w:r>
      <w:r w:rsidR="0059160A" w:rsidRPr="00451679">
        <w:rPr>
          <w:rtl/>
          <w:lang w:bidi="ar-EG"/>
        </w:rPr>
        <w:t>نشر</w:t>
      </w:r>
      <w:r w:rsidRPr="00451679">
        <w:rPr>
          <w:rtl/>
          <w:lang w:bidi="ar-EG"/>
        </w:rPr>
        <w:t xml:space="preserve">؛ </w:t>
      </w:r>
      <w:r w:rsidR="0059160A" w:rsidRPr="00451679">
        <w:rPr>
          <w:rFonts w:hint="cs"/>
          <w:rtl/>
          <w:lang w:bidi="ar-EG"/>
        </w:rPr>
        <w:t xml:space="preserve">وإعداد توصيات بشأن أنظمة النفاذ إلى معلومات البراءات </w:t>
      </w:r>
      <w:r w:rsidR="0059160A" w:rsidRPr="00451679">
        <w:rPr>
          <w:rtl/>
          <w:lang w:bidi="ar-EG"/>
        </w:rPr>
        <w:t xml:space="preserve">التي </w:t>
      </w:r>
      <w:r w:rsidR="0059160A" w:rsidRPr="00451679">
        <w:rPr>
          <w:rFonts w:hint="cs"/>
          <w:rtl/>
          <w:lang w:bidi="ar-EG"/>
        </w:rPr>
        <w:t>تتيحها</w:t>
      </w:r>
      <w:r w:rsidR="0059160A" w:rsidRPr="00451679">
        <w:rPr>
          <w:rtl/>
          <w:lang w:bidi="ar-EG"/>
        </w:rPr>
        <w:t xml:space="preserve"> مكاتب الملكية الصناعية</w:t>
      </w:r>
      <w:r w:rsidR="0059160A" w:rsidRPr="00451679">
        <w:rPr>
          <w:rFonts w:hint="cs"/>
          <w:rtl/>
          <w:lang w:bidi="ar-EG"/>
        </w:rPr>
        <w:t xml:space="preserve"> للجمهور.</w:t>
      </w:r>
      <w:r w:rsidRPr="00451679">
        <w:rPr>
          <w:rtl/>
          <w:lang w:bidi="ar-EG"/>
        </w:rPr>
        <w:t>"</w:t>
      </w:r>
    </w:p>
    <w:p w:rsidR="0059160A" w:rsidRPr="00451679" w:rsidRDefault="0059160A" w:rsidP="0059160A">
      <w:pPr>
        <w:pStyle w:val="NumberedParaAR"/>
        <w:numPr>
          <w:ilvl w:val="0"/>
          <w:numId w:val="23"/>
        </w:numPr>
      </w:pPr>
      <w:r w:rsidRPr="00451679">
        <w:rPr>
          <w:rFonts w:hint="cs"/>
          <w:rtl/>
        </w:rPr>
        <w:t>ووافقت لجنة المعايير كذلك على إنشاء فرقة عمل للقيام بتلك المهمة؛ وينبغي أن تقترح الأمانة اسما لفرقة العمل يكون متماشيا مع تعريف المهمة رقم</w:t>
      </w:r>
      <w:r w:rsidRPr="00451679">
        <w:rPr>
          <w:rFonts w:hint="eastAsia"/>
          <w:rtl/>
        </w:rPr>
        <w:t> </w:t>
      </w:r>
      <w:r w:rsidRPr="00451679">
        <w:rPr>
          <w:rFonts w:hint="cs"/>
          <w:rtl/>
        </w:rPr>
        <w:t>52. وعُيّن المكتب الدولي مشرفا على فرقة العمل المذكورة.</w:t>
      </w:r>
    </w:p>
    <w:p w:rsidR="0059160A" w:rsidRPr="00451679" w:rsidRDefault="0059160A" w:rsidP="0059160A">
      <w:pPr>
        <w:pStyle w:val="NumberedParaAR"/>
        <w:numPr>
          <w:ilvl w:val="0"/>
          <w:numId w:val="23"/>
        </w:numPr>
      </w:pPr>
      <w:r w:rsidRPr="00451679">
        <w:rPr>
          <w:rFonts w:hint="cs"/>
          <w:rtl/>
        </w:rPr>
        <w:t xml:space="preserve">والتمست لجنة المعايير من فرقة العمل المُنشأة أن تراعي </w:t>
      </w:r>
      <w:r w:rsidRPr="00451679">
        <w:rPr>
          <w:rtl/>
        </w:rPr>
        <w:t>المعارف المُجمّعة من بوابة سجلات البراءات ونتائج عمل فرقة العمل المعنية بالوضع القانوني</w:t>
      </w:r>
      <w:r w:rsidRPr="00451679">
        <w:rPr>
          <w:rFonts w:hint="cs"/>
          <w:rtl/>
        </w:rPr>
        <w:t>.</w:t>
      </w:r>
    </w:p>
    <w:p w:rsidR="00466016" w:rsidRPr="00984302" w:rsidRDefault="00466016" w:rsidP="00456685">
      <w:pPr>
        <w:pStyle w:val="Heading3"/>
        <w:spacing w:before="0" w:after="120"/>
        <w:rPr>
          <w:lang w:val="en-US"/>
        </w:rPr>
      </w:pPr>
      <w:r w:rsidRPr="00451679">
        <w:rPr>
          <w:rFonts w:hint="cs"/>
          <w:rtl/>
        </w:rPr>
        <w:t>البند 20</w:t>
      </w:r>
      <w:r w:rsidR="009249C5" w:rsidRPr="00451679">
        <w:rPr>
          <w:rFonts w:hint="cs"/>
          <w:rtl/>
        </w:rPr>
        <w:t xml:space="preserve"> من جدول الأعمال: إنشاء مهمة لتحديد شروط تصميم التصاوير المرئية الإلكترونية</w:t>
      </w:r>
    </w:p>
    <w:p w:rsidR="0031283B" w:rsidRPr="00451679" w:rsidRDefault="0031283B" w:rsidP="00EC0979">
      <w:pPr>
        <w:pStyle w:val="NumberedParaAR"/>
        <w:numPr>
          <w:ilvl w:val="0"/>
          <w:numId w:val="23"/>
        </w:numPr>
      </w:pPr>
      <w:r w:rsidRPr="00451679">
        <w:rPr>
          <w:rFonts w:hint="cs"/>
          <w:rtl/>
        </w:rPr>
        <w:t xml:space="preserve">أحاطت لجنة المعايير علما باقتراح وفد أستراليا الداعي إلى </w:t>
      </w:r>
      <w:r w:rsidR="00EC0979" w:rsidRPr="00451679">
        <w:rPr>
          <w:rFonts w:hint="cs"/>
          <w:rtl/>
        </w:rPr>
        <w:t xml:space="preserve">استحداث معيار جديد للويبو بخصوص المنظور البياني الإلكتروني للتصاميم، على النحو الوارد في مرفق الوثيقة </w:t>
      </w:r>
      <w:r w:rsidR="00EC0979" w:rsidRPr="00451679">
        <w:t>CWS/5/17</w:t>
      </w:r>
      <w:r w:rsidR="00EC0979" w:rsidRPr="00451679">
        <w:rPr>
          <w:rFonts w:hint="cs"/>
          <w:rtl/>
        </w:rPr>
        <w:t>.</w:t>
      </w:r>
    </w:p>
    <w:p w:rsidR="00EC0979" w:rsidRPr="00451679" w:rsidRDefault="00EC0979" w:rsidP="00EC0979">
      <w:pPr>
        <w:pStyle w:val="NumberedParaAR"/>
        <w:numPr>
          <w:ilvl w:val="0"/>
          <w:numId w:val="23"/>
        </w:numPr>
      </w:pPr>
      <w:r w:rsidRPr="00451679">
        <w:rPr>
          <w:rFonts w:hint="cs"/>
          <w:rtl/>
        </w:rPr>
        <w:t>ووافقت لجنة المعايير على إنشاء مهمة جديدة بالوصف التالي:</w:t>
      </w:r>
    </w:p>
    <w:p w:rsidR="00EC0979" w:rsidRPr="00451679" w:rsidRDefault="00EC0979" w:rsidP="00EC0979">
      <w:pPr>
        <w:pStyle w:val="NormalParaAR"/>
        <w:ind w:left="566"/>
        <w:rPr>
          <w:rtl/>
        </w:rPr>
      </w:pPr>
      <w:r w:rsidRPr="00451679">
        <w:rPr>
          <w:rFonts w:hint="cs"/>
          <w:rtl/>
        </w:rPr>
        <w:t>"جمع معلومات حول متطلبات مكاتب الملكية الصناعية والزبائن؛ وإعداد توصيات بشأن التصاوير المرئية الإلكترونية</w:t>
      </w:r>
      <w:r w:rsidRPr="00451679">
        <w:rPr>
          <w:rFonts w:hint="eastAsia"/>
          <w:rtl/>
        </w:rPr>
        <w:t> </w:t>
      </w:r>
      <w:r w:rsidRPr="00451679">
        <w:rPr>
          <w:rFonts w:hint="cs"/>
          <w:rtl/>
        </w:rPr>
        <w:t>للتصاميم</w:t>
      </w:r>
      <w:r w:rsidRPr="00451679">
        <w:rPr>
          <w:rtl/>
        </w:rPr>
        <w:t>"</w:t>
      </w:r>
      <w:r w:rsidRPr="00451679">
        <w:rPr>
          <w:rFonts w:hint="cs"/>
          <w:rtl/>
        </w:rPr>
        <w:t>.</w:t>
      </w:r>
    </w:p>
    <w:p w:rsidR="00EC0979" w:rsidRPr="00451679" w:rsidRDefault="00EC0979" w:rsidP="00FF50EA">
      <w:pPr>
        <w:pStyle w:val="NumberedParaAR"/>
        <w:numPr>
          <w:ilvl w:val="0"/>
          <w:numId w:val="23"/>
        </w:numPr>
      </w:pPr>
      <w:r w:rsidRPr="00451679">
        <w:rPr>
          <w:rFonts w:hint="cs"/>
          <w:rtl/>
        </w:rPr>
        <w:t xml:space="preserve">ووافقت لجنة المعايير كذلك على </w:t>
      </w:r>
      <w:r w:rsidRPr="00451679">
        <w:rPr>
          <w:rtl/>
        </w:rPr>
        <w:t>إنشاء فرقة عمل جديدة</w:t>
      </w:r>
      <w:r w:rsidR="00FF50EA" w:rsidRPr="00451679">
        <w:rPr>
          <w:rFonts w:hint="cs"/>
          <w:rtl/>
        </w:rPr>
        <w:t xml:space="preserve"> (فرقة العمل المعنية بتصاوير التصاميم) وعيّنت كلا من مكتب أستراليا للملكية الفكرية والمكتب الدولي للاشتراك في الإشراف على فرقة العمل الجديدة المذكورة.</w:t>
      </w:r>
    </w:p>
    <w:p w:rsidR="00466016" w:rsidRPr="00536657" w:rsidRDefault="00466016" w:rsidP="00456685">
      <w:pPr>
        <w:pStyle w:val="Heading3"/>
        <w:spacing w:before="0" w:after="120"/>
        <w:rPr>
          <w:lang w:val="en-US"/>
        </w:rPr>
      </w:pPr>
      <w:r w:rsidRPr="00451679">
        <w:rPr>
          <w:rFonts w:hint="cs"/>
          <w:rtl/>
        </w:rPr>
        <w:t>البند 21</w:t>
      </w:r>
      <w:r w:rsidR="009249C5" w:rsidRPr="00451679">
        <w:rPr>
          <w:rFonts w:hint="cs"/>
          <w:rtl/>
        </w:rPr>
        <w:t xml:space="preserve"> من جدول الأعمال: تقرير عن التقارير التقنية السنوية</w:t>
      </w:r>
    </w:p>
    <w:p w:rsidR="00FF50EA" w:rsidRPr="00451679" w:rsidRDefault="00F024B3" w:rsidP="00473873">
      <w:pPr>
        <w:pStyle w:val="NumberedParaAR"/>
        <w:numPr>
          <w:ilvl w:val="0"/>
          <w:numId w:val="23"/>
        </w:numPr>
      </w:pPr>
      <w:r w:rsidRPr="00451679">
        <w:rPr>
          <w:rFonts w:hint="cs"/>
          <w:rtl/>
        </w:rPr>
        <w:t>أحاطت لجنة المعايير علما بالتقرير الذي أعده المكتب الدولي عن التقارير التقنية السنوية، كما ورد في الوثيقة</w:t>
      </w:r>
      <w:r w:rsidRPr="00451679">
        <w:rPr>
          <w:rFonts w:hint="eastAsia"/>
          <w:rtl/>
        </w:rPr>
        <w:t> </w:t>
      </w:r>
      <w:r w:rsidRPr="00451679">
        <w:t>CWS/5/18</w:t>
      </w:r>
      <w:r w:rsidRPr="00451679">
        <w:rPr>
          <w:rFonts w:hint="cs"/>
          <w:rtl/>
        </w:rPr>
        <w:t>، وشجّع</w:t>
      </w:r>
      <w:r w:rsidR="00473873" w:rsidRPr="00451679">
        <w:rPr>
          <w:rFonts w:hint="cs"/>
          <w:rtl/>
        </w:rPr>
        <w:t>ت</w:t>
      </w:r>
      <w:r w:rsidRPr="00451679">
        <w:rPr>
          <w:rFonts w:hint="cs"/>
          <w:rtl/>
        </w:rPr>
        <w:t xml:space="preserve"> مكاتب الملكية الصناعية على الردّ على التعاميم </w:t>
      </w:r>
      <w:r w:rsidRPr="00451679">
        <w:t>C.CWS 84</w:t>
      </w:r>
      <w:r w:rsidRPr="00451679">
        <w:rPr>
          <w:rFonts w:hint="cs"/>
          <w:rtl/>
        </w:rPr>
        <w:t xml:space="preserve"> و</w:t>
      </w:r>
      <w:r w:rsidRPr="00451679">
        <w:t>C.CWS 85</w:t>
      </w:r>
      <w:r w:rsidRPr="00451679">
        <w:rPr>
          <w:rFonts w:hint="cs"/>
          <w:rtl/>
        </w:rPr>
        <w:t xml:space="preserve"> و</w:t>
      </w:r>
      <w:r w:rsidRPr="00451679">
        <w:t>C.CWS 86</w:t>
      </w:r>
      <w:r w:rsidRPr="00451679">
        <w:rPr>
          <w:rFonts w:hint="cs"/>
          <w:rtl/>
        </w:rPr>
        <w:t xml:space="preserve"> المؤرخة 13</w:t>
      </w:r>
      <w:r w:rsidR="00473873" w:rsidRPr="00451679">
        <w:rPr>
          <w:rFonts w:hint="eastAsia"/>
          <w:rtl/>
        </w:rPr>
        <w:t> </w:t>
      </w:r>
      <w:r w:rsidRPr="00451679">
        <w:rPr>
          <w:rFonts w:hint="cs"/>
          <w:rtl/>
        </w:rPr>
        <w:t>أبريل</w:t>
      </w:r>
      <w:r w:rsidR="00473873" w:rsidRPr="00451679">
        <w:rPr>
          <w:rFonts w:hint="eastAsia"/>
          <w:rtl/>
        </w:rPr>
        <w:t> </w:t>
      </w:r>
      <w:r w:rsidRPr="00451679">
        <w:rPr>
          <w:rFonts w:hint="cs"/>
          <w:rtl/>
        </w:rPr>
        <w:t>2017، وعلى تقديم تقاريرها التقنية السنوية عن عام</w:t>
      </w:r>
      <w:r w:rsidRPr="00451679">
        <w:rPr>
          <w:rFonts w:hint="eastAsia"/>
          <w:rtl/>
        </w:rPr>
        <w:t> </w:t>
      </w:r>
      <w:r w:rsidRPr="00451679">
        <w:rPr>
          <w:rFonts w:hint="cs"/>
          <w:rtl/>
        </w:rPr>
        <w:t>2016</w:t>
      </w:r>
      <w:r w:rsidR="00473873" w:rsidRPr="00451679">
        <w:rPr>
          <w:rFonts w:hint="cs"/>
          <w:rtl/>
        </w:rPr>
        <w:t>.</w:t>
      </w:r>
    </w:p>
    <w:p w:rsidR="00473873" w:rsidRPr="00451679" w:rsidRDefault="00473873" w:rsidP="00473873">
      <w:pPr>
        <w:pStyle w:val="NumberedParaAR"/>
        <w:numPr>
          <w:ilvl w:val="0"/>
          <w:numId w:val="23"/>
        </w:numPr>
      </w:pPr>
      <w:r w:rsidRPr="00451679">
        <w:rPr>
          <w:rFonts w:hint="cs"/>
          <w:rtl/>
        </w:rPr>
        <w:t xml:space="preserve">ولاحظ المكتب الدولي انخفاضا ثابتا في عدد التقارير التقنية السنوية المُقدمة كل عام وقدم معلومات عن خططه الرامية إلى جمع المزيد من الإحصاءات وربما </w:t>
      </w:r>
      <w:r w:rsidRPr="00451679">
        <w:rPr>
          <w:rtl/>
        </w:rPr>
        <w:t>–</w:t>
      </w:r>
      <w:r w:rsidRPr="00451679">
        <w:rPr>
          <w:rFonts w:hint="cs"/>
          <w:rtl/>
        </w:rPr>
        <w:t xml:space="preserve"> إذا ما استمر ذلك العدد في الانخفاض </w:t>
      </w:r>
      <w:r w:rsidRPr="00451679">
        <w:rPr>
          <w:rtl/>
        </w:rPr>
        <w:t>–</w:t>
      </w:r>
      <w:r w:rsidRPr="00451679">
        <w:rPr>
          <w:rFonts w:hint="cs"/>
          <w:rtl/>
        </w:rPr>
        <w:t>عرض هذه القضية على لجنة المعايير كي تنظر فيها وتصدر قرارا بشأنها في دورتها القادمة في عام</w:t>
      </w:r>
      <w:r w:rsidRPr="00451679">
        <w:rPr>
          <w:rFonts w:hint="eastAsia"/>
          <w:rtl/>
        </w:rPr>
        <w:t> </w:t>
      </w:r>
      <w:r w:rsidRPr="00451679">
        <w:rPr>
          <w:rFonts w:hint="cs"/>
          <w:rtl/>
        </w:rPr>
        <w:t>2018.</w:t>
      </w:r>
    </w:p>
    <w:p w:rsidR="00466016" w:rsidRPr="00536657" w:rsidRDefault="00466016" w:rsidP="00456685">
      <w:pPr>
        <w:pStyle w:val="Heading3"/>
        <w:spacing w:before="0" w:after="120"/>
        <w:rPr>
          <w:lang w:val="en-US"/>
        </w:rPr>
      </w:pPr>
      <w:r w:rsidRPr="00451679">
        <w:rPr>
          <w:rFonts w:hint="cs"/>
          <w:rtl/>
        </w:rPr>
        <w:t>البند 22</w:t>
      </w:r>
      <w:r w:rsidR="009249C5" w:rsidRPr="00451679">
        <w:rPr>
          <w:rFonts w:hint="cs"/>
          <w:rtl/>
        </w:rPr>
        <w:t xml:space="preserve"> من جدول الأعمال:</w:t>
      </w:r>
      <w:r w:rsidRPr="00451679">
        <w:rPr>
          <w:rFonts w:hint="cs"/>
          <w:rtl/>
        </w:rPr>
        <w:t xml:space="preserve"> </w:t>
      </w:r>
      <w:r w:rsidR="009249C5" w:rsidRPr="00451679">
        <w:rPr>
          <w:rFonts w:hint="cs"/>
          <w:rtl/>
        </w:rPr>
        <w:t>تقرير المكتب الدولي عن تقديم المشورة والمساعدة التقنيتين من أجل تكوين كفاءات مكاتب الملكية الصناعية بناء على ولاية اللجنة</w:t>
      </w:r>
    </w:p>
    <w:p w:rsidR="00473873" w:rsidRPr="00451679" w:rsidRDefault="0071525E" w:rsidP="0071525E">
      <w:pPr>
        <w:pStyle w:val="NumberedParaAR"/>
        <w:numPr>
          <w:ilvl w:val="0"/>
          <w:numId w:val="23"/>
        </w:numPr>
      </w:pPr>
      <w:r w:rsidRPr="00451679">
        <w:rPr>
          <w:rFonts w:hint="cs"/>
          <w:rtl/>
        </w:rPr>
        <w:t>أحاطت لجنة المعايير علما بالتقرير الذي قدمه المكتب الدولي عن الأنشطة التي اضطلع بها في عام</w:t>
      </w:r>
      <w:r w:rsidRPr="00451679">
        <w:rPr>
          <w:rFonts w:hint="eastAsia"/>
          <w:rtl/>
        </w:rPr>
        <w:t> </w:t>
      </w:r>
      <w:r w:rsidRPr="00451679">
        <w:rPr>
          <w:rFonts w:hint="cs"/>
          <w:rtl/>
        </w:rPr>
        <w:t>2016 والمتعلقة بتقديم المشورة والمساعدة التقنيتين من أجل تكوين كفاءات مكاتب الملكية الصناعية، وبتعميم المعلومات الخاصة بمعايير الملكية الفكرية، على النحو الواردة في الوثيقة</w:t>
      </w:r>
      <w:r w:rsidRPr="00451679">
        <w:rPr>
          <w:rFonts w:hint="eastAsia"/>
          <w:rtl/>
        </w:rPr>
        <w:t> </w:t>
      </w:r>
      <w:r w:rsidRPr="00451679">
        <w:t>CWS/5/19</w:t>
      </w:r>
      <w:r w:rsidRPr="00451679">
        <w:rPr>
          <w:rFonts w:hint="cs"/>
          <w:rtl/>
        </w:rPr>
        <w:t>. وستكون تلك الوثيقة الأساس الذي يُستند إليه لإعداد التقرير المزمع عرضه على الجمعية العامة للويبو التي ستُعقد في أكتوبر</w:t>
      </w:r>
      <w:r w:rsidRPr="00451679">
        <w:rPr>
          <w:rFonts w:hint="eastAsia"/>
          <w:rtl/>
        </w:rPr>
        <w:t> </w:t>
      </w:r>
      <w:r w:rsidRPr="00451679">
        <w:rPr>
          <w:rFonts w:hint="cs"/>
          <w:rtl/>
        </w:rPr>
        <w:t>2017.</w:t>
      </w:r>
    </w:p>
    <w:p w:rsidR="00466016" w:rsidRPr="00536657" w:rsidRDefault="00466016" w:rsidP="00456685">
      <w:pPr>
        <w:pStyle w:val="Heading3"/>
        <w:spacing w:before="0" w:after="120"/>
        <w:rPr>
          <w:lang w:val="en-US"/>
        </w:rPr>
      </w:pPr>
      <w:r w:rsidRPr="00451679">
        <w:rPr>
          <w:rFonts w:hint="cs"/>
          <w:rtl/>
        </w:rPr>
        <w:t>البند 23</w:t>
      </w:r>
      <w:r w:rsidR="009249C5" w:rsidRPr="00451679">
        <w:rPr>
          <w:rFonts w:hint="cs"/>
          <w:rtl/>
        </w:rPr>
        <w:t xml:space="preserve"> من جدول الأعمال: النظر في</w:t>
      </w:r>
      <w:r w:rsidR="009249C5" w:rsidRPr="00536657">
        <w:rPr>
          <w:lang w:val="en-US"/>
        </w:rPr>
        <w:t xml:space="preserve"> </w:t>
      </w:r>
      <w:r w:rsidR="009249C5" w:rsidRPr="00451679">
        <w:rPr>
          <w:rFonts w:hint="cs"/>
          <w:rtl/>
        </w:rPr>
        <w:t>برنامج عمل اللجنة وقائمة مهامها</w:t>
      </w:r>
    </w:p>
    <w:p w:rsidR="0071525E" w:rsidRPr="00451679" w:rsidRDefault="0071525E" w:rsidP="0071525E">
      <w:pPr>
        <w:pStyle w:val="NumberedParaAR"/>
        <w:numPr>
          <w:ilvl w:val="0"/>
          <w:numId w:val="23"/>
        </w:numPr>
      </w:pPr>
      <w:r w:rsidRPr="00451679">
        <w:rPr>
          <w:rFonts w:hint="cs"/>
          <w:rtl/>
        </w:rPr>
        <w:t xml:space="preserve">نظرت </w:t>
      </w:r>
      <w:r w:rsidR="00466016" w:rsidRPr="00451679">
        <w:rPr>
          <w:rFonts w:hint="cs"/>
          <w:rtl/>
        </w:rPr>
        <w:t xml:space="preserve">لجنة </w:t>
      </w:r>
      <w:r w:rsidRPr="00451679">
        <w:rPr>
          <w:rFonts w:hint="cs"/>
          <w:rtl/>
        </w:rPr>
        <w:t xml:space="preserve">المعايير </w:t>
      </w:r>
      <w:r w:rsidR="00466016" w:rsidRPr="00451679">
        <w:rPr>
          <w:rFonts w:hint="cs"/>
          <w:rtl/>
        </w:rPr>
        <w:t>في قائمة المهام الواردة في مرفق الوثيقة</w:t>
      </w:r>
      <w:r w:rsidRPr="00451679">
        <w:rPr>
          <w:rFonts w:hint="eastAsia"/>
          <w:rtl/>
        </w:rPr>
        <w:t> </w:t>
      </w:r>
      <w:r w:rsidRPr="00451679">
        <w:t>CWS/5/20</w:t>
      </w:r>
      <w:r w:rsidRPr="00451679">
        <w:rPr>
          <w:rFonts w:hint="cs"/>
          <w:rtl/>
          <w:lang w:bidi="ar-EG"/>
        </w:rPr>
        <w:t xml:space="preserve"> واتفقت على صيغتها النهائية ل</w:t>
      </w:r>
      <w:r w:rsidR="00466016" w:rsidRPr="00451679">
        <w:rPr>
          <w:rFonts w:hint="cs"/>
          <w:rtl/>
          <w:lang w:bidi="ar-EG"/>
        </w:rPr>
        <w:t>إدراجها ضمن برنامج عمل</w:t>
      </w:r>
      <w:r w:rsidRPr="00451679">
        <w:rPr>
          <w:rFonts w:hint="cs"/>
          <w:rtl/>
          <w:lang w:bidi="ar-EG"/>
        </w:rPr>
        <w:t>ها.</w:t>
      </w:r>
    </w:p>
    <w:p w:rsidR="00FD36D7" w:rsidRPr="00451679" w:rsidRDefault="00FD36D7" w:rsidP="00FD36D7">
      <w:pPr>
        <w:pStyle w:val="NumberedParaAR"/>
        <w:numPr>
          <w:ilvl w:val="0"/>
          <w:numId w:val="23"/>
        </w:numPr>
      </w:pPr>
      <w:r w:rsidRPr="00451679">
        <w:rPr>
          <w:rFonts w:hint="cs"/>
          <w:rtl/>
        </w:rPr>
        <w:t xml:space="preserve">ووافقت لجنة المعايير على </w:t>
      </w:r>
      <w:r w:rsidRPr="00451679">
        <w:rPr>
          <w:rtl/>
        </w:rPr>
        <w:t xml:space="preserve">العرض </w:t>
      </w:r>
      <w:r w:rsidRPr="00451679">
        <w:rPr>
          <w:rFonts w:hint="cs"/>
          <w:rtl/>
        </w:rPr>
        <w:t>الموجز</w:t>
      </w:r>
      <w:r w:rsidRPr="00451679">
        <w:rPr>
          <w:rtl/>
        </w:rPr>
        <w:t xml:space="preserve"> لبرنامج عمل</w:t>
      </w:r>
      <w:r w:rsidRPr="00451679">
        <w:rPr>
          <w:rFonts w:hint="cs"/>
          <w:rtl/>
        </w:rPr>
        <w:t xml:space="preserve">ها المُقدم من الأمانة؛ والتمست من الأمانة أن تنشر الصيغة الكاملة لذلك العرض الموجز </w:t>
      </w:r>
      <w:r w:rsidRPr="00451679">
        <w:rPr>
          <w:rtl/>
        </w:rPr>
        <w:t>على موقع الويبو الإلكتروني.</w:t>
      </w:r>
    </w:p>
    <w:p w:rsidR="00466016" w:rsidRPr="00451679" w:rsidRDefault="00466016" w:rsidP="00456685">
      <w:pPr>
        <w:pStyle w:val="Heading3"/>
        <w:spacing w:before="0" w:after="120"/>
        <w:rPr>
          <w:rtl/>
        </w:rPr>
      </w:pPr>
      <w:r w:rsidRPr="00451679">
        <w:rPr>
          <w:rFonts w:hint="cs"/>
          <w:rtl/>
        </w:rPr>
        <w:t xml:space="preserve">البند </w:t>
      </w:r>
      <w:r w:rsidR="00B04F25" w:rsidRPr="00451679">
        <w:rPr>
          <w:rFonts w:hint="cs"/>
          <w:rtl/>
        </w:rPr>
        <w:t xml:space="preserve">24 من جدول الأعمال: </w:t>
      </w:r>
      <w:r w:rsidRPr="00451679">
        <w:rPr>
          <w:rFonts w:hint="cs"/>
          <w:rtl/>
        </w:rPr>
        <w:t>ملخص الرئيس</w:t>
      </w:r>
    </w:p>
    <w:p w:rsidR="00466016" w:rsidRPr="00451679" w:rsidRDefault="00466016" w:rsidP="00FD36D7">
      <w:pPr>
        <w:pStyle w:val="NumberedParaAR"/>
        <w:numPr>
          <w:ilvl w:val="0"/>
          <w:numId w:val="23"/>
        </w:numPr>
      </w:pPr>
      <w:r w:rsidRPr="00451679">
        <w:rPr>
          <w:rFonts w:hint="cs"/>
          <w:rtl/>
        </w:rPr>
        <w:t>أع</w:t>
      </w:r>
      <w:r w:rsidR="00AB5ADE">
        <w:rPr>
          <w:rFonts w:hint="cs"/>
          <w:rtl/>
        </w:rPr>
        <w:t>ِدّ ملخص الرئيس ووزِّ</w:t>
      </w:r>
      <w:r w:rsidRPr="00451679">
        <w:rPr>
          <w:rFonts w:hint="cs"/>
          <w:rtl/>
        </w:rPr>
        <w:t xml:space="preserve">ع للاطلاع عليه. وأحاطت </w:t>
      </w:r>
      <w:r w:rsidR="00FD36D7" w:rsidRPr="00451679">
        <w:rPr>
          <w:rFonts w:hint="cs"/>
          <w:rtl/>
        </w:rPr>
        <w:t>لجنة المعايير</w:t>
      </w:r>
      <w:r w:rsidRPr="00451679">
        <w:rPr>
          <w:rFonts w:hint="cs"/>
          <w:rtl/>
        </w:rPr>
        <w:t xml:space="preserve"> علما بملخص الرئيس.</w:t>
      </w:r>
    </w:p>
    <w:p w:rsidR="00466016" w:rsidRPr="00451679" w:rsidRDefault="00466016" w:rsidP="00456685">
      <w:pPr>
        <w:pStyle w:val="Heading3"/>
        <w:spacing w:before="0" w:after="120"/>
        <w:rPr>
          <w:rtl/>
        </w:rPr>
      </w:pPr>
      <w:r w:rsidRPr="00451679">
        <w:rPr>
          <w:rFonts w:hint="cs"/>
          <w:rtl/>
        </w:rPr>
        <w:t xml:space="preserve">البند </w:t>
      </w:r>
      <w:r w:rsidR="00B04F25" w:rsidRPr="00451679">
        <w:rPr>
          <w:rFonts w:hint="cs"/>
          <w:rtl/>
        </w:rPr>
        <w:t xml:space="preserve">25 من جدول الأعمال: </w:t>
      </w:r>
      <w:r w:rsidRPr="00451679">
        <w:rPr>
          <w:rFonts w:hint="cs"/>
          <w:rtl/>
        </w:rPr>
        <w:t>اخ</w:t>
      </w:r>
      <w:bookmarkStart w:id="2" w:name="_GoBack"/>
      <w:bookmarkEnd w:id="2"/>
      <w:r w:rsidRPr="00451679">
        <w:rPr>
          <w:rFonts w:hint="cs"/>
          <w:rtl/>
        </w:rPr>
        <w:t>تتام الدورة</w:t>
      </w:r>
    </w:p>
    <w:p w:rsidR="00FD36D7" w:rsidRPr="00451679" w:rsidRDefault="00FD36D7" w:rsidP="00466016">
      <w:pPr>
        <w:pStyle w:val="NumberedParaAR"/>
        <w:numPr>
          <w:ilvl w:val="0"/>
          <w:numId w:val="23"/>
        </w:numPr>
      </w:pPr>
      <w:r w:rsidRPr="00451679">
        <w:rPr>
          <w:rFonts w:hint="cs"/>
          <w:rtl/>
        </w:rPr>
        <w:t>اختتم</w:t>
      </w:r>
      <w:r w:rsidR="00AB5ADE">
        <w:rPr>
          <w:rFonts w:hint="cs"/>
          <w:rtl/>
        </w:rPr>
        <w:t>ت</w:t>
      </w:r>
      <w:r w:rsidRPr="00451679">
        <w:rPr>
          <w:rFonts w:hint="cs"/>
          <w:rtl/>
        </w:rPr>
        <w:t xml:space="preserve"> الرئيس</w:t>
      </w:r>
      <w:r w:rsidR="00AB5ADE">
        <w:rPr>
          <w:rFonts w:hint="cs"/>
          <w:rtl/>
        </w:rPr>
        <w:t>ة</w:t>
      </w:r>
      <w:r w:rsidRPr="00451679">
        <w:rPr>
          <w:rFonts w:hint="cs"/>
          <w:rtl/>
        </w:rPr>
        <w:t xml:space="preserve"> الاجتماع في 2 يونيو 2017.</w:t>
      </w:r>
    </w:p>
    <w:p w:rsidR="00FD36D7" w:rsidRPr="00536657" w:rsidRDefault="00FD36D7" w:rsidP="00FD36D7">
      <w:pPr>
        <w:pStyle w:val="Heading3"/>
        <w:spacing w:before="0" w:after="120"/>
        <w:rPr>
          <w:sz w:val="40"/>
          <w:szCs w:val="40"/>
          <w:u w:val="none"/>
          <w:lang w:val="en-US"/>
        </w:rPr>
      </w:pPr>
      <w:r w:rsidRPr="00ED5B3F">
        <w:rPr>
          <w:rFonts w:hint="cs"/>
          <w:sz w:val="40"/>
          <w:szCs w:val="40"/>
          <w:u w:val="none"/>
          <w:rtl/>
        </w:rPr>
        <w:t>اجتماع فرق العمل التابعة للجنة المعايير</w:t>
      </w:r>
    </w:p>
    <w:p w:rsidR="00466016" w:rsidRPr="00451679" w:rsidRDefault="00466016" w:rsidP="009219E9">
      <w:pPr>
        <w:pStyle w:val="NumberedParaAR"/>
        <w:numPr>
          <w:ilvl w:val="0"/>
          <w:numId w:val="23"/>
        </w:numPr>
        <w:spacing w:after="0"/>
      </w:pPr>
      <w:r w:rsidRPr="00451679">
        <w:rPr>
          <w:rFonts w:hint="cs"/>
          <w:rtl/>
        </w:rPr>
        <w:t>خ</w:t>
      </w:r>
      <w:r w:rsidRPr="00451679">
        <w:rPr>
          <w:rtl/>
        </w:rPr>
        <w:t>لال هذه الدورة، عقدت فرق العمل التالية اجتماعات غير رسمية: فرقة العمل المعنية بالوضع القانوني</w:t>
      </w:r>
      <w:r w:rsidRPr="00451679">
        <w:rPr>
          <w:rFonts w:hint="cs"/>
          <w:rtl/>
        </w:rPr>
        <w:t xml:space="preserve"> و</w:t>
      </w:r>
      <w:r w:rsidRPr="00451679">
        <w:rPr>
          <w:rtl/>
        </w:rPr>
        <w:t>فرقة العمل المعنية</w:t>
      </w:r>
      <w:r w:rsidR="00451679" w:rsidRPr="00451679">
        <w:rPr>
          <w:rFonts w:hint="cs"/>
          <w:rtl/>
        </w:rPr>
        <w:t xml:space="preserve"> بقوائم التسلسل وفرقة عمل </w:t>
      </w:r>
      <w:r w:rsidR="00451679" w:rsidRPr="00451679">
        <w:t>XML4IP</w:t>
      </w:r>
      <w:r w:rsidR="00451679" w:rsidRPr="00451679">
        <w:rPr>
          <w:rFonts w:hint="cs"/>
          <w:rtl/>
        </w:rPr>
        <w:t xml:space="preserve"> وفرقة العمل المعنية بملف الإدارة.</w:t>
      </w:r>
    </w:p>
    <w:p w:rsidR="009219E9" w:rsidRDefault="009219E9" w:rsidP="009219E9">
      <w:pPr>
        <w:pStyle w:val="EndofDocumentAR"/>
        <w:spacing w:after="0"/>
        <w:rPr>
          <w:lang w:val="fr-FR"/>
        </w:rPr>
      </w:pPr>
    </w:p>
    <w:p w:rsidR="009219E9" w:rsidRDefault="009219E9" w:rsidP="009219E9">
      <w:pPr>
        <w:pStyle w:val="EndofDocumentAR"/>
        <w:spacing w:after="0"/>
        <w:rPr>
          <w:lang w:val="fr-FR"/>
        </w:rPr>
      </w:pPr>
    </w:p>
    <w:p w:rsidR="00466016" w:rsidRDefault="00466016" w:rsidP="009219E9">
      <w:pPr>
        <w:pStyle w:val="EndofDocumentAR"/>
        <w:spacing w:after="0"/>
      </w:pPr>
      <w:r w:rsidRPr="00451679">
        <w:rPr>
          <w:rFonts w:hint="cs"/>
          <w:rtl/>
        </w:rPr>
        <w:t>[نهاية الوثيقة]</w:t>
      </w:r>
    </w:p>
    <w:sectPr w:rsidR="00466016" w:rsidSect="00E90651">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8FE" w:rsidRDefault="008A58FE">
      <w:r>
        <w:separator/>
      </w:r>
    </w:p>
  </w:endnote>
  <w:endnote w:type="continuationSeparator" w:id="0">
    <w:p w:rsidR="008A58FE" w:rsidRDefault="008A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8FE" w:rsidRDefault="008A58FE" w:rsidP="009622BF">
      <w:pPr>
        <w:bidi/>
      </w:pPr>
      <w:bookmarkStart w:id="0" w:name="OLE_LINK1"/>
      <w:bookmarkStart w:id="1" w:name="OLE_LINK2"/>
      <w:r>
        <w:separator/>
      </w:r>
      <w:bookmarkEnd w:id="0"/>
      <w:bookmarkEnd w:id="1"/>
    </w:p>
  </w:footnote>
  <w:footnote w:type="continuationSeparator" w:id="0">
    <w:p w:rsidR="008A58FE" w:rsidRDefault="008A58FE" w:rsidP="009622BF">
      <w:pPr>
        <w:bidi/>
      </w:pPr>
      <w:r>
        <w:separator/>
      </w:r>
    </w:p>
  </w:footnote>
  <w:footnote w:id="1">
    <w:p w:rsidR="00466016" w:rsidRDefault="00466016" w:rsidP="002C5AFB">
      <w:pPr>
        <w:pStyle w:val="FootnoteText"/>
      </w:pPr>
      <w:r>
        <w:rPr>
          <w:rStyle w:val="FootnoteReference"/>
        </w:rPr>
        <w:footnoteRef/>
      </w:r>
      <w:r>
        <w:rPr>
          <w:rFonts w:hint="cs"/>
          <w:rtl/>
        </w:rPr>
        <w:tab/>
        <w:t xml:space="preserve">لا يخلّ </w:t>
      </w:r>
      <w:r w:rsidRPr="00CF124D">
        <w:rPr>
          <w:rFonts w:hint="cs"/>
          <w:rtl/>
        </w:rPr>
        <w:t xml:space="preserve">هذا البند من جدول الأعمال </w:t>
      </w:r>
      <w:r>
        <w:rPr>
          <w:rFonts w:hint="cs"/>
          <w:rtl/>
        </w:rPr>
        <w:t>ب</w:t>
      </w:r>
      <w:r w:rsidRPr="00CF124D">
        <w:rPr>
          <w:rFonts w:hint="cs"/>
          <w:rtl/>
        </w:rPr>
        <w:t xml:space="preserve">مواقف الأعضاء </w:t>
      </w:r>
      <w:r w:rsidR="002C5AFB">
        <w:rPr>
          <w:rFonts w:hint="cs"/>
          <w:rtl/>
        </w:rPr>
        <w:t>فيما يخص مدى وجاهة لجنة المعايير بالنسب</w:t>
      </w:r>
      <w:r>
        <w:rPr>
          <w:rFonts w:hint="cs"/>
          <w:rtl/>
        </w:rPr>
        <w:t>ة لآلية تنسيق أجندة</w:t>
      </w:r>
      <w:r w:rsidRPr="00CF124D">
        <w:rPr>
          <w:rFonts w:hint="cs"/>
          <w:rtl/>
        </w:rPr>
        <w:t xml:space="preserve"> التنمية.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CD" w:rsidRDefault="00A46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69" w:rsidRDefault="00347A69" w:rsidP="00C2761A">
    <w:r>
      <w:t>CWS/5/21</w:t>
    </w:r>
  </w:p>
  <w:p w:rsidR="00347A69" w:rsidRDefault="00347A69" w:rsidP="00D61541">
    <w:pPr>
      <w:rPr>
        <w:noProof/>
      </w:rPr>
    </w:pPr>
    <w:r>
      <w:fldChar w:fldCharType="begin"/>
    </w:r>
    <w:r>
      <w:instrText xml:space="preserve"> PAGE   \* MERGEFORMAT </w:instrText>
    </w:r>
    <w:r>
      <w:fldChar w:fldCharType="separate"/>
    </w:r>
    <w:r w:rsidR="009219E9">
      <w:rPr>
        <w:noProof/>
      </w:rPr>
      <w:t>3</w:t>
    </w:r>
    <w:r>
      <w:rPr>
        <w:noProof/>
      </w:rPr>
      <w:fldChar w:fldCharType="end"/>
    </w:r>
  </w:p>
  <w:p w:rsidR="00347A69" w:rsidRDefault="00347A6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CD" w:rsidRDefault="00A46C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FE" w:rsidRPr="00EC2BFE" w:rsidRDefault="00EC2BFE" w:rsidP="00EC2BFE">
    <w:pPr>
      <w:pStyle w:val="Header"/>
    </w:pPr>
    <w:r w:rsidRPr="00EC2BFE">
      <w:t>CWS/5/21</w:t>
    </w:r>
  </w:p>
  <w:p w:rsidR="00A46CCD" w:rsidRDefault="00EC2BFE">
    <w:pPr>
      <w:pStyle w:val="Header"/>
    </w:pPr>
    <w:r>
      <w:fldChar w:fldCharType="begin"/>
    </w:r>
    <w:r>
      <w:instrText xml:space="preserve"> PAGE   \* MERGEFORMAT </w:instrText>
    </w:r>
    <w:r>
      <w:fldChar w:fldCharType="separate"/>
    </w:r>
    <w:r w:rsidR="009219E9">
      <w:rPr>
        <w:noProof/>
      </w:rPr>
      <w:t>2</w:t>
    </w:r>
    <w:r>
      <w:rPr>
        <w:noProof/>
      </w:rPr>
      <w:fldChar w:fldCharType="end"/>
    </w:r>
  </w:p>
  <w:p w:rsidR="00EC2BFE" w:rsidRDefault="00EC2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3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662"/>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1A"/>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634"/>
    <w:rsid w:val="00123F16"/>
    <w:rsid w:val="0012405D"/>
    <w:rsid w:val="001252B1"/>
    <w:rsid w:val="00126897"/>
    <w:rsid w:val="0012696D"/>
    <w:rsid w:val="00130A05"/>
    <w:rsid w:val="00130FC9"/>
    <w:rsid w:val="001310EE"/>
    <w:rsid w:val="0013191A"/>
    <w:rsid w:val="00131E8F"/>
    <w:rsid w:val="00135C24"/>
    <w:rsid w:val="00136389"/>
    <w:rsid w:val="00136647"/>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B43"/>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5E7"/>
    <w:rsid w:val="001A4A9C"/>
    <w:rsid w:val="001A6B88"/>
    <w:rsid w:val="001A6C33"/>
    <w:rsid w:val="001A6E68"/>
    <w:rsid w:val="001B3131"/>
    <w:rsid w:val="001B385B"/>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388"/>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0153"/>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4EE7"/>
    <w:rsid w:val="00286744"/>
    <w:rsid w:val="00287A95"/>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5AFB"/>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83B"/>
    <w:rsid w:val="00314E12"/>
    <w:rsid w:val="003166A5"/>
    <w:rsid w:val="00316C8C"/>
    <w:rsid w:val="00316F44"/>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47A69"/>
    <w:rsid w:val="003501DA"/>
    <w:rsid w:val="003503E2"/>
    <w:rsid w:val="00351DC1"/>
    <w:rsid w:val="003534EE"/>
    <w:rsid w:val="003600A2"/>
    <w:rsid w:val="003612D8"/>
    <w:rsid w:val="003635B8"/>
    <w:rsid w:val="003637B6"/>
    <w:rsid w:val="00363F89"/>
    <w:rsid w:val="00363FB0"/>
    <w:rsid w:val="003646D6"/>
    <w:rsid w:val="00364AC2"/>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F30"/>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3EB2"/>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2A5A"/>
    <w:rsid w:val="00424BB4"/>
    <w:rsid w:val="004258CD"/>
    <w:rsid w:val="004261D2"/>
    <w:rsid w:val="004303D1"/>
    <w:rsid w:val="00433C0A"/>
    <w:rsid w:val="004349FA"/>
    <w:rsid w:val="004369EE"/>
    <w:rsid w:val="0043782F"/>
    <w:rsid w:val="004406BD"/>
    <w:rsid w:val="00442FBE"/>
    <w:rsid w:val="004433B1"/>
    <w:rsid w:val="00443571"/>
    <w:rsid w:val="004444E3"/>
    <w:rsid w:val="004447FD"/>
    <w:rsid w:val="00445032"/>
    <w:rsid w:val="004450CB"/>
    <w:rsid w:val="004459C3"/>
    <w:rsid w:val="00446967"/>
    <w:rsid w:val="00446AB6"/>
    <w:rsid w:val="00450EEE"/>
    <w:rsid w:val="004512B2"/>
    <w:rsid w:val="00451679"/>
    <w:rsid w:val="004528EE"/>
    <w:rsid w:val="00453360"/>
    <w:rsid w:val="00456409"/>
    <w:rsid w:val="00456685"/>
    <w:rsid w:val="004569C6"/>
    <w:rsid w:val="00456ADC"/>
    <w:rsid w:val="0045768F"/>
    <w:rsid w:val="00457769"/>
    <w:rsid w:val="004627AE"/>
    <w:rsid w:val="0046298E"/>
    <w:rsid w:val="004647BB"/>
    <w:rsid w:val="0046482B"/>
    <w:rsid w:val="004648E0"/>
    <w:rsid w:val="00466016"/>
    <w:rsid w:val="00471C26"/>
    <w:rsid w:val="00472043"/>
    <w:rsid w:val="00472059"/>
    <w:rsid w:val="00472F56"/>
    <w:rsid w:val="0047335E"/>
    <w:rsid w:val="00473873"/>
    <w:rsid w:val="00473CA1"/>
    <w:rsid w:val="0047572C"/>
    <w:rsid w:val="004759A9"/>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3B50"/>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47F"/>
    <w:rsid w:val="004E3DD4"/>
    <w:rsid w:val="004E54E4"/>
    <w:rsid w:val="004E5C1A"/>
    <w:rsid w:val="004E6C8C"/>
    <w:rsid w:val="004E6CC7"/>
    <w:rsid w:val="004E776F"/>
    <w:rsid w:val="004F111D"/>
    <w:rsid w:val="004F1843"/>
    <w:rsid w:val="004F1EEC"/>
    <w:rsid w:val="004F2286"/>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657"/>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445"/>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60A"/>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C7F"/>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2E80"/>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1266"/>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60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836"/>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CAA"/>
    <w:rsid w:val="00675E37"/>
    <w:rsid w:val="0067663E"/>
    <w:rsid w:val="00676EAF"/>
    <w:rsid w:val="00677850"/>
    <w:rsid w:val="00680657"/>
    <w:rsid w:val="00680BD9"/>
    <w:rsid w:val="00681B4A"/>
    <w:rsid w:val="00681D07"/>
    <w:rsid w:val="00681EDA"/>
    <w:rsid w:val="00682017"/>
    <w:rsid w:val="00682AAD"/>
    <w:rsid w:val="00684E84"/>
    <w:rsid w:val="006868CA"/>
    <w:rsid w:val="00686E32"/>
    <w:rsid w:val="0069087A"/>
    <w:rsid w:val="00690B4B"/>
    <w:rsid w:val="00690BE4"/>
    <w:rsid w:val="00691077"/>
    <w:rsid w:val="00691982"/>
    <w:rsid w:val="00691BB0"/>
    <w:rsid w:val="00692777"/>
    <w:rsid w:val="00692B29"/>
    <w:rsid w:val="00692BE0"/>
    <w:rsid w:val="00692C98"/>
    <w:rsid w:val="0069324E"/>
    <w:rsid w:val="00694487"/>
    <w:rsid w:val="00695815"/>
    <w:rsid w:val="0069581B"/>
    <w:rsid w:val="00696601"/>
    <w:rsid w:val="006977FA"/>
    <w:rsid w:val="006A20FB"/>
    <w:rsid w:val="006A339D"/>
    <w:rsid w:val="006A4462"/>
    <w:rsid w:val="006A52F6"/>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08A6"/>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25E"/>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B97"/>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2A6"/>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48E"/>
    <w:rsid w:val="00787917"/>
    <w:rsid w:val="00791489"/>
    <w:rsid w:val="007915BE"/>
    <w:rsid w:val="00791683"/>
    <w:rsid w:val="00792F0C"/>
    <w:rsid w:val="0079335F"/>
    <w:rsid w:val="00795460"/>
    <w:rsid w:val="00796921"/>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BE0"/>
    <w:rsid w:val="008114CF"/>
    <w:rsid w:val="008117CC"/>
    <w:rsid w:val="00811AB3"/>
    <w:rsid w:val="0081421D"/>
    <w:rsid w:val="00814ADB"/>
    <w:rsid w:val="00815C5D"/>
    <w:rsid w:val="0081618F"/>
    <w:rsid w:val="008168B0"/>
    <w:rsid w:val="00816A22"/>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8FE"/>
    <w:rsid w:val="008A6861"/>
    <w:rsid w:val="008A7522"/>
    <w:rsid w:val="008A783D"/>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13F"/>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9E9"/>
    <w:rsid w:val="00921BB8"/>
    <w:rsid w:val="00921D28"/>
    <w:rsid w:val="00922034"/>
    <w:rsid w:val="0092266C"/>
    <w:rsid w:val="009241E8"/>
    <w:rsid w:val="009249C5"/>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BE1"/>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302"/>
    <w:rsid w:val="00984ADD"/>
    <w:rsid w:val="00984E04"/>
    <w:rsid w:val="00985410"/>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A07"/>
    <w:rsid w:val="009B010D"/>
    <w:rsid w:val="009B0AAB"/>
    <w:rsid w:val="009B0D3E"/>
    <w:rsid w:val="009B2AD1"/>
    <w:rsid w:val="009B3224"/>
    <w:rsid w:val="009B3A61"/>
    <w:rsid w:val="009B528E"/>
    <w:rsid w:val="009B54FE"/>
    <w:rsid w:val="009B6F85"/>
    <w:rsid w:val="009B77DD"/>
    <w:rsid w:val="009C0CED"/>
    <w:rsid w:val="009C13BF"/>
    <w:rsid w:val="009C2943"/>
    <w:rsid w:val="009C46F5"/>
    <w:rsid w:val="009C4B2C"/>
    <w:rsid w:val="009C4CB3"/>
    <w:rsid w:val="009C4F15"/>
    <w:rsid w:val="009C511C"/>
    <w:rsid w:val="009C5416"/>
    <w:rsid w:val="009C587B"/>
    <w:rsid w:val="009C5DCE"/>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76"/>
    <w:rsid w:val="00A26FFF"/>
    <w:rsid w:val="00A316EC"/>
    <w:rsid w:val="00A31804"/>
    <w:rsid w:val="00A318AE"/>
    <w:rsid w:val="00A318C5"/>
    <w:rsid w:val="00A320BA"/>
    <w:rsid w:val="00A32283"/>
    <w:rsid w:val="00A32342"/>
    <w:rsid w:val="00A325EC"/>
    <w:rsid w:val="00A32B81"/>
    <w:rsid w:val="00A337E5"/>
    <w:rsid w:val="00A3658D"/>
    <w:rsid w:val="00A36E51"/>
    <w:rsid w:val="00A3755F"/>
    <w:rsid w:val="00A377C5"/>
    <w:rsid w:val="00A37B2E"/>
    <w:rsid w:val="00A37D45"/>
    <w:rsid w:val="00A401FD"/>
    <w:rsid w:val="00A40558"/>
    <w:rsid w:val="00A40AF2"/>
    <w:rsid w:val="00A411DC"/>
    <w:rsid w:val="00A43904"/>
    <w:rsid w:val="00A4582E"/>
    <w:rsid w:val="00A45BD2"/>
    <w:rsid w:val="00A45DFA"/>
    <w:rsid w:val="00A46A1E"/>
    <w:rsid w:val="00A46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CB3"/>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1FFA"/>
    <w:rsid w:val="00AA291C"/>
    <w:rsid w:val="00AA2D6A"/>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ADE"/>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F25"/>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4D8B"/>
    <w:rsid w:val="00B672E3"/>
    <w:rsid w:val="00B675F9"/>
    <w:rsid w:val="00B70849"/>
    <w:rsid w:val="00B72C1C"/>
    <w:rsid w:val="00B73BB7"/>
    <w:rsid w:val="00B742BA"/>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38"/>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305D"/>
    <w:rsid w:val="00C75139"/>
    <w:rsid w:val="00C7525C"/>
    <w:rsid w:val="00C76CF7"/>
    <w:rsid w:val="00C83A4C"/>
    <w:rsid w:val="00C8533B"/>
    <w:rsid w:val="00C858BA"/>
    <w:rsid w:val="00C86977"/>
    <w:rsid w:val="00C904B9"/>
    <w:rsid w:val="00C916C8"/>
    <w:rsid w:val="00C9398D"/>
    <w:rsid w:val="00C939EE"/>
    <w:rsid w:val="00C93C6E"/>
    <w:rsid w:val="00C93F93"/>
    <w:rsid w:val="00C94D44"/>
    <w:rsid w:val="00C95EEE"/>
    <w:rsid w:val="00C974CB"/>
    <w:rsid w:val="00C97929"/>
    <w:rsid w:val="00CA0049"/>
    <w:rsid w:val="00CA0156"/>
    <w:rsid w:val="00CA0980"/>
    <w:rsid w:val="00CA24A4"/>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5F1C"/>
    <w:rsid w:val="00CC7426"/>
    <w:rsid w:val="00CC75E0"/>
    <w:rsid w:val="00CC7910"/>
    <w:rsid w:val="00CD0C20"/>
    <w:rsid w:val="00CD17D4"/>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724"/>
    <w:rsid w:val="00D039B5"/>
    <w:rsid w:val="00D04AA9"/>
    <w:rsid w:val="00D04F76"/>
    <w:rsid w:val="00D053D2"/>
    <w:rsid w:val="00D0624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D65"/>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4A7"/>
    <w:rsid w:val="00D52B95"/>
    <w:rsid w:val="00D5362B"/>
    <w:rsid w:val="00D53A09"/>
    <w:rsid w:val="00D54AAB"/>
    <w:rsid w:val="00D552F9"/>
    <w:rsid w:val="00D563FB"/>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1B8"/>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651"/>
    <w:rsid w:val="00E91964"/>
    <w:rsid w:val="00E91FB1"/>
    <w:rsid w:val="00E94468"/>
    <w:rsid w:val="00E94A0E"/>
    <w:rsid w:val="00E95D91"/>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979"/>
    <w:rsid w:val="00EC0C13"/>
    <w:rsid w:val="00EC148C"/>
    <w:rsid w:val="00EC2BFE"/>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B3F"/>
    <w:rsid w:val="00ED5F21"/>
    <w:rsid w:val="00ED602C"/>
    <w:rsid w:val="00ED62B5"/>
    <w:rsid w:val="00ED6DDB"/>
    <w:rsid w:val="00ED7985"/>
    <w:rsid w:val="00EE20A4"/>
    <w:rsid w:val="00EE270D"/>
    <w:rsid w:val="00EE2BD7"/>
    <w:rsid w:val="00EE3ACB"/>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8DB"/>
    <w:rsid w:val="00F00C0D"/>
    <w:rsid w:val="00F0128B"/>
    <w:rsid w:val="00F024B3"/>
    <w:rsid w:val="00F02663"/>
    <w:rsid w:val="00F03106"/>
    <w:rsid w:val="00F03369"/>
    <w:rsid w:val="00F04E62"/>
    <w:rsid w:val="00F050AA"/>
    <w:rsid w:val="00F05E6D"/>
    <w:rsid w:val="00F11800"/>
    <w:rsid w:val="00F11B61"/>
    <w:rsid w:val="00F135D6"/>
    <w:rsid w:val="00F13922"/>
    <w:rsid w:val="00F13DBC"/>
    <w:rsid w:val="00F15FCF"/>
    <w:rsid w:val="00F16613"/>
    <w:rsid w:val="00F17757"/>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301"/>
    <w:rsid w:val="00FD1E7A"/>
    <w:rsid w:val="00FD2672"/>
    <w:rsid w:val="00FD28F4"/>
    <w:rsid w:val="00FD2CE2"/>
    <w:rsid w:val="00FD36D7"/>
    <w:rsid w:val="00FD4A1E"/>
    <w:rsid w:val="00FD66A9"/>
    <w:rsid w:val="00FD6712"/>
    <w:rsid w:val="00FD6853"/>
    <w:rsid w:val="00FD6E54"/>
    <w:rsid w:val="00FD74A0"/>
    <w:rsid w:val="00FD7978"/>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0EA"/>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character" w:customStyle="1" w:styleId="Heading2Char">
    <w:name w:val="Heading 2 Char"/>
    <w:basedOn w:val="DefaultParagraphFont"/>
    <w:link w:val="Heading2"/>
    <w:rsid w:val="00466016"/>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466016"/>
    <w:rPr>
      <w:rFonts w:ascii="Arabic Typesetting" w:hAnsi="Arabic Typesetting" w:cs="Arabic Typesetting"/>
      <w:sz w:val="36"/>
      <w:szCs w:val="36"/>
      <w:u w:val="single"/>
      <w:lang w:val="fr-CH"/>
    </w:rPr>
  </w:style>
  <w:style w:type="character" w:customStyle="1" w:styleId="FootnoteTextChar">
    <w:name w:val="Footnote Text Char"/>
    <w:basedOn w:val="DefaultParagraphFont"/>
    <w:link w:val="FootnoteText"/>
    <w:semiHidden/>
    <w:rsid w:val="00466016"/>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character" w:customStyle="1" w:styleId="Heading2Char">
    <w:name w:val="Heading 2 Char"/>
    <w:basedOn w:val="DefaultParagraphFont"/>
    <w:link w:val="Heading2"/>
    <w:rsid w:val="00466016"/>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466016"/>
    <w:rPr>
      <w:rFonts w:ascii="Arabic Typesetting" w:hAnsi="Arabic Typesetting" w:cs="Arabic Typesetting"/>
      <w:sz w:val="36"/>
      <w:szCs w:val="36"/>
      <w:u w:val="single"/>
      <w:lang w:val="fr-CH"/>
    </w:rPr>
  </w:style>
  <w:style w:type="character" w:customStyle="1" w:styleId="FootnoteTextChar">
    <w:name w:val="Footnote Text Char"/>
    <w:basedOn w:val="DefaultParagraphFont"/>
    <w:link w:val="FootnoteText"/>
    <w:semiHidden/>
    <w:rsid w:val="00466016"/>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WS_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E7A14-3CA4-4435-8B30-3258257D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CWS_5_AR</Template>
  <TotalTime>8</TotalTime>
  <Pages>9</Pages>
  <Words>3072</Words>
  <Characters>16170</Characters>
  <Application>Microsoft Office Word</Application>
  <DocSecurity>0</DocSecurity>
  <Lines>317</Lines>
  <Paragraphs>130</Paragraphs>
  <ScaleCrop>false</ScaleCrop>
  <HeadingPairs>
    <vt:vector size="2" baseType="variant">
      <vt:variant>
        <vt:lpstr>Title</vt:lpstr>
      </vt:variant>
      <vt:variant>
        <vt:i4>1</vt:i4>
      </vt:variant>
    </vt:vector>
  </HeadingPairs>
  <TitlesOfParts>
    <vt:vector size="1" baseType="lpstr">
      <vt:lpstr>CWS/5/21 (Arabic)</vt:lpstr>
    </vt:vector>
  </TitlesOfParts>
  <Company>World Intellectual Property Organization</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CWS/5/21 (in Arabic)</dc:title>
  <dc:subject>Summary by the Chair</dc:subject>
  <dc:creator>WIPO</dc:creator>
  <cp:keywords>CWS</cp:keywords>
  <cp:lastModifiedBy>ZAGO Bétina</cp:lastModifiedBy>
  <cp:revision>4</cp:revision>
  <cp:lastPrinted>2017-06-08T07:20:00Z</cp:lastPrinted>
  <dcterms:created xsi:type="dcterms:W3CDTF">2017-06-08T13:05:00Z</dcterms:created>
  <dcterms:modified xsi:type="dcterms:W3CDTF">2017-06-08T13:11:00Z</dcterms:modified>
</cp:coreProperties>
</file>