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BED" w:rsidRPr="00C714DF" w:rsidRDefault="00C147AA" w:rsidP="00CC0441">
      <w:pPr>
        <w:keepNext/>
        <w:bidi/>
        <w:spacing w:after="220" w:line="360" w:lineRule="exact"/>
        <w:ind w:left="14" w:hanging="14"/>
        <w:rPr>
          <w:rFonts w:ascii="Arabic Typesetting" w:eastAsia="Arial" w:hAnsi="Arabic Typesetting" w:cs="Arabic Typesetting"/>
          <w:bCs/>
          <w:color w:val="000000"/>
          <w:sz w:val="40"/>
          <w:szCs w:val="40"/>
          <w:rtl/>
          <w:lang w:eastAsia="en-GB" w:bidi="ar-EG"/>
        </w:rPr>
      </w:pPr>
      <w:bookmarkStart w:id="2" w:name="_GoBack"/>
      <w:bookmarkEnd w:id="2"/>
      <w:r w:rsidRPr="00C714DF">
        <w:rPr>
          <w:rFonts w:ascii="Arabic Typesetting" w:eastAsia="Arial" w:hAnsi="Arabic Typesetting" w:cs="Arabic Typesetting"/>
          <w:bCs/>
          <w:color w:val="000000"/>
          <w:sz w:val="40"/>
          <w:szCs w:val="40"/>
          <w:rtl/>
          <w:lang w:eastAsia="en-GB"/>
        </w:rPr>
        <w:t>نموذج العرض الموجز لبرنامج عمل لجنة المعايير</w:t>
      </w:r>
    </w:p>
    <w:p w:rsidR="00C90BED" w:rsidRPr="00606D43" w:rsidRDefault="00ED0D3E" w:rsidP="00CC0441">
      <w:pPr>
        <w:pStyle w:val="Heading2"/>
        <w:spacing w:line="360" w:lineRule="exact"/>
        <w:rPr>
          <w:rtl/>
          <w:lang w:bidi="ar-EG"/>
        </w:rPr>
      </w:pPr>
      <w:r w:rsidRPr="00606D43">
        <w:rPr>
          <w:rFonts w:hint="cs"/>
          <w:rtl/>
        </w:rPr>
        <w:t>مقدمة</w:t>
      </w:r>
    </w:p>
    <w:p w:rsidR="00C90BED" w:rsidRPr="00C8738E" w:rsidRDefault="00606D43" w:rsidP="00CC0441">
      <w:pPr>
        <w:pStyle w:val="NormalParaAR"/>
        <w:rPr>
          <w:rtl/>
          <w:lang w:bidi="ar-EG"/>
        </w:rPr>
      </w:pPr>
      <w:r w:rsidRPr="00606D43">
        <w:rPr>
          <w:rtl/>
        </w:rPr>
        <w:t>استعرضت اللجنة المعنية بمعايير الويبو</w:t>
      </w:r>
      <w:r>
        <w:rPr>
          <w:rFonts w:hint="cs"/>
          <w:rtl/>
        </w:rPr>
        <w:t xml:space="preserve"> (لجنة المعايير)</w:t>
      </w:r>
      <w:r w:rsidRPr="00606D43">
        <w:rPr>
          <w:rtl/>
        </w:rPr>
        <w:t>، في دورتها [الخامسة]، مهام</w:t>
      </w:r>
      <w:r>
        <w:rPr>
          <w:rFonts w:hint="cs"/>
          <w:rtl/>
        </w:rPr>
        <w:t>ها</w:t>
      </w:r>
      <w:r w:rsidRPr="00606D43">
        <w:rPr>
          <w:rtl/>
        </w:rPr>
        <w:t xml:space="preserve"> الموصوفة أدناه ووافقت عليها (انظر الوثيقتين [</w:t>
      </w:r>
      <w:r w:rsidRPr="00606D43">
        <w:t>CWS/5/20</w:t>
      </w:r>
      <w:r w:rsidRPr="00606D43">
        <w:rPr>
          <w:rtl/>
        </w:rPr>
        <w:t>] و[</w:t>
      </w:r>
      <w:r w:rsidRPr="00606D43">
        <w:t>CWS/5/22</w:t>
      </w:r>
      <w:r w:rsidRPr="00606D43">
        <w:rPr>
          <w:rtl/>
        </w:rPr>
        <w:t xml:space="preserve">]). </w:t>
      </w:r>
      <w:r w:rsidR="00C8738E">
        <w:rPr>
          <w:rFonts w:hint="cs"/>
          <w:rtl/>
        </w:rPr>
        <w:t xml:space="preserve">كما </w:t>
      </w:r>
      <w:r w:rsidRPr="00606D43">
        <w:rPr>
          <w:rtl/>
        </w:rPr>
        <w:t xml:space="preserve">أنشأت لجنة </w:t>
      </w:r>
      <w:r w:rsidR="00C8738E">
        <w:rPr>
          <w:rFonts w:hint="cs"/>
          <w:rtl/>
        </w:rPr>
        <w:t xml:space="preserve">المعايير </w:t>
      </w:r>
      <w:r w:rsidRPr="00606D43">
        <w:rPr>
          <w:rtl/>
        </w:rPr>
        <w:t xml:space="preserve">فرق عمل </w:t>
      </w:r>
      <w:r w:rsidR="00C714DF">
        <w:rPr>
          <w:rFonts w:hint="cs"/>
          <w:rtl/>
        </w:rPr>
        <w:t>ل</w:t>
      </w:r>
      <w:r w:rsidR="00C8738E">
        <w:rPr>
          <w:rFonts w:hint="cs"/>
          <w:rtl/>
        </w:rPr>
        <w:t xml:space="preserve">لقيام بهذه </w:t>
      </w:r>
      <w:r w:rsidR="00C8738E" w:rsidRPr="00606D43">
        <w:rPr>
          <w:rtl/>
        </w:rPr>
        <w:t>المهام</w:t>
      </w:r>
      <w:r w:rsidRPr="00606D43">
        <w:rPr>
          <w:rtl/>
        </w:rPr>
        <w:t>. وت</w:t>
      </w:r>
      <w:r w:rsidR="00C714DF">
        <w:rPr>
          <w:rFonts w:hint="cs"/>
          <w:rtl/>
        </w:rPr>
        <w:t>وجد</w:t>
      </w:r>
      <w:r w:rsidRPr="00606D43">
        <w:rPr>
          <w:rtl/>
        </w:rPr>
        <w:t xml:space="preserve"> </w:t>
      </w:r>
      <w:r w:rsidR="00C8738E">
        <w:rPr>
          <w:rFonts w:hint="cs"/>
          <w:rtl/>
        </w:rPr>
        <w:t>قائمة ب</w:t>
      </w:r>
      <w:r w:rsidRPr="00606D43">
        <w:rPr>
          <w:rtl/>
        </w:rPr>
        <w:t xml:space="preserve">جميع فرق العمل على موقع الويبو </w:t>
      </w:r>
      <w:r w:rsidR="00C8738E">
        <w:rPr>
          <w:rFonts w:hint="cs"/>
          <w:rtl/>
        </w:rPr>
        <w:t>الإلكتروني في</w:t>
      </w:r>
      <w:r w:rsidR="00C714DF">
        <w:rPr>
          <w:rFonts w:hint="cs"/>
          <w:rtl/>
        </w:rPr>
        <w:t xml:space="preserve"> العنوان التالي</w:t>
      </w:r>
      <w:r w:rsidR="00C8738E">
        <w:rPr>
          <w:rFonts w:hint="cs"/>
          <w:rtl/>
        </w:rPr>
        <w:t>:</w:t>
      </w:r>
      <w:r w:rsidR="00C8738E">
        <w:rPr>
          <w:rFonts w:hint="cs"/>
          <w:rtl/>
          <w:lang w:bidi="ar-EG"/>
        </w:rPr>
        <w:t xml:space="preserve"> </w:t>
      </w:r>
      <w:hyperlink r:id="rId9" w:history="1">
        <w:r w:rsidR="00C8738E" w:rsidRPr="006B087D">
          <w:rPr>
            <w:rStyle w:val="Hyperlink"/>
            <w:lang w:bidi="ar-EG"/>
          </w:rPr>
          <w:t>http://www.wipo.int/cws/en/taskforce/index.html</w:t>
        </w:r>
      </w:hyperlink>
      <w:r w:rsidR="00C8738E">
        <w:rPr>
          <w:rFonts w:hint="cs"/>
          <w:rtl/>
          <w:lang w:bidi="ar-EG"/>
        </w:rPr>
        <w:t>.</w:t>
      </w:r>
    </w:p>
    <w:p w:rsidR="00C90BED" w:rsidRDefault="00C8738E" w:rsidP="00CC0441">
      <w:pPr>
        <w:pStyle w:val="NormalParaAR"/>
        <w:rPr>
          <w:rtl/>
          <w:lang w:bidi="ar-EG"/>
        </w:rPr>
      </w:pPr>
      <w:r w:rsidRPr="00C8738E">
        <w:rPr>
          <w:rtl/>
        </w:rPr>
        <w:t>ولكل فرقة عمل منتدى إلكتروني خاص بها (</w:t>
      </w:r>
      <w:r w:rsidR="00BE5073">
        <w:rPr>
          <w:rFonts w:hint="cs"/>
          <w:rtl/>
        </w:rPr>
        <w:t xml:space="preserve">صفحة </w:t>
      </w:r>
      <w:r w:rsidRPr="00C8738E">
        <w:rPr>
          <w:rtl/>
        </w:rPr>
        <w:t>ويكي) للقيام ب</w:t>
      </w:r>
      <w:r w:rsidR="00BE5073">
        <w:rPr>
          <w:rFonts w:hint="cs"/>
          <w:rtl/>
        </w:rPr>
        <w:t>ما كُلّفت به من مهمة أو أكثر</w:t>
      </w:r>
      <w:r w:rsidRPr="00C8738E">
        <w:rPr>
          <w:rtl/>
        </w:rPr>
        <w:t xml:space="preserve">؛ </w:t>
      </w:r>
      <w:r w:rsidR="00BE5073">
        <w:rPr>
          <w:rFonts w:hint="cs"/>
          <w:rtl/>
        </w:rPr>
        <w:t xml:space="preserve">ويوجد </w:t>
      </w:r>
      <w:hyperlink r:id="rId10" w:history="1">
        <w:r w:rsidR="00BE5073" w:rsidRPr="00BE5073">
          <w:rPr>
            <w:rStyle w:val="Hyperlink"/>
            <w:rFonts w:hint="cs"/>
            <w:rtl/>
          </w:rPr>
          <w:t>هنا</w:t>
        </w:r>
      </w:hyperlink>
      <w:r w:rsidR="00BE5073">
        <w:rPr>
          <w:rFonts w:hint="cs"/>
          <w:rtl/>
        </w:rPr>
        <w:t xml:space="preserve"> </w:t>
      </w:r>
      <w:r w:rsidRPr="00C8738E">
        <w:rPr>
          <w:rtl/>
        </w:rPr>
        <w:t xml:space="preserve">مزيد من المعلومات </w:t>
      </w:r>
      <w:r w:rsidR="00BE5073">
        <w:rPr>
          <w:rFonts w:hint="cs"/>
          <w:rtl/>
        </w:rPr>
        <w:t>عن صفحات الويكي</w:t>
      </w:r>
      <w:r w:rsidRPr="00C8738E">
        <w:t>.</w:t>
      </w:r>
    </w:p>
    <w:p w:rsidR="00226CCB" w:rsidRDefault="00F159EA" w:rsidP="00CC0441">
      <w:pPr>
        <w:pStyle w:val="Heading2"/>
        <w:spacing w:before="0" w:line="360" w:lineRule="exact"/>
        <w:rPr>
          <w:rtl/>
          <w:lang w:val="en-US" w:bidi="ar-EG"/>
        </w:rPr>
      </w:pPr>
      <w:r>
        <w:rPr>
          <w:rFonts w:hint="cs"/>
          <w:rtl/>
          <w:lang w:val="en-US"/>
        </w:rPr>
        <w:t>ال</w:t>
      </w:r>
      <w:r w:rsidR="00BE5073" w:rsidRPr="00BE5073">
        <w:rPr>
          <w:rtl/>
          <w:lang w:val="en-US"/>
        </w:rPr>
        <w:t>مهام النشطة</w:t>
      </w:r>
      <w:r>
        <w:rPr>
          <w:rFonts w:hint="cs"/>
          <w:rtl/>
          <w:lang w:val="en-US"/>
        </w:rPr>
        <w:t xml:space="preserve"> للجنة المعايير</w:t>
      </w:r>
    </w:p>
    <w:p w:rsidR="00C90BED" w:rsidRPr="00F159EA" w:rsidRDefault="00F159EA" w:rsidP="00CC0441">
      <w:pPr>
        <w:pStyle w:val="Heading2"/>
        <w:spacing w:before="0" w:line="360" w:lineRule="exact"/>
        <w:rPr>
          <w:sz w:val="36"/>
          <w:szCs w:val="36"/>
          <w:rtl/>
          <w:lang w:val="en-US" w:bidi="ar-EG"/>
        </w:rPr>
      </w:pPr>
      <w:r w:rsidRPr="00F159EA">
        <w:rPr>
          <w:sz w:val="36"/>
          <w:szCs w:val="36"/>
          <w:rtl/>
          <w:lang w:val="en-US"/>
        </w:rPr>
        <w:t xml:space="preserve">فيما يلي قائمة </w:t>
      </w:r>
      <w:r>
        <w:rPr>
          <w:rFonts w:hint="cs"/>
          <w:sz w:val="36"/>
          <w:szCs w:val="36"/>
          <w:rtl/>
          <w:lang w:val="en-US"/>
        </w:rPr>
        <w:t>ال</w:t>
      </w:r>
      <w:r w:rsidRPr="00F159EA">
        <w:rPr>
          <w:sz w:val="36"/>
          <w:szCs w:val="36"/>
          <w:rtl/>
          <w:lang w:val="en-US"/>
        </w:rPr>
        <w:t xml:space="preserve">مهام </w:t>
      </w:r>
      <w:r>
        <w:rPr>
          <w:rFonts w:hint="cs"/>
          <w:sz w:val="36"/>
          <w:szCs w:val="36"/>
          <w:rtl/>
          <w:lang w:val="en-US"/>
        </w:rPr>
        <w:t xml:space="preserve">النشطة للجنة المعايير </w:t>
      </w:r>
      <w:r w:rsidRPr="00F159EA">
        <w:rPr>
          <w:sz w:val="36"/>
          <w:szCs w:val="36"/>
          <w:rtl/>
          <w:lang w:val="en-US"/>
        </w:rPr>
        <w:t>بعد دور</w:t>
      </w:r>
      <w:r>
        <w:rPr>
          <w:rFonts w:hint="cs"/>
          <w:sz w:val="36"/>
          <w:szCs w:val="36"/>
          <w:rtl/>
          <w:lang w:val="en-US"/>
        </w:rPr>
        <w:t>تها</w:t>
      </w:r>
      <w:r w:rsidRPr="00F159EA">
        <w:rPr>
          <w:sz w:val="36"/>
          <w:szCs w:val="36"/>
          <w:rtl/>
          <w:lang w:val="en-US"/>
        </w:rPr>
        <w:t xml:space="preserve"> [الخامسة]</w:t>
      </w:r>
      <w:r>
        <w:rPr>
          <w:rFonts w:hint="cs"/>
          <w:sz w:val="36"/>
          <w:szCs w:val="36"/>
          <w:rtl/>
          <w:lang w:val="en-US"/>
        </w:rPr>
        <w:t>.</w:t>
      </w:r>
    </w:p>
    <w:p w:rsidR="00C90BED" w:rsidRPr="00420F60" w:rsidRDefault="00F159EA" w:rsidP="00CC0441">
      <w:pPr>
        <w:pStyle w:val="NormalParaAR"/>
        <w:rPr>
          <w:i/>
          <w:iCs/>
          <w:rtl/>
          <w:lang w:bidi="ar-EG"/>
        </w:rPr>
      </w:pPr>
      <w:r w:rsidRPr="00F159EA">
        <w:rPr>
          <w:i/>
          <w:iCs/>
          <w:rtl/>
        </w:rPr>
        <w:t xml:space="preserve">ملاحظة: </w:t>
      </w:r>
      <w:r w:rsidR="00C714DF">
        <w:rPr>
          <w:rFonts w:hint="cs"/>
          <w:i/>
          <w:iCs/>
          <w:rtl/>
        </w:rPr>
        <w:t>ت</w:t>
      </w:r>
      <w:r>
        <w:rPr>
          <w:rFonts w:hint="cs"/>
          <w:i/>
          <w:iCs/>
          <w:rtl/>
        </w:rPr>
        <w:t>رد أدناه مهمتان نشطتان على سبيل المثال</w:t>
      </w:r>
      <w:r w:rsidRPr="00F159EA">
        <w:rPr>
          <w:i/>
          <w:iCs/>
          <w:rtl/>
        </w:rPr>
        <w:t>؛ و</w:t>
      </w:r>
      <w:r w:rsidR="00DD0FF2">
        <w:rPr>
          <w:rFonts w:hint="cs"/>
          <w:i/>
          <w:iCs/>
          <w:rtl/>
        </w:rPr>
        <w:t xml:space="preserve">ما إن توافق لجنة المعايير على </w:t>
      </w:r>
      <w:r w:rsidRPr="00F159EA">
        <w:rPr>
          <w:i/>
          <w:iCs/>
          <w:rtl/>
        </w:rPr>
        <w:t xml:space="preserve">النموذج، </w:t>
      </w:r>
      <w:r w:rsidR="00DD0FF2">
        <w:rPr>
          <w:rFonts w:hint="cs"/>
          <w:i/>
          <w:iCs/>
          <w:rtl/>
        </w:rPr>
        <w:t>س</w:t>
      </w:r>
      <w:r w:rsidRPr="00F159EA">
        <w:rPr>
          <w:i/>
          <w:iCs/>
          <w:rtl/>
        </w:rPr>
        <w:t>ي</w:t>
      </w:r>
      <w:r w:rsidR="00DD0FF2">
        <w:rPr>
          <w:rFonts w:hint="cs"/>
          <w:i/>
          <w:iCs/>
          <w:rtl/>
        </w:rPr>
        <w:t>ُست</w:t>
      </w:r>
      <w:r w:rsidRPr="00F159EA">
        <w:rPr>
          <w:i/>
          <w:iCs/>
          <w:rtl/>
        </w:rPr>
        <w:t>كمل هذا القسم على أساس الاتفاقات التي توصلت إليها لجنة</w:t>
      </w:r>
      <w:r w:rsidR="00DD0FF2">
        <w:rPr>
          <w:rFonts w:hint="cs"/>
          <w:i/>
          <w:iCs/>
          <w:rtl/>
        </w:rPr>
        <w:t xml:space="preserve"> المعايير.</w:t>
      </w:r>
    </w:p>
    <w:p w:rsidR="00ED0D3E" w:rsidRPr="00420F60" w:rsidRDefault="00ED0D3E" w:rsidP="00CC0441">
      <w:pPr>
        <w:pStyle w:val="Heading3"/>
        <w:ind w:left="535"/>
        <w:rPr>
          <w:rtl/>
          <w:lang w:bidi="ar-EG"/>
        </w:rPr>
      </w:pPr>
      <w:r w:rsidRPr="00420F60">
        <w:rPr>
          <w:rFonts w:hint="cs"/>
          <w:rtl/>
          <w:lang w:bidi="ar-EG"/>
        </w:rPr>
        <w:t>المهمة رقم</w:t>
      </w:r>
      <w:r w:rsidRPr="00420F60">
        <w:rPr>
          <w:rFonts w:hint="eastAsia"/>
          <w:rtl/>
          <w:lang w:bidi="ar-EG"/>
        </w:rPr>
        <w:t> </w:t>
      </w:r>
      <w:r w:rsidRPr="00420F60">
        <w:rPr>
          <w:rFonts w:hint="cs"/>
          <w:rtl/>
          <w:lang w:bidi="ar-EG"/>
        </w:rPr>
        <w:t>18</w:t>
      </w:r>
    </w:p>
    <w:p w:rsidR="00C90BED" w:rsidRPr="00420F60" w:rsidRDefault="00ED0D3E" w:rsidP="00CC0441">
      <w:pPr>
        <w:pStyle w:val="NormalParaAR"/>
        <w:spacing w:after="120"/>
        <w:ind w:left="1133" w:hanging="567"/>
        <w:rPr>
          <w:rtl/>
          <w:lang w:bidi="ar-EG"/>
        </w:rPr>
      </w:pPr>
      <w:r w:rsidRPr="00C714DF">
        <w:rPr>
          <w:rFonts w:hint="cs"/>
          <w:i/>
          <w:iCs/>
          <w:rtl/>
        </w:rPr>
        <w:t>الوصف</w:t>
      </w:r>
      <w:r w:rsidRPr="00420F60">
        <w:rPr>
          <w:rFonts w:hint="cs"/>
          <w:rtl/>
        </w:rPr>
        <w:t>: تحديد مجالات توحيد المقاييس المرتبطة بتبادل البيانات القابلة للقراءة آليا</w:t>
      </w:r>
      <w:r w:rsidR="00C714DF">
        <w:rPr>
          <w:rFonts w:hint="cs"/>
          <w:rtl/>
        </w:rPr>
        <w:t>ً</w:t>
      </w:r>
      <w:r w:rsidRPr="00420F60">
        <w:rPr>
          <w:rFonts w:hint="cs"/>
          <w:rtl/>
        </w:rPr>
        <w:t xml:space="preserve"> على أساس المشروعات التي خططت لها هيئات مثل المكاتب الخمسة </w:t>
      </w:r>
      <w:r w:rsidRPr="00420F60">
        <w:rPr>
          <w:rFonts w:hint="cs"/>
          <w:rtl/>
          <w:lang w:val="fr-FR" w:bidi="ar-EG"/>
        </w:rPr>
        <w:t>ومكاتب</w:t>
      </w:r>
      <w:r w:rsidRPr="00420F60">
        <w:rPr>
          <w:rtl/>
          <w:lang w:val="fr-FR" w:bidi="ar-EG"/>
        </w:rPr>
        <w:t xml:space="preserve"> </w:t>
      </w:r>
      <w:r w:rsidRPr="00420F60">
        <w:rPr>
          <w:rFonts w:hint="cs"/>
          <w:rtl/>
          <w:lang w:val="fr-FR" w:bidi="ar-EG"/>
        </w:rPr>
        <w:t>العلامات</w:t>
      </w:r>
      <w:r w:rsidRPr="00420F60">
        <w:rPr>
          <w:rtl/>
          <w:lang w:val="fr-FR" w:bidi="ar-EG"/>
        </w:rPr>
        <w:t xml:space="preserve"> </w:t>
      </w:r>
      <w:r w:rsidRPr="00420F60">
        <w:rPr>
          <w:rFonts w:hint="cs"/>
          <w:rtl/>
          <w:lang w:val="fr-FR" w:bidi="ar-EG"/>
        </w:rPr>
        <w:t>التجارية</w:t>
      </w:r>
      <w:r w:rsidRPr="00420F60">
        <w:rPr>
          <w:rtl/>
          <w:lang w:val="fr-FR" w:bidi="ar-EG"/>
        </w:rPr>
        <w:t xml:space="preserve"> </w:t>
      </w:r>
      <w:r w:rsidRPr="00420F60">
        <w:rPr>
          <w:rFonts w:hint="cs"/>
          <w:rtl/>
          <w:lang w:val="fr-FR" w:bidi="ar-EG"/>
        </w:rPr>
        <w:t>الخمسة</w:t>
      </w:r>
      <w:r w:rsidRPr="00420F60">
        <w:rPr>
          <w:rtl/>
          <w:lang w:val="fr-FR" w:bidi="ar-EG"/>
        </w:rPr>
        <w:t xml:space="preserve"> (</w:t>
      </w:r>
      <w:r w:rsidRPr="00420F60">
        <w:rPr>
          <w:lang w:val="fr-FR" w:bidi="ar-EG"/>
        </w:rPr>
        <w:t>TM5</w:t>
      </w:r>
      <w:r w:rsidRPr="00420F60">
        <w:rPr>
          <w:rtl/>
          <w:lang w:val="fr-FR" w:bidi="ar-EG"/>
        </w:rPr>
        <w:t>)</w:t>
      </w:r>
      <w:r w:rsidRPr="00420F60">
        <w:rPr>
          <w:rFonts w:hint="cs"/>
          <w:rtl/>
          <w:lang w:val="fr-FR" w:bidi="ar-EG"/>
        </w:rPr>
        <w:t>،</w:t>
      </w:r>
      <w:r w:rsidRPr="00420F60">
        <w:rPr>
          <w:rtl/>
          <w:lang w:val="fr-FR" w:bidi="ar-EG"/>
        </w:rPr>
        <w:t xml:space="preserve"> </w:t>
      </w:r>
      <w:r w:rsidRPr="00420F60">
        <w:rPr>
          <w:rFonts w:hint="cs"/>
          <w:rtl/>
          <w:lang w:val="fr-FR" w:bidi="ar-EG"/>
        </w:rPr>
        <w:t>ومنتدى</w:t>
      </w:r>
      <w:r w:rsidRPr="00420F60">
        <w:rPr>
          <w:rtl/>
          <w:lang w:val="fr-FR" w:bidi="ar-EG"/>
        </w:rPr>
        <w:t xml:space="preserve"> </w:t>
      </w:r>
      <w:r w:rsidRPr="00420F60">
        <w:rPr>
          <w:rFonts w:hint="cs"/>
          <w:rtl/>
          <w:lang w:val="fr-FR" w:bidi="ar-EG"/>
        </w:rPr>
        <w:t>مكاتب</w:t>
      </w:r>
      <w:r w:rsidRPr="00420F60">
        <w:rPr>
          <w:rtl/>
          <w:lang w:val="fr-FR" w:bidi="ar-EG"/>
        </w:rPr>
        <w:t xml:space="preserve"> </w:t>
      </w:r>
      <w:r w:rsidRPr="00420F60">
        <w:rPr>
          <w:rFonts w:hint="cs"/>
          <w:rtl/>
          <w:lang w:val="fr-FR" w:bidi="ar-EG"/>
        </w:rPr>
        <w:t>التصاميم</w:t>
      </w:r>
      <w:r w:rsidRPr="00420F60">
        <w:rPr>
          <w:rtl/>
          <w:lang w:val="fr-FR" w:bidi="ar-EG"/>
        </w:rPr>
        <w:t xml:space="preserve"> </w:t>
      </w:r>
      <w:r w:rsidRPr="00420F60">
        <w:rPr>
          <w:rFonts w:hint="cs"/>
          <w:rtl/>
          <w:lang w:val="fr-FR" w:bidi="ar-EG"/>
        </w:rPr>
        <w:t>الصناعية</w:t>
      </w:r>
      <w:r w:rsidRPr="00420F60">
        <w:rPr>
          <w:rtl/>
          <w:lang w:val="fr-FR" w:bidi="ar-EG"/>
        </w:rPr>
        <w:t xml:space="preserve"> </w:t>
      </w:r>
      <w:r w:rsidRPr="00420F60">
        <w:rPr>
          <w:rFonts w:hint="cs"/>
          <w:rtl/>
          <w:lang w:val="fr-FR" w:bidi="ar-EG"/>
        </w:rPr>
        <w:t>الخمسة </w:t>
      </w:r>
      <w:r w:rsidRPr="00420F60">
        <w:rPr>
          <w:rtl/>
          <w:lang w:val="fr-FR" w:bidi="ar-EG"/>
        </w:rPr>
        <w:t>(</w:t>
      </w:r>
      <w:r w:rsidRPr="00420F60">
        <w:rPr>
          <w:lang w:val="fr-FR" w:bidi="ar-EG"/>
        </w:rPr>
        <w:t>ID5</w:t>
      </w:r>
      <w:r w:rsidRPr="00420F60">
        <w:rPr>
          <w:rtl/>
          <w:lang w:val="fr-FR" w:bidi="ar-EG"/>
        </w:rPr>
        <w:t>)</w:t>
      </w:r>
      <w:r w:rsidRPr="00420F60">
        <w:rPr>
          <w:rFonts w:hint="cs"/>
          <w:rtl/>
          <w:lang w:val="fr-FR" w:bidi="ar-EG"/>
        </w:rPr>
        <w:t xml:space="preserve"> </w:t>
      </w:r>
      <w:r w:rsidRPr="00420F60">
        <w:rPr>
          <w:rFonts w:hint="cs"/>
          <w:rtl/>
        </w:rPr>
        <w:t>و</w:t>
      </w:r>
      <w:r w:rsidRPr="00420F60">
        <w:rPr>
          <w:rtl/>
        </w:rPr>
        <w:t>المنظمة الدولية لتوحيد المقاييس</w:t>
      </w:r>
      <w:r w:rsidRPr="00420F60">
        <w:t xml:space="preserve"> (ISO) </w:t>
      </w:r>
      <w:r w:rsidRPr="00420F60">
        <w:rPr>
          <w:rFonts w:hint="cs"/>
          <w:rtl/>
        </w:rPr>
        <w:t>و</w:t>
      </w:r>
      <w:r w:rsidRPr="00420F60">
        <w:rPr>
          <w:rtl/>
        </w:rPr>
        <w:t>اللجنة الكهروتقنية الدولية</w:t>
      </w:r>
      <w:r w:rsidRPr="00420F60">
        <w:rPr>
          <w:rFonts w:hint="cs"/>
          <w:rtl/>
        </w:rPr>
        <w:t xml:space="preserve"> (</w:t>
      </w:r>
      <w:r w:rsidRPr="00420F60">
        <w:t>IEC</w:t>
      </w:r>
      <w:r w:rsidRPr="00420F60">
        <w:rPr>
          <w:rFonts w:hint="cs"/>
          <w:rtl/>
        </w:rPr>
        <w:t>) والهيئات الأخرى المشهورة المعنية بوضع معايير الصناعة.</w:t>
      </w:r>
    </w:p>
    <w:p w:rsidR="00ED0D3E" w:rsidRPr="00420F60" w:rsidRDefault="00ED0D3E" w:rsidP="00CC0441">
      <w:pPr>
        <w:pStyle w:val="NormalParaAR"/>
        <w:spacing w:after="120"/>
        <w:ind w:firstLine="566"/>
        <w:rPr>
          <w:i/>
          <w:iCs/>
        </w:rPr>
      </w:pPr>
      <w:r w:rsidRPr="00420F60">
        <w:rPr>
          <w:rFonts w:hint="cs"/>
          <w:i/>
          <w:iCs/>
          <w:rtl/>
        </w:rPr>
        <w:t>المشرف على المهمة/المشرف على فرقة العمل: المكتب الدولي</w:t>
      </w:r>
    </w:p>
    <w:p w:rsidR="00ED0D3E" w:rsidRPr="00420F60" w:rsidRDefault="00ED0D3E" w:rsidP="00CC0441">
      <w:pPr>
        <w:pStyle w:val="NormalParaAR"/>
        <w:tabs>
          <w:tab w:val="num" w:pos="555"/>
        </w:tabs>
        <w:ind w:left="1133" w:hanging="567"/>
        <w:rPr>
          <w:i/>
          <w:iCs/>
          <w:rtl/>
        </w:rPr>
      </w:pPr>
      <w:r w:rsidRPr="00420F60">
        <w:rPr>
          <w:i/>
          <w:iCs/>
          <w:rtl/>
        </w:rPr>
        <w:t>التدابير المقرر اتخاذها</w:t>
      </w:r>
      <w:r w:rsidRPr="00420F60">
        <w:rPr>
          <w:rFonts w:hint="cs"/>
          <w:i/>
          <w:iCs/>
          <w:rtl/>
        </w:rPr>
        <w:t>:</w:t>
      </w:r>
      <w:r w:rsidR="007C012B" w:rsidRPr="00420F60">
        <w:rPr>
          <w:rFonts w:hint="cs"/>
          <w:i/>
          <w:iCs/>
          <w:rtl/>
        </w:rPr>
        <w:t xml:space="preserve"> </w:t>
      </w:r>
      <w:r w:rsidRPr="00420F60">
        <w:rPr>
          <w:rFonts w:hint="cs"/>
          <w:rtl/>
        </w:rPr>
        <w:t>ينبغي للمكتب الدولي أن ينسق الإبلاغ عن التطورات المتصلة بتوحيد المقاييس و/أو تقديم الاقتراحات إلى اللجنة المعنية بمعايير الويبو (اللجنة) حسب الضرورة.</w:t>
      </w:r>
    </w:p>
    <w:p w:rsidR="00ED0D3E" w:rsidRPr="00ED0D3E" w:rsidRDefault="00ED0D3E" w:rsidP="00CC0441">
      <w:pPr>
        <w:pStyle w:val="Heading3"/>
        <w:ind w:left="535"/>
        <w:rPr>
          <w:rtl/>
          <w:lang w:bidi="ar-EG"/>
        </w:rPr>
      </w:pPr>
      <w:r w:rsidRPr="00ED0D3E">
        <w:rPr>
          <w:rFonts w:hint="cs"/>
          <w:rtl/>
          <w:lang w:bidi="ar-EG"/>
        </w:rPr>
        <w:t>المهمة رقم</w:t>
      </w:r>
      <w:r w:rsidRPr="00ED0D3E">
        <w:rPr>
          <w:rFonts w:hint="eastAsia"/>
          <w:rtl/>
          <w:lang w:bidi="ar-EG"/>
        </w:rPr>
        <w:t> </w:t>
      </w:r>
      <w:r w:rsidRPr="00ED0D3E">
        <w:rPr>
          <w:rFonts w:hint="cs"/>
          <w:rtl/>
          <w:lang w:bidi="ar-EG"/>
        </w:rPr>
        <w:t>51</w:t>
      </w:r>
    </w:p>
    <w:p w:rsidR="00C90BED" w:rsidRPr="00226CCB" w:rsidRDefault="00D00F74" w:rsidP="00CC0441">
      <w:pPr>
        <w:pStyle w:val="NormalParaAR"/>
        <w:spacing w:after="120"/>
        <w:ind w:left="1133" w:hanging="598"/>
        <w:rPr>
          <w:rtl/>
          <w:lang w:bidi="ar-EG"/>
        </w:rPr>
      </w:pPr>
      <w:r>
        <w:rPr>
          <w:rFonts w:hint="cs"/>
          <w:rtl/>
        </w:rPr>
        <w:t>الوصف:</w:t>
      </w:r>
      <w:r w:rsidR="00DD0FF2">
        <w:rPr>
          <w:rFonts w:hint="cs"/>
          <w:rtl/>
        </w:rPr>
        <w:t xml:space="preserve"> </w:t>
      </w:r>
      <w:r w:rsidR="00DD0FF2" w:rsidRPr="00DD0FF2">
        <w:rPr>
          <w:rtl/>
        </w:rPr>
        <w:t>إعداد توصية بشأن ملف الإدارة فيما يخص وثائق البراءات الصادرة عن مكتب براءات وطني أو إقليمي لتمكين مكاتب البراءات الأخرى والأطراف المهتمة الأخرى من تقييم اكتمال مجموعاتها من وثائق البراءات المنشورة</w:t>
      </w:r>
      <w:r w:rsidR="00DD0FF2" w:rsidRPr="00DD0FF2">
        <w:t>.</w:t>
      </w:r>
    </w:p>
    <w:p w:rsidR="00226CCB" w:rsidRPr="00226CCB" w:rsidRDefault="00226CCB" w:rsidP="00CC0441">
      <w:pPr>
        <w:pStyle w:val="NormalParaAR"/>
        <w:tabs>
          <w:tab w:val="num" w:pos="555"/>
        </w:tabs>
        <w:spacing w:after="120"/>
        <w:ind w:left="1133" w:hanging="567"/>
        <w:rPr>
          <w:i/>
          <w:iCs/>
          <w:rtl/>
        </w:rPr>
      </w:pPr>
      <w:r w:rsidRPr="00867005">
        <w:rPr>
          <w:rFonts w:hint="cs"/>
          <w:i/>
          <w:iCs/>
          <w:rtl/>
        </w:rPr>
        <w:t>المشرف على المهمة/المشرف على فرقة العمل:</w:t>
      </w:r>
      <w:r>
        <w:rPr>
          <w:rFonts w:hint="cs"/>
          <w:i/>
          <w:iCs/>
          <w:rtl/>
        </w:rPr>
        <w:t xml:space="preserve"> </w:t>
      </w:r>
      <w:r w:rsidRPr="00226CCB">
        <w:rPr>
          <w:rFonts w:hint="cs"/>
          <w:rtl/>
        </w:rPr>
        <w:t>المكتب الأوروب</w:t>
      </w:r>
      <w:r w:rsidRPr="00226CCB">
        <w:rPr>
          <w:rFonts w:hint="eastAsia"/>
          <w:rtl/>
        </w:rPr>
        <w:t>ي</w:t>
      </w:r>
      <w:r w:rsidRPr="00226CCB">
        <w:rPr>
          <w:rFonts w:hint="cs"/>
          <w:rtl/>
        </w:rPr>
        <w:t xml:space="preserve"> للبراءات</w:t>
      </w:r>
      <w:r w:rsidRPr="00226CCB">
        <w:t xml:space="preserve">(EPO) </w:t>
      </w:r>
      <w:r w:rsidRPr="00226CCB">
        <w:rPr>
          <w:rFonts w:hint="cs"/>
          <w:rtl/>
        </w:rPr>
        <w:t>/</w:t>
      </w:r>
      <w:r w:rsidRPr="00226CCB">
        <w:t xml:space="preserve"> </w:t>
      </w:r>
      <w:r w:rsidRPr="00226CCB">
        <w:rPr>
          <w:rFonts w:hint="cs"/>
          <w:rtl/>
        </w:rPr>
        <w:t xml:space="preserve"> </w:t>
      </w:r>
      <w:r w:rsidRPr="00226CCB">
        <w:rPr>
          <w:rtl/>
        </w:rPr>
        <w:t>فرقة العمل المعنية بملف الإدارة</w:t>
      </w:r>
    </w:p>
    <w:p w:rsidR="00226CCB" w:rsidRDefault="00B644E5" w:rsidP="00CC0441">
      <w:pPr>
        <w:pStyle w:val="NormalParaAR"/>
        <w:tabs>
          <w:tab w:val="num" w:pos="555"/>
        </w:tabs>
        <w:spacing w:after="120"/>
        <w:ind w:left="1134" w:hanging="567"/>
        <w:rPr>
          <w:i/>
          <w:iCs/>
          <w:rtl/>
        </w:rPr>
      </w:pPr>
      <w:r w:rsidRPr="00867005">
        <w:rPr>
          <w:i/>
          <w:iCs/>
          <w:rtl/>
        </w:rPr>
        <w:t>التدابير المقرر اتخاذها</w:t>
      </w:r>
      <w:r w:rsidRPr="00867005">
        <w:rPr>
          <w:rFonts w:hint="cs"/>
          <w:i/>
          <w:iCs/>
          <w:rtl/>
        </w:rPr>
        <w:t>:</w:t>
      </w:r>
    </w:p>
    <w:p w:rsidR="00C90BED" w:rsidRDefault="00C147AA" w:rsidP="00CC0441">
      <w:pPr>
        <w:pStyle w:val="NormalParaAR"/>
        <w:ind w:left="1133"/>
      </w:pPr>
      <w:r w:rsidRPr="00C147AA">
        <w:rPr>
          <w:rtl/>
        </w:rPr>
        <w:t xml:space="preserve">سوف يُقدَّم اقتراح بشأن معيار جديد للويبو أو بشأن مراجعة معيار أو أكثر من معايير الويبو الحالية كي تنظر فيه لجنة </w:t>
      </w:r>
      <w:r>
        <w:rPr>
          <w:rFonts w:hint="cs"/>
          <w:rtl/>
        </w:rPr>
        <w:t xml:space="preserve">المعايير </w:t>
      </w:r>
      <w:r w:rsidRPr="00C147AA">
        <w:rPr>
          <w:rtl/>
        </w:rPr>
        <w:t>وتعتمده في دورتها الخامسة</w:t>
      </w:r>
      <w:r>
        <w:rPr>
          <w:rFonts w:hint="cs"/>
          <w:rtl/>
        </w:rPr>
        <w:t>.</w:t>
      </w:r>
    </w:p>
    <w:p w:rsidR="00ED0D3E" w:rsidRDefault="00ED0D3E" w:rsidP="00CC0441">
      <w:pPr>
        <w:pStyle w:val="EndofDocumentAR"/>
        <w:spacing w:before="480"/>
      </w:pPr>
      <w:r w:rsidRPr="00DA62E9">
        <w:rPr>
          <w:rtl/>
        </w:rPr>
        <w:t>[نهاية المرفق الثاني والوثيقة]</w:t>
      </w:r>
    </w:p>
    <w:sectPr w:rsidR="00ED0D3E" w:rsidSect="00F27A7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D6" w:rsidRDefault="003B0CD6">
      <w:r>
        <w:separator/>
      </w:r>
    </w:p>
  </w:endnote>
  <w:endnote w:type="continuationSeparator" w:id="0">
    <w:p w:rsidR="003B0CD6" w:rsidRDefault="003B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D6" w:rsidRDefault="003B0CD6" w:rsidP="009622BF">
      <w:pPr>
        <w:bidi/>
      </w:pPr>
      <w:bookmarkStart w:id="0" w:name="OLE_LINK1"/>
      <w:bookmarkStart w:id="1" w:name="OLE_LINK2"/>
      <w:r>
        <w:separator/>
      </w:r>
      <w:bookmarkEnd w:id="0"/>
      <w:bookmarkEnd w:id="1"/>
    </w:p>
  </w:footnote>
  <w:footnote w:type="continuationSeparator" w:id="0">
    <w:p w:rsidR="003B0CD6" w:rsidRDefault="003B0CD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2761A" w:rsidP="00C2761A">
    <w:r>
      <w:t>CWS</w:t>
    </w:r>
    <w:r w:rsidR="00065ED1">
      <w:t>/</w:t>
    </w:r>
    <w:r>
      <w:t>5</w:t>
    </w:r>
    <w:r w:rsidR="002F77FC">
      <w:t>/</w:t>
    </w:r>
    <w:r w:rsidR="00226CCB">
      <w:t>20</w:t>
    </w:r>
  </w:p>
  <w:p w:rsidR="00226CCB" w:rsidRDefault="00226CCB" w:rsidP="00C2761A">
    <w:r>
      <w:t>Annex</w:t>
    </w:r>
    <w:r w:rsidR="005F7B5F">
      <w:t xml:space="preserve"> II</w:t>
    </w:r>
  </w:p>
  <w:p w:rsidR="002F77FC" w:rsidRDefault="00F27A7C" w:rsidP="00D61541">
    <w:pPr>
      <w:rPr>
        <w:noProof/>
      </w:rPr>
    </w:pPr>
    <w:r>
      <w:fldChar w:fldCharType="begin"/>
    </w:r>
    <w:r>
      <w:instrText xml:space="preserve"> PAGE   \* MERGEFORMAT </w:instrText>
    </w:r>
    <w:r>
      <w:fldChar w:fldCharType="separate"/>
    </w:r>
    <w:r w:rsidR="00CC0441">
      <w:rPr>
        <w:noProof/>
      </w:rPr>
      <w:t>2</w:t>
    </w:r>
    <w:r>
      <w:rPr>
        <w:noProof/>
      </w:rPr>
      <w:fldChar w:fldCharType="end"/>
    </w:r>
  </w:p>
  <w:p w:rsidR="005677B7" w:rsidRDefault="005677B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ED" w:rsidRDefault="00C90BED">
    <w:pPr>
      <w:pStyle w:val="Header"/>
    </w:pPr>
    <w:r>
      <w:t>CWS/5/20</w:t>
    </w:r>
  </w:p>
  <w:p w:rsidR="00C90BED" w:rsidRDefault="00C90BED">
    <w:pPr>
      <w:pStyle w:val="Header"/>
    </w:pPr>
    <w:r>
      <w:t>ANNEX II</w:t>
    </w:r>
  </w:p>
  <w:p w:rsidR="00C90BED" w:rsidRPr="00C90BED" w:rsidRDefault="00C90BED">
    <w:pPr>
      <w:pStyle w:val="Header"/>
      <w:rPr>
        <w:rFonts w:ascii="Arabic Typesetting" w:hAnsi="Arabic Typesetting" w:cs="Arabic Typesetting"/>
        <w:sz w:val="36"/>
        <w:szCs w:val="36"/>
        <w:rtl/>
        <w:lang w:val="fr-FR" w:bidi="ar-EG"/>
      </w:rPr>
    </w:pPr>
    <w:r w:rsidRPr="00C90BED">
      <w:rPr>
        <w:rFonts w:ascii="Arabic Typesetting" w:hAnsi="Arabic Typesetting" w:cs="Arabic Typesetting"/>
        <w:sz w:val="36"/>
        <w:szCs w:val="36"/>
        <w:rtl/>
        <w:lang w:val="fr-FR" w:bidi="ar-EG"/>
      </w:rPr>
      <w:t>المرفق الثاني</w:t>
    </w:r>
  </w:p>
  <w:p w:rsidR="00C90BED" w:rsidRPr="00C90BED" w:rsidRDefault="00C90BED">
    <w:pPr>
      <w:pStyle w:val="Header"/>
      <w:rPr>
        <w:rtl/>
        <w:lang w:val="fr-FR"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47410F6"/>
    <w:multiLevelType w:val="hybridMultilevel"/>
    <w:tmpl w:val="C9B24DE4"/>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996"/>
        </w:tabs>
        <w:ind w:left="1996" w:hanging="360"/>
      </w:pPr>
    </w:lvl>
    <w:lvl w:ilvl="2" w:tplc="0409001B" w:tentative="1">
      <w:start w:val="1"/>
      <w:numFmt w:val="lowerRoman"/>
      <w:lvlText w:val="%3."/>
      <w:lvlJc w:val="right"/>
      <w:pPr>
        <w:tabs>
          <w:tab w:val="num" w:pos="2716"/>
        </w:tabs>
        <w:ind w:left="2716" w:hanging="180"/>
      </w:pPr>
    </w:lvl>
    <w:lvl w:ilvl="3" w:tplc="0409000F" w:tentative="1">
      <w:start w:val="1"/>
      <w:numFmt w:val="decimal"/>
      <w:lvlText w:val="%4."/>
      <w:lvlJc w:val="left"/>
      <w:pPr>
        <w:tabs>
          <w:tab w:val="num" w:pos="3436"/>
        </w:tabs>
        <w:ind w:left="3436" w:hanging="360"/>
      </w:pPr>
    </w:lvl>
    <w:lvl w:ilvl="4" w:tplc="04090019" w:tentative="1">
      <w:start w:val="1"/>
      <w:numFmt w:val="lowerLetter"/>
      <w:lvlText w:val="%5."/>
      <w:lvlJc w:val="left"/>
      <w:pPr>
        <w:tabs>
          <w:tab w:val="num" w:pos="4156"/>
        </w:tabs>
        <w:ind w:left="4156" w:hanging="360"/>
      </w:pPr>
    </w:lvl>
    <w:lvl w:ilvl="5" w:tplc="0409001B" w:tentative="1">
      <w:start w:val="1"/>
      <w:numFmt w:val="lowerRoman"/>
      <w:lvlText w:val="%6."/>
      <w:lvlJc w:val="right"/>
      <w:pPr>
        <w:tabs>
          <w:tab w:val="num" w:pos="4876"/>
        </w:tabs>
        <w:ind w:left="4876" w:hanging="180"/>
      </w:pPr>
    </w:lvl>
    <w:lvl w:ilvl="6" w:tplc="0409000F" w:tentative="1">
      <w:start w:val="1"/>
      <w:numFmt w:val="decimal"/>
      <w:lvlText w:val="%7."/>
      <w:lvlJc w:val="left"/>
      <w:pPr>
        <w:tabs>
          <w:tab w:val="num" w:pos="5596"/>
        </w:tabs>
        <w:ind w:left="5596" w:hanging="360"/>
      </w:pPr>
    </w:lvl>
    <w:lvl w:ilvl="7" w:tplc="04090019" w:tentative="1">
      <w:start w:val="1"/>
      <w:numFmt w:val="lowerLetter"/>
      <w:lvlText w:val="%8."/>
      <w:lvlJc w:val="left"/>
      <w:pPr>
        <w:tabs>
          <w:tab w:val="num" w:pos="6316"/>
        </w:tabs>
        <w:ind w:left="6316" w:hanging="360"/>
      </w:pPr>
    </w:lvl>
    <w:lvl w:ilvl="8" w:tplc="0409001B" w:tentative="1">
      <w:start w:val="1"/>
      <w:numFmt w:val="lowerRoman"/>
      <w:lvlText w:val="%9."/>
      <w:lvlJc w:val="right"/>
      <w:pPr>
        <w:tabs>
          <w:tab w:val="num" w:pos="7036"/>
        </w:tabs>
        <w:ind w:left="7036"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E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3DF2"/>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34D"/>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6CCB"/>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059"/>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CD6"/>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0F60"/>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B5F"/>
    <w:rsid w:val="005F7D85"/>
    <w:rsid w:val="00600791"/>
    <w:rsid w:val="00601A1F"/>
    <w:rsid w:val="00602655"/>
    <w:rsid w:val="00603B68"/>
    <w:rsid w:val="00605297"/>
    <w:rsid w:val="00605CB9"/>
    <w:rsid w:val="006065BF"/>
    <w:rsid w:val="00606D43"/>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12B"/>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4E5"/>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073"/>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47AA"/>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14DF"/>
    <w:rsid w:val="00C720F8"/>
    <w:rsid w:val="00C7294B"/>
    <w:rsid w:val="00C75139"/>
    <w:rsid w:val="00C7525C"/>
    <w:rsid w:val="00C76CF7"/>
    <w:rsid w:val="00C83A4C"/>
    <w:rsid w:val="00C8533B"/>
    <w:rsid w:val="00C858BA"/>
    <w:rsid w:val="00C86977"/>
    <w:rsid w:val="00C8738E"/>
    <w:rsid w:val="00C90BED"/>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0441"/>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0F74"/>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0FF2"/>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0D3E"/>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9EA"/>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ED"/>
    <w:rPr>
      <w:rFonts w:ascii="Arial" w:eastAsiaTheme="minorEastAsia" w:hAnsi="Arial" w:cs="Arial"/>
      <w:sz w:val="22"/>
      <w:lang w:eastAsia="ko-KR"/>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eastAsia="Times New Roman" w:hAnsi="Arabic Typesetting" w:cs="Arabic Typesetting"/>
      <w:bCs/>
      <w:sz w:val="40"/>
      <w:szCs w:val="40"/>
      <w:lang w:val="fr-CH" w:eastAsia="en-US"/>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eastAsia="Times New Roman" w:hAnsi="Arabic Typesetting" w:cs="Arabic Typesetting"/>
      <w:sz w:val="40"/>
      <w:szCs w:val="40"/>
      <w:lang w:val="fr-CH" w:eastAsia="en-US"/>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eastAsia="Times New Roman" w:hAnsi="Arabic Typesetting" w:cs="Arabic Typesetting"/>
      <w:sz w:val="36"/>
      <w:szCs w:val="36"/>
      <w:u w:val="single"/>
      <w:lang w:val="fr-CH" w:eastAsia="en-US"/>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eastAsia="Times New Roman" w:hAnsi="Arabic Typesetting" w:cs="Arabic Typesetting"/>
      <w:iCs/>
      <w:sz w:val="36"/>
      <w:szCs w:val="36"/>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744889"/>
    <w:pPr>
      <w:tabs>
        <w:tab w:val="center" w:pos="4320"/>
        <w:tab w:val="right" w:pos="8640"/>
      </w:tabs>
    </w:pPr>
    <w:rPr>
      <w:rFonts w:eastAsia="Times New Roman"/>
      <w:lang w:eastAsia="en-US"/>
    </w:rPr>
  </w:style>
  <w:style w:type="paragraph" w:styleId="Salutation">
    <w:name w:val="Salutation"/>
    <w:basedOn w:val="Normal"/>
    <w:next w:val="Normal"/>
    <w:semiHidden/>
    <w:rsid w:val="00744889"/>
    <w:rPr>
      <w:rFonts w:eastAsia="Times New Roman"/>
      <w:lang w:eastAsia="en-US"/>
    </w:rPr>
  </w:style>
  <w:style w:type="paragraph" w:styleId="Signature">
    <w:name w:val="Signature"/>
    <w:basedOn w:val="Normal"/>
    <w:semiHidden/>
    <w:rsid w:val="00744889"/>
    <w:pPr>
      <w:ind w:left="5250"/>
    </w:pPr>
    <w:rPr>
      <w:rFonts w:eastAsia="Times New Roman"/>
      <w:lang w:eastAsia="en-US"/>
    </w:r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rFonts w:eastAsia="Times New Roman"/>
      <w:sz w:val="18"/>
      <w:lang w:eastAsia="en-US"/>
    </w:rPr>
  </w:style>
  <w:style w:type="paragraph" w:styleId="Caption">
    <w:name w:val="caption"/>
    <w:basedOn w:val="Normal"/>
    <w:next w:val="Normal"/>
    <w:qFormat/>
    <w:rsid w:val="00744889"/>
    <w:rPr>
      <w:rFonts w:eastAsia="Times New Roman"/>
      <w:b/>
      <w:bCs/>
      <w:sz w:val="18"/>
      <w:lang w:eastAsia="en-US"/>
    </w:rPr>
  </w:style>
  <w:style w:type="paragraph" w:styleId="CommentText">
    <w:name w:val="annotation text"/>
    <w:basedOn w:val="Normal"/>
    <w:semiHidden/>
    <w:rsid w:val="00744889"/>
    <w:rPr>
      <w:rFonts w:eastAsia="Times New Roman"/>
      <w:sz w:val="18"/>
      <w:lang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rFonts w:eastAsia="Times New Roman"/>
      <w:lang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B7EC9"/>
    <w:pPr>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B7EC9"/>
    <w:pPr>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E7604"/>
    <w:pPr>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E7604"/>
    <w:pPr>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B7EC9"/>
    <w:pPr>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E7604"/>
    <w:pPr>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931859"/>
    <w:pPr>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styleId="BodyText">
    <w:name w:val="Body Text"/>
    <w:basedOn w:val="Normal"/>
    <w:link w:val="BodyTextChar"/>
    <w:rsid w:val="00C90BED"/>
    <w:pPr>
      <w:spacing w:after="220"/>
    </w:pPr>
  </w:style>
  <w:style w:type="character" w:customStyle="1" w:styleId="BodyTextChar">
    <w:name w:val="Body Text Char"/>
    <w:basedOn w:val="DefaultParagraphFont"/>
    <w:link w:val="BodyText"/>
    <w:rsid w:val="00C90BED"/>
    <w:rPr>
      <w:rFonts w:ascii="Arial" w:eastAsiaTheme="minorEastAsia" w:hAnsi="Arial" w:cs="Arial"/>
      <w:sz w:val="22"/>
      <w:lang w:eastAsia="ko-KR"/>
    </w:rPr>
  </w:style>
  <w:style w:type="paragraph" w:customStyle="1" w:styleId="Endofdocument">
    <w:name w:val="End of document"/>
    <w:basedOn w:val="Normal"/>
    <w:rsid w:val="00C90BED"/>
    <w:pPr>
      <w:ind w:left="5534"/>
    </w:pPr>
    <w:rPr>
      <w:rFonts w:eastAsia="SimSun"/>
      <w:lang w:eastAsia="zh-CN"/>
    </w:rPr>
  </w:style>
  <w:style w:type="paragraph" w:customStyle="1" w:styleId="paragraph">
    <w:name w:val="paragraph"/>
    <w:basedOn w:val="BodyText"/>
    <w:link w:val="paragraphChar"/>
    <w:rsid w:val="00C90BED"/>
    <w:pPr>
      <w:tabs>
        <w:tab w:val="left" w:pos="567"/>
      </w:tabs>
      <w:ind w:left="567" w:hanging="567"/>
    </w:pPr>
  </w:style>
  <w:style w:type="character" w:customStyle="1" w:styleId="paragraphChar">
    <w:name w:val="paragraph Char"/>
    <w:basedOn w:val="BodyTextChar"/>
    <w:link w:val="paragraph"/>
    <w:rsid w:val="00C90BED"/>
    <w:rPr>
      <w:rFonts w:ascii="Arial" w:eastAsiaTheme="minorEastAsia" w:hAnsi="Arial" w:cs="Arial"/>
      <w:sz w:val="22"/>
      <w:lang w:eastAsia="ko-KR"/>
    </w:rPr>
  </w:style>
  <w:style w:type="character" w:styleId="Hyperlink">
    <w:name w:val="Hyperlink"/>
    <w:basedOn w:val="DefaultParagraphFont"/>
    <w:rsid w:val="00C90BED"/>
    <w:rPr>
      <w:color w:val="0000FF" w:themeColor="hyperlink"/>
      <w:u w:val="single"/>
    </w:rPr>
  </w:style>
  <w:style w:type="character" w:styleId="FollowedHyperlink">
    <w:name w:val="FollowedHyperlink"/>
    <w:basedOn w:val="DefaultParagraphFont"/>
    <w:rsid w:val="00ED0D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ED"/>
    <w:rPr>
      <w:rFonts w:ascii="Arial" w:eastAsiaTheme="minorEastAsia" w:hAnsi="Arial" w:cs="Arial"/>
      <w:sz w:val="22"/>
      <w:lang w:eastAsia="ko-KR"/>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eastAsia="Times New Roman" w:hAnsi="Arabic Typesetting" w:cs="Arabic Typesetting"/>
      <w:bCs/>
      <w:sz w:val="40"/>
      <w:szCs w:val="40"/>
      <w:lang w:val="fr-CH" w:eastAsia="en-US"/>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eastAsia="Times New Roman" w:hAnsi="Arabic Typesetting" w:cs="Arabic Typesetting"/>
      <w:sz w:val="40"/>
      <w:szCs w:val="40"/>
      <w:lang w:val="fr-CH" w:eastAsia="en-US"/>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eastAsia="Times New Roman" w:hAnsi="Arabic Typesetting" w:cs="Arabic Typesetting"/>
      <w:sz w:val="36"/>
      <w:szCs w:val="36"/>
      <w:u w:val="single"/>
      <w:lang w:val="fr-CH" w:eastAsia="en-US"/>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eastAsia="Times New Roman" w:hAnsi="Arabic Typesetting" w:cs="Arabic Typesetting"/>
      <w:iCs/>
      <w:sz w:val="36"/>
      <w:szCs w:val="36"/>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744889"/>
    <w:pPr>
      <w:tabs>
        <w:tab w:val="center" w:pos="4320"/>
        <w:tab w:val="right" w:pos="8640"/>
      </w:tabs>
    </w:pPr>
    <w:rPr>
      <w:rFonts w:eastAsia="Times New Roman"/>
      <w:lang w:eastAsia="en-US"/>
    </w:rPr>
  </w:style>
  <w:style w:type="paragraph" w:styleId="Salutation">
    <w:name w:val="Salutation"/>
    <w:basedOn w:val="Normal"/>
    <w:next w:val="Normal"/>
    <w:semiHidden/>
    <w:rsid w:val="00744889"/>
    <w:rPr>
      <w:rFonts w:eastAsia="Times New Roman"/>
      <w:lang w:eastAsia="en-US"/>
    </w:rPr>
  </w:style>
  <w:style w:type="paragraph" w:styleId="Signature">
    <w:name w:val="Signature"/>
    <w:basedOn w:val="Normal"/>
    <w:semiHidden/>
    <w:rsid w:val="00744889"/>
    <w:pPr>
      <w:ind w:left="5250"/>
    </w:pPr>
    <w:rPr>
      <w:rFonts w:eastAsia="Times New Roman"/>
      <w:lang w:eastAsia="en-US"/>
    </w:r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rFonts w:eastAsia="Times New Roman"/>
      <w:sz w:val="18"/>
      <w:lang w:eastAsia="en-US"/>
    </w:rPr>
  </w:style>
  <w:style w:type="paragraph" w:styleId="Caption">
    <w:name w:val="caption"/>
    <w:basedOn w:val="Normal"/>
    <w:next w:val="Normal"/>
    <w:qFormat/>
    <w:rsid w:val="00744889"/>
    <w:rPr>
      <w:rFonts w:eastAsia="Times New Roman"/>
      <w:b/>
      <w:bCs/>
      <w:sz w:val="18"/>
      <w:lang w:eastAsia="en-US"/>
    </w:rPr>
  </w:style>
  <w:style w:type="paragraph" w:styleId="CommentText">
    <w:name w:val="annotation text"/>
    <w:basedOn w:val="Normal"/>
    <w:semiHidden/>
    <w:rsid w:val="00744889"/>
    <w:rPr>
      <w:rFonts w:eastAsia="Times New Roman"/>
      <w:sz w:val="18"/>
      <w:lang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rFonts w:eastAsia="Times New Roman"/>
      <w:lang w:eastAsia="en-US"/>
    </w:r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B7EC9"/>
    <w:pPr>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B7EC9"/>
    <w:pPr>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E7604"/>
    <w:pPr>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E7604"/>
    <w:pPr>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B7EC9"/>
    <w:pPr>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E7604"/>
    <w:pPr>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931859"/>
    <w:pPr>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0E4718"/>
    <w:rPr>
      <w:rFonts w:ascii="Tahoma" w:hAnsi="Tahoma" w:cs="Tahoma"/>
      <w:sz w:val="16"/>
      <w:szCs w:val="16"/>
    </w:rPr>
  </w:style>
  <w:style w:type="paragraph" w:styleId="BodyText">
    <w:name w:val="Body Text"/>
    <w:basedOn w:val="Normal"/>
    <w:link w:val="BodyTextChar"/>
    <w:rsid w:val="00C90BED"/>
    <w:pPr>
      <w:spacing w:after="220"/>
    </w:pPr>
  </w:style>
  <w:style w:type="character" w:customStyle="1" w:styleId="BodyTextChar">
    <w:name w:val="Body Text Char"/>
    <w:basedOn w:val="DefaultParagraphFont"/>
    <w:link w:val="BodyText"/>
    <w:rsid w:val="00C90BED"/>
    <w:rPr>
      <w:rFonts w:ascii="Arial" w:eastAsiaTheme="minorEastAsia" w:hAnsi="Arial" w:cs="Arial"/>
      <w:sz w:val="22"/>
      <w:lang w:eastAsia="ko-KR"/>
    </w:rPr>
  </w:style>
  <w:style w:type="paragraph" w:customStyle="1" w:styleId="Endofdocument">
    <w:name w:val="End of document"/>
    <w:basedOn w:val="Normal"/>
    <w:rsid w:val="00C90BED"/>
    <w:pPr>
      <w:ind w:left="5534"/>
    </w:pPr>
    <w:rPr>
      <w:rFonts w:eastAsia="SimSun"/>
      <w:lang w:eastAsia="zh-CN"/>
    </w:rPr>
  </w:style>
  <w:style w:type="paragraph" w:customStyle="1" w:styleId="paragraph">
    <w:name w:val="paragraph"/>
    <w:basedOn w:val="BodyText"/>
    <w:link w:val="paragraphChar"/>
    <w:rsid w:val="00C90BED"/>
    <w:pPr>
      <w:tabs>
        <w:tab w:val="left" w:pos="567"/>
      </w:tabs>
      <w:ind w:left="567" w:hanging="567"/>
    </w:pPr>
  </w:style>
  <w:style w:type="character" w:customStyle="1" w:styleId="paragraphChar">
    <w:name w:val="paragraph Char"/>
    <w:basedOn w:val="BodyTextChar"/>
    <w:link w:val="paragraph"/>
    <w:rsid w:val="00C90BED"/>
    <w:rPr>
      <w:rFonts w:ascii="Arial" w:eastAsiaTheme="minorEastAsia" w:hAnsi="Arial" w:cs="Arial"/>
      <w:sz w:val="22"/>
      <w:lang w:eastAsia="ko-KR"/>
    </w:rPr>
  </w:style>
  <w:style w:type="character" w:styleId="Hyperlink">
    <w:name w:val="Hyperlink"/>
    <w:basedOn w:val="DefaultParagraphFont"/>
    <w:rsid w:val="00C90BED"/>
    <w:rPr>
      <w:color w:val="0000FF" w:themeColor="hyperlink"/>
      <w:u w:val="single"/>
    </w:rPr>
  </w:style>
  <w:style w:type="character" w:styleId="FollowedHyperlink">
    <w:name w:val="FollowedHyperlink"/>
    <w:basedOn w:val="DefaultParagraphFont"/>
    <w:rsid w:val="00ED0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3.wipo.int/confluence/display/cwstf/CWS+Task+Forces" TargetMode="External"/><Relationship Id="rId4" Type="http://schemas.microsoft.com/office/2007/relationships/stylesWithEffects" Target="stylesWithEffects.xml"/><Relationship Id="rId9" Type="http://schemas.openxmlformats.org/officeDocument/2006/relationships/hyperlink" Target="http://www.wipo.int/cws/en/taskforce/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D5B8-ADDA-436B-9520-49F45FDD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CWS/5/20 Annex II (in Arabic)</dc:title>
  <dc:subject>Consideration of the Work Program and Tasks List of the CWS</dc:subject>
  <dc:creator>WIPO</dc:creator>
  <cp:keywords>CWS</cp:keywords>
  <cp:lastModifiedBy>ZAGO Bétina</cp:lastModifiedBy>
  <cp:revision>3</cp:revision>
  <cp:lastPrinted>2017-05-09T13:28:00Z</cp:lastPrinted>
  <dcterms:created xsi:type="dcterms:W3CDTF">2017-05-12T13:51:00Z</dcterms:created>
  <dcterms:modified xsi:type="dcterms:W3CDTF">2017-05-12T13:51:00Z</dcterms:modified>
</cp:coreProperties>
</file>