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65" w:rsidRPr="00141E93" w:rsidRDefault="00660465">
      <w:pPr>
        <w:bidi/>
      </w:pPr>
    </w:p>
    <w:tbl>
      <w:tblPr>
        <w:bidiVisual/>
        <w:tblW w:w="0" w:type="auto"/>
        <w:tblLook w:val="01E0" w:firstRow="1" w:lastRow="1" w:firstColumn="1" w:lastColumn="1" w:noHBand="0" w:noVBand="0"/>
      </w:tblPr>
      <w:tblGrid>
        <w:gridCol w:w="4843"/>
        <w:gridCol w:w="4223"/>
        <w:gridCol w:w="505"/>
      </w:tblGrid>
      <w:tr w:rsidR="00141E93" w:rsidRPr="00141E93" w:rsidTr="00B6101C">
        <w:tc>
          <w:tcPr>
            <w:tcW w:w="4843" w:type="dxa"/>
            <w:tcBorders>
              <w:bottom w:val="single" w:sz="4" w:space="0" w:color="auto"/>
            </w:tcBorders>
          </w:tcPr>
          <w:p w:rsidR="001667B6" w:rsidRPr="00141E93"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141E93" w:rsidRDefault="009C0CED" w:rsidP="00237419">
            <w:pPr>
              <w:bidi/>
              <w:spacing w:after="20"/>
              <w:rPr>
                <w:rFonts w:ascii="Arabic Typesetting" w:hAnsi="Arabic Typesetting" w:cs="Arabic Typesetting"/>
                <w:sz w:val="36"/>
                <w:szCs w:val="36"/>
                <w:rtl/>
              </w:rPr>
            </w:pPr>
            <w:r w:rsidRPr="00141E93">
              <w:rPr>
                <w:noProof/>
              </w:rPr>
              <w:drawing>
                <wp:inline distT="0" distB="0" distL="0" distR="0" wp14:anchorId="228C80F3" wp14:editId="033BB12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41E93" w:rsidRDefault="001667B6" w:rsidP="001667B6">
            <w:pPr>
              <w:rPr>
                <w:b/>
                <w:bCs/>
                <w:sz w:val="40"/>
                <w:szCs w:val="40"/>
              </w:rPr>
            </w:pPr>
            <w:r w:rsidRPr="00141E93">
              <w:rPr>
                <w:b/>
                <w:bCs/>
                <w:sz w:val="40"/>
                <w:szCs w:val="40"/>
              </w:rPr>
              <w:t>A</w:t>
            </w:r>
          </w:p>
        </w:tc>
      </w:tr>
      <w:tr w:rsidR="00141E93" w:rsidRPr="00141E93" w:rsidTr="00B6101C">
        <w:trPr>
          <w:trHeight w:val="333"/>
        </w:trPr>
        <w:tc>
          <w:tcPr>
            <w:tcW w:w="9571" w:type="dxa"/>
            <w:gridSpan w:val="3"/>
            <w:tcBorders>
              <w:top w:val="single" w:sz="4" w:space="0" w:color="auto"/>
            </w:tcBorders>
            <w:vAlign w:val="bottom"/>
          </w:tcPr>
          <w:p w:rsidR="00B6101C" w:rsidRPr="00141E93" w:rsidRDefault="00C2761A" w:rsidP="000439F7">
            <w:pPr>
              <w:pStyle w:val="DocumentCodeAR"/>
              <w:bidi/>
              <w:rPr>
                <w:rtl/>
              </w:rPr>
            </w:pPr>
            <w:r w:rsidRPr="00141E93">
              <w:t>CWS</w:t>
            </w:r>
            <w:r w:rsidR="00065ED1" w:rsidRPr="00141E93">
              <w:t>/</w:t>
            </w:r>
            <w:r w:rsidRPr="00141E93">
              <w:t>5</w:t>
            </w:r>
            <w:r w:rsidR="00B6101C" w:rsidRPr="00141E93">
              <w:t>/</w:t>
            </w:r>
            <w:r w:rsidR="000439F7" w:rsidRPr="00141E93">
              <w:t>19</w:t>
            </w:r>
          </w:p>
        </w:tc>
      </w:tr>
      <w:tr w:rsidR="00141E93" w:rsidRPr="00141E93" w:rsidTr="00BF164F">
        <w:tc>
          <w:tcPr>
            <w:tcW w:w="9571" w:type="dxa"/>
            <w:gridSpan w:val="3"/>
          </w:tcPr>
          <w:p w:rsidR="001667B6" w:rsidRPr="00141E93" w:rsidRDefault="00F27A7C" w:rsidP="00280245">
            <w:pPr>
              <w:pStyle w:val="DocumentLanguageAR"/>
              <w:bidi/>
              <w:rPr>
                <w:rtl/>
              </w:rPr>
            </w:pPr>
            <w:r w:rsidRPr="00141E93">
              <w:rPr>
                <w:rFonts w:hint="cs"/>
                <w:rtl/>
              </w:rPr>
              <w:t xml:space="preserve">الأصل: </w:t>
            </w:r>
            <w:r w:rsidR="00280245" w:rsidRPr="00141E93">
              <w:rPr>
                <w:rFonts w:hint="cs"/>
                <w:rtl/>
              </w:rPr>
              <w:t>بالإنكليزية</w:t>
            </w:r>
          </w:p>
        </w:tc>
      </w:tr>
      <w:tr w:rsidR="001667B6" w:rsidRPr="00141E93" w:rsidTr="00BF164F">
        <w:tc>
          <w:tcPr>
            <w:tcW w:w="9571" w:type="dxa"/>
            <w:gridSpan w:val="3"/>
          </w:tcPr>
          <w:p w:rsidR="001667B6" w:rsidRPr="00141E93" w:rsidRDefault="00B6101C" w:rsidP="00280245">
            <w:pPr>
              <w:pStyle w:val="DocumentDateAR"/>
              <w:bidi/>
              <w:rPr>
                <w:rtl/>
              </w:rPr>
            </w:pPr>
            <w:r w:rsidRPr="00141E93">
              <w:rPr>
                <w:rFonts w:hint="cs"/>
                <w:rtl/>
              </w:rPr>
              <w:t xml:space="preserve">التاريخ: </w:t>
            </w:r>
            <w:r w:rsidR="00280245" w:rsidRPr="00141E93">
              <w:rPr>
                <w:rFonts w:hint="cs"/>
                <w:rtl/>
              </w:rPr>
              <w:t>20</w:t>
            </w:r>
            <w:r w:rsidR="0024328E" w:rsidRPr="00141E93">
              <w:rPr>
                <w:rFonts w:hint="cs"/>
                <w:rtl/>
              </w:rPr>
              <w:t xml:space="preserve"> </w:t>
            </w:r>
            <w:r w:rsidR="00280245" w:rsidRPr="00141E93">
              <w:rPr>
                <w:rFonts w:hint="cs"/>
                <w:rtl/>
              </w:rPr>
              <w:t>أبريل</w:t>
            </w:r>
            <w:r w:rsidR="0024328E" w:rsidRPr="00141E93">
              <w:rPr>
                <w:rFonts w:hint="cs"/>
                <w:rtl/>
              </w:rPr>
              <w:t xml:space="preserve"> </w:t>
            </w:r>
            <w:r w:rsidR="008D5779" w:rsidRPr="00141E93">
              <w:rPr>
                <w:rFonts w:hint="cs"/>
                <w:rtl/>
              </w:rPr>
              <w:t>201</w:t>
            </w:r>
            <w:r w:rsidR="006E3DBD" w:rsidRPr="00141E93">
              <w:rPr>
                <w:rFonts w:hint="cs"/>
                <w:rtl/>
              </w:rPr>
              <w:t>7</w:t>
            </w:r>
          </w:p>
        </w:tc>
      </w:tr>
    </w:tbl>
    <w:p w:rsidR="00C2761A" w:rsidRPr="00141E93" w:rsidRDefault="00C2761A" w:rsidP="00C2761A">
      <w:pPr>
        <w:bidi/>
        <w:spacing w:line="360" w:lineRule="exact"/>
        <w:rPr>
          <w:rFonts w:ascii="Arabic Typesetting" w:hAnsi="Arabic Typesetting" w:cs="Arabic Typesetting"/>
          <w:sz w:val="36"/>
          <w:szCs w:val="36"/>
          <w:rtl/>
        </w:rPr>
      </w:pPr>
    </w:p>
    <w:p w:rsidR="00C2761A" w:rsidRPr="00141E93" w:rsidRDefault="00C2761A" w:rsidP="00C2761A">
      <w:pPr>
        <w:bidi/>
        <w:spacing w:line="360" w:lineRule="exact"/>
        <w:rPr>
          <w:rFonts w:ascii="Arabic Typesetting" w:hAnsi="Arabic Typesetting" w:cs="Arabic Typesetting"/>
          <w:sz w:val="36"/>
          <w:szCs w:val="36"/>
        </w:rPr>
      </w:pPr>
    </w:p>
    <w:p w:rsidR="00C2761A" w:rsidRPr="00141E93" w:rsidRDefault="00C2761A" w:rsidP="00C2761A">
      <w:pPr>
        <w:bidi/>
        <w:spacing w:line="360" w:lineRule="exact"/>
        <w:rPr>
          <w:rFonts w:ascii="Arabic Typesetting" w:hAnsi="Arabic Typesetting" w:cs="Arabic Typesetting"/>
          <w:sz w:val="36"/>
          <w:szCs w:val="36"/>
          <w:rtl/>
        </w:rPr>
      </w:pPr>
    </w:p>
    <w:p w:rsidR="00C2761A" w:rsidRPr="00141E93" w:rsidRDefault="00C2761A" w:rsidP="00C2761A">
      <w:pPr>
        <w:pStyle w:val="MeetingTitleAR"/>
        <w:bidi/>
        <w:ind w:right="550"/>
        <w:rPr>
          <w:rtl/>
        </w:rPr>
      </w:pPr>
      <w:r w:rsidRPr="00141E93">
        <w:rPr>
          <w:rtl/>
        </w:rPr>
        <w:t>اللجنة المعنية بمعايير الويبو</w:t>
      </w:r>
    </w:p>
    <w:p w:rsidR="00C2761A" w:rsidRPr="00141E93" w:rsidRDefault="00C2761A" w:rsidP="00C2761A">
      <w:pPr>
        <w:bidi/>
        <w:spacing w:line="360" w:lineRule="exact"/>
        <w:rPr>
          <w:rFonts w:ascii="Arabic Typesetting" w:hAnsi="Arabic Typesetting" w:cs="Arabic Typesetting"/>
          <w:sz w:val="36"/>
          <w:szCs w:val="36"/>
          <w:rtl/>
        </w:rPr>
      </w:pPr>
    </w:p>
    <w:p w:rsidR="00C2761A" w:rsidRPr="00141E93" w:rsidRDefault="00C2761A" w:rsidP="00C2761A">
      <w:pPr>
        <w:pStyle w:val="MeetingSessionAR"/>
        <w:bidi/>
        <w:rPr>
          <w:rFonts w:ascii="Cambria Math" w:hAnsi="Cambria Math"/>
          <w:rtl/>
        </w:rPr>
      </w:pPr>
      <w:r w:rsidRPr="00141E93">
        <w:rPr>
          <w:rFonts w:ascii="Cambria Math" w:hAnsi="Cambria Math"/>
          <w:rtl/>
        </w:rPr>
        <w:t xml:space="preserve">الدورة </w:t>
      </w:r>
      <w:r w:rsidRPr="00141E93">
        <w:rPr>
          <w:rFonts w:ascii="Cambria Math" w:hAnsi="Cambria Math" w:hint="cs"/>
          <w:rtl/>
        </w:rPr>
        <w:t>الخامسة</w:t>
      </w:r>
    </w:p>
    <w:p w:rsidR="00C2761A" w:rsidRPr="00141E93" w:rsidRDefault="00C2761A" w:rsidP="00C2761A">
      <w:pPr>
        <w:pStyle w:val="MeetingDatesAR"/>
        <w:bidi/>
        <w:rPr>
          <w:rtl/>
        </w:rPr>
      </w:pPr>
      <w:r w:rsidRPr="00141E93">
        <w:rPr>
          <w:rFonts w:hint="cs"/>
          <w:rtl/>
        </w:rPr>
        <w:t>جنيف، من 29 مايو إلى 2 يونيو 2017</w:t>
      </w:r>
    </w:p>
    <w:p w:rsidR="00C2761A" w:rsidRPr="00141E93" w:rsidRDefault="00C2761A" w:rsidP="00C2761A">
      <w:pPr>
        <w:bidi/>
        <w:spacing w:line="360" w:lineRule="exact"/>
        <w:rPr>
          <w:rFonts w:ascii="Arabic Typesetting" w:hAnsi="Arabic Typesetting" w:cs="Arabic Typesetting"/>
          <w:sz w:val="36"/>
          <w:szCs w:val="36"/>
          <w:rtl/>
        </w:rPr>
      </w:pPr>
    </w:p>
    <w:p w:rsidR="00C2761A" w:rsidRPr="00141E93" w:rsidRDefault="00C2761A" w:rsidP="00C2761A">
      <w:pPr>
        <w:bidi/>
        <w:spacing w:line="360" w:lineRule="exact"/>
        <w:rPr>
          <w:rFonts w:ascii="Arabic Typesetting" w:hAnsi="Arabic Typesetting" w:cs="Arabic Typesetting"/>
          <w:sz w:val="36"/>
          <w:szCs w:val="36"/>
          <w:rtl/>
        </w:rPr>
      </w:pPr>
    </w:p>
    <w:p w:rsidR="00C2761A" w:rsidRPr="00141E93" w:rsidRDefault="00E419C1" w:rsidP="00C2761A">
      <w:pPr>
        <w:pStyle w:val="DocumentTitleAR"/>
        <w:bidi/>
        <w:rPr>
          <w:rtl/>
        </w:rPr>
      </w:pPr>
      <w:r w:rsidRPr="00141E93">
        <w:rPr>
          <w:rtl/>
        </w:rPr>
        <w:t>تقرير عن إسداء المشورة وتقديم المساعدة التقنية لتكوين الكفاءات لفائدة مكاتب الملكية الصناعية بناء على ولاية اللجنة المعنية بمعايير الويبو</w:t>
      </w:r>
      <w:r w:rsidRPr="00141E93">
        <w:rPr>
          <w:rFonts w:hint="cs"/>
          <w:rtl/>
        </w:rPr>
        <w:t xml:space="preserve"> </w:t>
      </w:r>
    </w:p>
    <w:p w:rsidR="00C2761A" w:rsidRPr="00141E93" w:rsidRDefault="001718DC" w:rsidP="00C2761A">
      <w:pPr>
        <w:pStyle w:val="PreparedbyAR"/>
        <w:bidi/>
        <w:rPr>
          <w:rtl/>
        </w:rPr>
      </w:pPr>
      <w:r w:rsidRPr="00141E93">
        <w:rPr>
          <w:rFonts w:hint="cs"/>
          <w:rtl/>
        </w:rPr>
        <w:t xml:space="preserve">وثيقة </w:t>
      </w:r>
      <w:r w:rsidR="00C2761A" w:rsidRPr="00141E93">
        <w:rPr>
          <w:rFonts w:hint="cs"/>
          <w:rtl/>
        </w:rPr>
        <w:t>من إعداد</w:t>
      </w:r>
      <w:r w:rsidRPr="00141E93">
        <w:rPr>
          <w:rFonts w:hint="cs"/>
          <w:rtl/>
        </w:rPr>
        <w:t xml:space="preserve"> الأمانة</w:t>
      </w:r>
    </w:p>
    <w:p w:rsidR="001718DC" w:rsidRPr="00141E93" w:rsidRDefault="001718DC" w:rsidP="00BC109A">
      <w:pPr>
        <w:pStyle w:val="NumberedParaAR"/>
        <w:numPr>
          <w:ilvl w:val="0"/>
          <w:numId w:val="0"/>
        </w:numPr>
        <w:spacing w:after="60"/>
        <w:rPr>
          <w:sz w:val="40"/>
          <w:szCs w:val="40"/>
          <w:rtl/>
        </w:rPr>
      </w:pPr>
      <w:r w:rsidRPr="00141E93">
        <w:rPr>
          <w:rFonts w:hint="cs"/>
          <w:sz w:val="40"/>
          <w:szCs w:val="40"/>
          <w:rtl/>
        </w:rPr>
        <w:t xml:space="preserve">مقدمة </w:t>
      </w:r>
    </w:p>
    <w:p w:rsidR="001718DC" w:rsidRPr="00141E93" w:rsidRDefault="00542EA0" w:rsidP="00BC109A">
      <w:pPr>
        <w:pStyle w:val="NumberedParaAR"/>
      </w:pPr>
      <w:r w:rsidRPr="00141E93">
        <w:rPr>
          <w:rtl/>
        </w:rPr>
        <w:t>يهدف هذا التقرير إلى</w:t>
      </w:r>
      <w:r w:rsidRPr="00141E93">
        <w:rPr>
          <w:rFonts w:hint="cs"/>
          <w:rtl/>
        </w:rPr>
        <w:t xml:space="preserve"> تنفيذ القرار الذي اتخذته الجمعية العامة في عام 2011 بشأن </w:t>
      </w:r>
      <w:r w:rsidRPr="00141E93">
        <w:rPr>
          <w:rtl/>
        </w:rPr>
        <w:t xml:space="preserve">ولاية اللجنة المعنية بمعايير </w:t>
      </w:r>
      <w:r w:rsidRPr="00141E93">
        <w:rPr>
          <w:rFonts w:hint="cs"/>
          <w:rtl/>
        </w:rPr>
        <w:t xml:space="preserve">الويبو </w:t>
      </w:r>
      <w:r w:rsidR="00727B0F" w:rsidRPr="00141E93">
        <w:rPr>
          <w:rFonts w:hint="cs"/>
          <w:rtl/>
        </w:rPr>
        <w:t xml:space="preserve">وإلى تقديم تقارير خطية منتظمة عن تفاصيل الأنشطة المنفذة في عام 2016 التي من خلالها "سعى المكتب الدولي إلى </w:t>
      </w:r>
      <w:r w:rsidR="00727B0F" w:rsidRPr="00141E93">
        <w:rPr>
          <w:rtl/>
        </w:rPr>
        <w:t xml:space="preserve">إسداء المشورة وتقديم المساعدة التقنية لتكوين الكفاءات لفائدة مكاتب الملكية </w:t>
      </w:r>
      <w:r w:rsidR="00727B0F" w:rsidRPr="00141E93">
        <w:rPr>
          <w:rFonts w:hint="cs"/>
          <w:rtl/>
        </w:rPr>
        <w:t>الصناعية</w:t>
      </w:r>
      <w:r w:rsidR="00727B0F" w:rsidRPr="00141E93">
        <w:rPr>
          <w:rtl/>
        </w:rPr>
        <w:t xml:space="preserve"> بإنجاز مش</w:t>
      </w:r>
      <w:r w:rsidR="00727B0F" w:rsidRPr="00141E93">
        <w:rPr>
          <w:rFonts w:hint="cs"/>
          <w:rtl/>
        </w:rPr>
        <w:t>اريع</w:t>
      </w:r>
      <w:r w:rsidR="00727B0F" w:rsidRPr="00141E93">
        <w:rPr>
          <w:rtl/>
        </w:rPr>
        <w:t xml:space="preserve"> لتعميم المعلومات </w:t>
      </w:r>
      <w:r w:rsidR="00BE72E8" w:rsidRPr="00141E93">
        <w:rPr>
          <w:rFonts w:hint="cs"/>
          <w:rtl/>
        </w:rPr>
        <w:t>عن</w:t>
      </w:r>
      <w:r w:rsidR="002E4FEC" w:rsidRPr="00141E93">
        <w:rPr>
          <w:rtl/>
        </w:rPr>
        <w:t xml:space="preserve"> </w:t>
      </w:r>
      <w:r w:rsidR="00727B0F" w:rsidRPr="00141E93">
        <w:rPr>
          <w:rtl/>
        </w:rPr>
        <w:t>معايير الملكية الفكرية</w:t>
      </w:r>
      <w:r w:rsidR="00773D1B" w:rsidRPr="00141E93">
        <w:rPr>
          <w:rFonts w:hint="cs"/>
          <w:rtl/>
        </w:rPr>
        <w:t xml:space="preserve">" (انظر الفقرة 190 من الوثيقة </w:t>
      </w:r>
      <w:r w:rsidR="00B94527" w:rsidRPr="00141E93">
        <w:t>WO/GA/40/19</w:t>
      </w:r>
      <w:r w:rsidR="00B94527" w:rsidRPr="00141E93">
        <w:rPr>
          <w:rFonts w:hint="cs"/>
          <w:rtl/>
        </w:rPr>
        <w:t>)</w:t>
      </w:r>
      <w:r w:rsidR="00727B0F" w:rsidRPr="00141E93">
        <w:rPr>
          <w:rtl/>
        </w:rPr>
        <w:t>.</w:t>
      </w:r>
      <w:r w:rsidR="00595B34" w:rsidRPr="00141E93">
        <w:rPr>
          <w:rFonts w:hint="cs"/>
          <w:rtl/>
        </w:rPr>
        <w:t xml:space="preserve"> وترد قائمة كاملة ب</w:t>
      </w:r>
      <w:r w:rsidR="00595B34" w:rsidRPr="00141E93">
        <w:rPr>
          <w:rtl/>
        </w:rPr>
        <w:t>هذه الأنشطة في قاعدة بيانات المساعدة التقنية (</w:t>
      </w:r>
      <w:hyperlink r:id="rId9" w:history="1">
        <w:r w:rsidR="00BC109A" w:rsidRPr="00141E93">
          <w:rPr>
            <w:rStyle w:val="Hyperlink"/>
            <w:color w:val="auto"/>
          </w:rPr>
          <w:t>www.wipo.int/tad</w:t>
        </w:r>
      </w:hyperlink>
      <w:r w:rsidR="00595B34" w:rsidRPr="00141E93">
        <w:rPr>
          <w:rtl/>
        </w:rPr>
        <w:t>).</w:t>
      </w:r>
      <w:r w:rsidR="00BE72E8" w:rsidRPr="00141E93">
        <w:rPr>
          <w:rFonts w:hint="cs"/>
          <w:rtl/>
        </w:rPr>
        <w:t xml:space="preserve"> </w:t>
      </w:r>
    </w:p>
    <w:p w:rsidR="002E4FEC" w:rsidRPr="00141E93" w:rsidRDefault="002E4FEC" w:rsidP="00595B34">
      <w:pPr>
        <w:pStyle w:val="NumberedParaAR"/>
      </w:pPr>
      <w:r w:rsidRPr="00141E93">
        <w:rPr>
          <w:rFonts w:hint="cs"/>
          <w:rtl/>
        </w:rPr>
        <w:t>ولما كانت معايير الويبو تنفذ في أنظمة وأدوات مختلفة، تغطي الأنشطة التالي</w:t>
      </w:r>
      <w:r w:rsidR="00BC109A" w:rsidRPr="00141E93">
        <w:rPr>
          <w:rFonts w:hint="cs"/>
          <w:rtl/>
        </w:rPr>
        <w:t>ة كذلك ضمن</w:t>
      </w:r>
      <w:r w:rsidR="00BC109A" w:rsidRPr="00141E93">
        <w:rPr>
          <w:rFonts w:hint="cs"/>
          <w:rtl/>
          <w:lang w:val="fr-FR" w:bidi="ar-EG"/>
        </w:rPr>
        <w:t>ي</w:t>
      </w:r>
      <w:r w:rsidR="00BC109A" w:rsidRPr="00141E93">
        <w:rPr>
          <w:rFonts w:hint="cs"/>
          <w:rtl/>
        </w:rPr>
        <w:t>ا</w:t>
      </w:r>
      <w:r w:rsidR="00C97DB9" w:rsidRPr="00141E93">
        <w:rPr>
          <w:rFonts w:hint="cs"/>
          <w:rtl/>
        </w:rPr>
        <w:t xml:space="preserve"> تعميم المعلومات عن</w:t>
      </w:r>
      <w:r w:rsidRPr="00141E93">
        <w:rPr>
          <w:rtl/>
        </w:rPr>
        <w:t xml:space="preserve"> معايير الملكية الفكرية</w:t>
      </w:r>
      <w:r w:rsidRPr="00141E93">
        <w:rPr>
          <w:rFonts w:hint="cs"/>
          <w:rtl/>
        </w:rPr>
        <w:t xml:space="preserve">. </w:t>
      </w:r>
    </w:p>
    <w:p w:rsidR="002E4FEC" w:rsidRPr="00141E93" w:rsidRDefault="00144C0D" w:rsidP="00731255">
      <w:pPr>
        <w:pStyle w:val="NumberedParaAR"/>
        <w:numPr>
          <w:ilvl w:val="0"/>
          <w:numId w:val="0"/>
        </w:numPr>
        <w:spacing w:after="60"/>
        <w:rPr>
          <w:sz w:val="40"/>
          <w:szCs w:val="40"/>
        </w:rPr>
      </w:pPr>
      <w:r w:rsidRPr="00141E93">
        <w:rPr>
          <w:rFonts w:hint="cs"/>
          <w:sz w:val="40"/>
          <w:szCs w:val="40"/>
          <w:rtl/>
        </w:rPr>
        <w:t>التدريب والمشورة التقنية بشأن استخدام معايير الويبو</w:t>
      </w:r>
    </w:p>
    <w:p w:rsidR="00595B34" w:rsidRPr="00141E93" w:rsidRDefault="00221E85" w:rsidP="008C5DFC">
      <w:pPr>
        <w:pStyle w:val="NumberedParaAR"/>
      </w:pPr>
      <w:r w:rsidRPr="00141E93">
        <w:rPr>
          <w:rFonts w:hint="cs"/>
          <w:rtl/>
        </w:rPr>
        <w:t xml:space="preserve">استجاب المكتب الدولي لطلب ورد من </w:t>
      </w:r>
      <w:r w:rsidRPr="00141E93">
        <w:rPr>
          <w:rtl/>
        </w:rPr>
        <w:t>المكتب الإسباني للبراءات والعلامات التجارية</w:t>
      </w:r>
      <w:r w:rsidRPr="00141E93">
        <w:rPr>
          <w:rFonts w:hint="cs"/>
          <w:rtl/>
        </w:rPr>
        <w:t xml:space="preserve"> فنظّم دورة تدريب على معايير الويبو، ولا سيما المعيار</w:t>
      </w:r>
      <w:r w:rsidRPr="00141E93">
        <w:t xml:space="preserve">ST.96 </w:t>
      </w:r>
      <w:r w:rsidR="00603A5C" w:rsidRPr="00141E93">
        <w:rPr>
          <w:rFonts w:hint="cs"/>
          <w:rtl/>
        </w:rPr>
        <w:t>،</w:t>
      </w:r>
      <w:r w:rsidRPr="00141E93">
        <w:rPr>
          <w:rFonts w:hint="cs"/>
          <w:rtl/>
        </w:rPr>
        <w:t xml:space="preserve"> في مدريد </w:t>
      </w:r>
      <w:r w:rsidR="008C5DFC" w:rsidRPr="00141E93">
        <w:rPr>
          <w:rFonts w:hint="cs"/>
          <w:rtl/>
        </w:rPr>
        <w:t>ب</w:t>
      </w:r>
      <w:r w:rsidRPr="00141E93">
        <w:rPr>
          <w:rFonts w:hint="cs"/>
          <w:rtl/>
        </w:rPr>
        <w:t>إسبانيا في شهر يونيو 2016 بغية مساعدة المكتب الإسباني على تطوير أنظمته الجدي</w:t>
      </w:r>
      <w:r w:rsidR="00603A5C" w:rsidRPr="00141E93">
        <w:rPr>
          <w:rFonts w:hint="cs"/>
          <w:rtl/>
        </w:rPr>
        <w:t>د</w:t>
      </w:r>
      <w:r w:rsidRPr="00141E93">
        <w:rPr>
          <w:rFonts w:hint="cs"/>
          <w:rtl/>
        </w:rPr>
        <w:t xml:space="preserve">ة لتكنولوجيا المعلومات وفق المعيار </w:t>
      </w:r>
      <w:r w:rsidRPr="00141E93">
        <w:t>ST.96</w:t>
      </w:r>
      <w:r w:rsidR="00BD3F58" w:rsidRPr="00141E93">
        <w:rPr>
          <w:rFonts w:hint="cs"/>
          <w:rtl/>
        </w:rPr>
        <w:t xml:space="preserve">. </w:t>
      </w:r>
    </w:p>
    <w:p w:rsidR="00BB23DC" w:rsidRPr="00141E93" w:rsidRDefault="00660465" w:rsidP="004504D8">
      <w:pPr>
        <w:pStyle w:val="NumberedParaAR"/>
      </w:pPr>
      <w:r w:rsidRPr="00141E93">
        <w:rPr>
          <w:rFonts w:hint="cs"/>
          <w:rtl/>
        </w:rPr>
        <w:t>بالإضافة إلى ذلك، قدّم المكتب الدولي في عام 2016 مشورة ت</w:t>
      </w:r>
      <w:r w:rsidR="00464C28" w:rsidRPr="00141E93">
        <w:rPr>
          <w:rFonts w:hint="cs"/>
          <w:rtl/>
        </w:rPr>
        <w:t xml:space="preserve">قنية لمساعدة عدة مكاتب للملكية الصناعية في استخدام معايير الويبو </w:t>
      </w:r>
      <w:r w:rsidR="004504D8" w:rsidRPr="00141E93">
        <w:rPr>
          <w:rFonts w:hint="cs"/>
          <w:rtl/>
        </w:rPr>
        <w:t xml:space="preserve">بواسطة البريد الالكتروني أو المؤتمرات على الإنترنت أو الاجتماعات المباشرة. </w:t>
      </w:r>
    </w:p>
    <w:p w:rsidR="00BB23DC" w:rsidRPr="00141E93" w:rsidRDefault="00BB23DC" w:rsidP="002E7B59">
      <w:pPr>
        <w:pStyle w:val="NumberedParaAR"/>
        <w:numPr>
          <w:ilvl w:val="0"/>
          <w:numId w:val="0"/>
        </w:numPr>
        <w:spacing w:after="60"/>
        <w:rPr>
          <w:sz w:val="40"/>
          <w:szCs w:val="40"/>
        </w:rPr>
      </w:pPr>
      <w:r w:rsidRPr="00141E93">
        <w:rPr>
          <w:sz w:val="40"/>
          <w:szCs w:val="40"/>
          <w:rtl/>
        </w:rPr>
        <w:lastRenderedPageBreak/>
        <w:t>المساعدة التقنية من أجل إنشاء البنية التحتية في مؤسسات الملكية الفكرية</w:t>
      </w:r>
      <w:r w:rsidRPr="00141E93">
        <w:rPr>
          <w:rFonts w:hint="cs"/>
          <w:sz w:val="40"/>
          <w:szCs w:val="40"/>
          <w:rtl/>
        </w:rPr>
        <w:t xml:space="preserve"> باستخدام معايير الويبو</w:t>
      </w:r>
    </w:p>
    <w:p w:rsidR="00C2761A" w:rsidRPr="00141E93" w:rsidRDefault="00660465" w:rsidP="00BC109A">
      <w:pPr>
        <w:pStyle w:val="NumberedParaAR"/>
      </w:pPr>
      <w:r w:rsidRPr="00141E93">
        <w:rPr>
          <w:rFonts w:hint="cs"/>
          <w:rtl/>
        </w:rPr>
        <w:t xml:space="preserve"> </w:t>
      </w:r>
      <w:r w:rsidR="006F2A1A" w:rsidRPr="00141E93">
        <w:rPr>
          <w:rtl/>
        </w:rPr>
        <w:t xml:space="preserve">يهدف البرنامج </w:t>
      </w:r>
      <w:r w:rsidR="0075626C" w:rsidRPr="00141E93">
        <w:rPr>
          <w:rtl/>
        </w:rPr>
        <w:t>15</w:t>
      </w:r>
      <w:r w:rsidR="005A67A9" w:rsidRPr="00141E93">
        <w:rPr>
          <w:rtl/>
        </w:rPr>
        <w:t xml:space="preserve"> إلى تحسين أنظمة </w:t>
      </w:r>
      <w:r w:rsidR="006F2A1A" w:rsidRPr="00141E93">
        <w:rPr>
          <w:rtl/>
        </w:rPr>
        <w:t xml:space="preserve">أعمال </w:t>
      </w:r>
      <w:r w:rsidR="005A67A9" w:rsidRPr="00141E93">
        <w:rPr>
          <w:rFonts w:hint="cs"/>
          <w:rtl/>
        </w:rPr>
        <w:t xml:space="preserve">مكاتب الملكية الصناعية </w:t>
      </w:r>
      <w:r w:rsidR="005A67A9" w:rsidRPr="00141E93">
        <w:rPr>
          <w:rtl/>
        </w:rPr>
        <w:t>الوطنية والإقليمية وبني</w:t>
      </w:r>
      <w:r w:rsidR="005A67A9" w:rsidRPr="00141E93">
        <w:rPr>
          <w:rFonts w:hint="cs"/>
          <w:rtl/>
        </w:rPr>
        <w:t>تها</w:t>
      </w:r>
      <w:r w:rsidR="006F2A1A" w:rsidRPr="00141E93">
        <w:rPr>
          <w:rtl/>
        </w:rPr>
        <w:t xml:space="preserve"> التحتية التقنية لمساعدتها على أن تقدم لأصحاب المصالح لديها خدمات أجدى من الناحية الاقتصادية وذات جودة أعلى.</w:t>
      </w:r>
      <w:r w:rsidR="006F2A1A" w:rsidRPr="00141E93">
        <w:rPr>
          <w:rFonts w:hint="cs"/>
          <w:rtl/>
        </w:rPr>
        <w:t xml:space="preserve"> </w:t>
      </w:r>
      <w:r w:rsidR="006F2A1A" w:rsidRPr="00141E93">
        <w:rPr>
          <w:rtl/>
        </w:rPr>
        <w:t>وتت</w:t>
      </w:r>
      <w:r w:rsidR="00BC109A" w:rsidRPr="00141E93">
        <w:rPr>
          <w:rFonts w:hint="cs"/>
          <w:rtl/>
        </w:rPr>
        <w:t>ماشى</w:t>
      </w:r>
      <w:r w:rsidR="006F2A1A" w:rsidRPr="00141E93">
        <w:rPr>
          <w:rtl/>
        </w:rPr>
        <w:t xml:space="preserve"> المساعدة المقدمة مع توصيات </w:t>
      </w:r>
      <w:r w:rsidR="0075626C" w:rsidRPr="00141E93">
        <w:rPr>
          <w:rFonts w:hint="cs"/>
          <w:rtl/>
        </w:rPr>
        <w:t>أجندة</w:t>
      </w:r>
      <w:r w:rsidR="006F2A1A" w:rsidRPr="00141E93">
        <w:rPr>
          <w:rtl/>
        </w:rPr>
        <w:t xml:space="preserve"> التنمية الرامية إلى تعزيز البنية التحتية المؤسسية والتقنية لمكاتب ومؤسسات الملكية </w:t>
      </w:r>
      <w:r w:rsidR="004B08BD" w:rsidRPr="00141E93">
        <w:rPr>
          <w:rFonts w:hint="cs"/>
          <w:rtl/>
        </w:rPr>
        <w:t>الصناعية</w:t>
      </w:r>
      <w:r w:rsidR="006F2A1A" w:rsidRPr="00141E93">
        <w:rPr>
          <w:rtl/>
        </w:rPr>
        <w:t>.</w:t>
      </w:r>
      <w:r w:rsidR="006F2A1A" w:rsidRPr="00141E93">
        <w:rPr>
          <w:rFonts w:hint="cs"/>
          <w:rtl/>
        </w:rPr>
        <w:t xml:space="preserve"> </w:t>
      </w:r>
      <w:r w:rsidR="006F2A1A" w:rsidRPr="00141E93">
        <w:rPr>
          <w:rtl/>
        </w:rPr>
        <w:t xml:space="preserve">وتشمل خدمات البرنامج المشورة التقنية؛ وتقييم احتياجات العمل؛ </w:t>
      </w:r>
      <w:r w:rsidR="002D3A50" w:rsidRPr="00141E93">
        <w:rPr>
          <w:rFonts w:hint="cs"/>
          <w:rtl/>
        </w:rPr>
        <w:t>وتحديد نطاق</w:t>
      </w:r>
      <w:r w:rsidR="006F2A1A" w:rsidRPr="00141E93">
        <w:rPr>
          <w:rtl/>
        </w:rPr>
        <w:t xml:space="preserve"> المشاريع والتخطيط لها؛ وتحليل إجراءات العمل؛ ومواصلة تطوير حلول أنظمة العمل المخصصة لإدارة حقوق الملكية الفكرية ولتبادل وثائق الأولوية ونتائج البحث والفحص</w:t>
      </w:r>
      <w:r w:rsidR="004B08BD" w:rsidRPr="00141E93">
        <w:rPr>
          <w:rFonts w:hint="cs"/>
          <w:rtl/>
        </w:rPr>
        <w:t xml:space="preserve">، </w:t>
      </w:r>
      <w:r w:rsidR="004B08BD" w:rsidRPr="00141E93">
        <w:rPr>
          <w:rtl/>
        </w:rPr>
        <w:t>وتعميم</w:t>
      </w:r>
      <w:r w:rsidR="004B08BD" w:rsidRPr="00141E93">
        <w:rPr>
          <w:rFonts w:hint="cs"/>
          <w:rtl/>
        </w:rPr>
        <w:t>ها</w:t>
      </w:r>
      <w:r w:rsidR="002D3A50" w:rsidRPr="00141E93">
        <w:rPr>
          <w:rtl/>
        </w:rPr>
        <w:t>؛ و</w:t>
      </w:r>
      <w:r w:rsidR="002D3A50" w:rsidRPr="00141E93">
        <w:rPr>
          <w:rFonts w:hint="cs"/>
          <w:rtl/>
        </w:rPr>
        <w:t>إ</w:t>
      </w:r>
      <w:r w:rsidR="006F2A1A" w:rsidRPr="00141E93">
        <w:rPr>
          <w:rtl/>
        </w:rPr>
        <w:t>نشاء قواعد بيانات للملكية الفكرية؛ والمساعدة في رقمنة سجلات الملكية الفكرية وتجهيز البيانات لنشرها على الإنترنت وتبادلها إلكترونيا؛ والتدريب ونقل المعارف إلى موظفي مؤسسات الملكية الفكرية؛ ودعم الأنظمة التي تقدمها الويبو.</w:t>
      </w:r>
      <w:r w:rsidR="006F2A1A" w:rsidRPr="00141E93">
        <w:rPr>
          <w:rFonts w:hint="cs"/>
          <w:rtl/>
        </w:rPr>
        <w:t xml:space="preserve"> </w:t>
      </w:r>
      <w:r w:rsidR="006F2A1A" w:rsidRPr="00141E93">
        <w:rPr>
          <w:rtl/>
        </w:rPr>
        <w:t>وتراعي المساعدة معايير الويبو المتعلقة ببيانات ومعلومات الملكية الفكرية وفق مقتضى الحال.</w:t>
      </w:r>
      <w:r w:rsidR="006F2A1A" w:rsidRPr="00141E93">
        <w:rPr>
          <w:rFonts w:hint="cs"/>
          <w:rtl/>
        </w:rPr>
        <w:t xml:space="preserve"> </w:t>
      </w:r>
      <w:r w:rsidR="006F2A1A" w:rsidRPr="00141E93">
        <w:rPr>
          <w:rtl/>
        </w:rPr>
        <w:t xml:space="preserve">ويحتل التدريب في الموقع والتوجيه وحلقات العمل التدريبية الإقليمية مساحة كبيرة من عمل البرنامج وتلعب دورا حاسما في تحقيق النتائج </w:t>
      </w:r>
      <w:r w:rsidR="009706FF" w:rsidRPr="00141E93">
        <w:rPr>
          <w:rFonts w:hint="cs"/>
          <w:rtl/>
        </w:rPr>
        <w:t>المرجوة</w:t>
      </w:r>
      <w:r w:rsidR="006F2A1A" w:rsidRPr="00141E93">
        <w:rPr>
          <w:rtl/>
        </w:rPr>
        <w:t>.</w:t>
      </w:r>
    </w:p>
    <w:p w:rsidR="008F0A52" w:rsidRPr="00141E93" w:rsidRDefault="00BC3B24" w:rsidP="00413BD2">
      <w:pPr>
        <w:pStyle w:val="NumberedParaAR"/>
        <w:rPr>
          <w:lang w:val="en-GB"/>
        </w:rPr>
      </w:pPr>
      <w:r w:rsidRPr="00141E93">
        <w:rPr>
          <w:rtl/>
        </w:rPr>
        <w:t>و</w:t>
      </w:r>
      <w:r w:rsidR="00AD20E7" w:rsidRPr="00141E93">
        <w:rPr>
          <w:rFonts w:hint="cs"/>
          <w:rtl/>
        </w:rPr>
        <w:t xml:space="preserve">نُظّمت </w:t>
      </w:r>
      <w:r w:rsidR="00AD20E7" w:rsidRPr="00141E93">
        <w:rPr>
          <w:rtl/>
        </w:rPr>
        <w:t>في إطار هذا البرنامج</w:t>
      </w:r>
      <w:r w:rsidR="00AD20E7" w:rsidRPr="00141E93">
        <w:rPr>
          <w:rFonts w:hint="cs"/>
          <w:rtl/>
        </w:rPr>
        <w:t xml:space="preserve"> أنشطة مع 85</w:t>
      </w:r>
      <w:r w:rsidR="00413BD2" w:rsidRPr="00141E93">
        <w:rPr>
          <w:rFonts w:hint="cs"/>
          <w:rtl/>
        </w:rPr>
        <w:t xml:space="preserve"> مكتبا</w:t>
      </w:r>
      <w:r w:rsidR="00AD20E7" w:rsidRPr="00141E93">
        <w:rPr>
          <w:rFonts w:hint="cs"/>
          <w:rtl/>
        </w:rPr>
        <w:t xml:space="preserve"> للملكية الصناعية في عام 2016، بما فيها 15 حلقة عمل تدريبية إقليمية ودون إقليمية</w:t>
      </w:r>
      <w:r w:rsidRPr="00141E93">
        <w:rPr>
          <w:rFonts w:hint="cs"/>
          <w:rtl/>
        </w:rPr>
        <w:t xml:space="preserve">. </w:t>
      </w:r>
      <w:r w:rsidRPr="00141E93">
        <w:rPr>
          <w:rtl/>
        </w:rPr>
        <w:t>وبحلول نهاية</w:t>
      </w:r>
      <w:r w:rsidR="00C35E33" w:rsidRPr="00141E93">
        <w:rPr>
          <w:rFonts w:hint="cs"/>
          <w:rtl/>
        </w:rPr>
        <w:t xml:space="preserve"> عام</w:t>
      </w:r>
      <w:r w:rsidRPr="00141E93">
        <w:rPr>
          <w:rtl/>
        </w:rPr>
        <w:t xml:space="preserve"> 201</w:t>
      </w:r>
      <w:r w:rsidR="00A37107" w:rsidRPr="00141E93">
        <w:rPr>
          <w:rFonts w:hint="cs"/>
          <w:rtl/>
        </w:rPr>
        <w:t>6</w:t>
      </w:r>
      <w:r w:rsidRPr="00141E93">
        <w:rPr>
          <w:rtl/>
        </w:rPr>
        <w:t xml:space="preserve">، كان </w:t>
      </w:r>
      <w:r w:rsidR="00A37107" w:rsidRPr="00141E93">
        <w:rPr>
          <w:rFonts w:hint="cs"/>
          <w:rtl/>
        </w:rPr>
        <w:t>81</w:t>
      </w:r>
      <w:r w:rsidRPr="00141E93">
        <w:rPr>
          <w:rtl/>
        </w:rPr>
        <w:t xml:space="preserve"> مكتبا للملكية </w:t>
      </w:r>
      <w:r w:rsidR="00A37107" w:rsidRPr="00141E93">
        <w:rPr>
          <w:rFonts w:hint="cs"/>
          <w:rtl/>
        </w:rPr>
        <w:t>الصناعية</w:t>
      </w:r>
      <w:r w:rsidRPr="00141E93">
        <w:rPr>
          <w:rtl/>
        </w:rPr>
        <w:t xml:space="preserve"> حول العالم </w:t>
      </w:r>
      <w:r w:rsidR="00336DB7" w:rsidRPr="00141E93">
        <w:rPr>
          <w:rFonts w:hint="cs"/>
          <w:rtl/>
        </w:rPr>
        <w:t>تستخدم</w:t>
      </w:r>
      <w:r w:rsidRPr="00141E93">
        <w:rPr>
          <w:rtl/>
        </w:rPr>
        <w:t xml:space="preserve"> حلول </w:t>
      </w:r>
      <w:r w:rsidR="008B6539" w:rsidRPr="00141E93">
        <w:rPr>
          <w:rFonts w:hint="cs"/>
          <w:rtl/>
        </w:rPr>
        <w:t>الأعمال</w:t>
      </w:r>
      <w:r w:rsidRPr="00141E93">
        <w:rPr>
          <w:rtl/>
        </w:rPr>
        <w:t xml:space="preserve"> التي تقدمها </w:t>
      </w:r>
      <w:r w:rsidR="00336DB7" w:rsidRPr="00141E93">
        <w:rPr>
          <w:rFonts w:hint="cs"/>
          <w:rtl/>
        </w:rPr>
        <w:t>الويب</w:t>
      </w:r>
      <w:r w:rsidR="008B6539" w:rsidRPr="00141E93">
        <w:rPr>
          <w:rFonts w:hint="cs"/>
          <w:rtl/>
        </w:rPr>
        <w:t>و</w:t>
      </w:r>
      <w:r w:rsidR="00336DB7" w:rsidRPr="00141E93">
        <w:rPr>
          <w:rFonts w:hint="cs"/>
          <w:rtl/>
        </w:rPr>
        <w:t xml:space="preserve"> والتي تشمل معايير الويبو</w:t>
      </w:r>
      <w:r w:rsidRPr="00141E93">
        <w:rPr>
          <w:rtl/>
        </w:rPr>
        <w:t xml:space="preserve"> لإدارة حقوق الملكية الفكرية</w:t>
      </w:r>
      <w:r w:rsidRPr="00141E93">
        <w:rPr>
          <w:rFonts w:hint="cs"/>
          <w:rtl/>
        </w:rPr>
        <w:t xml:space="preserve">. </w:t>
      </w:r>
      <w:r w:rsidR="009D46D4" w:rsidRPr="00141E93">
        <w:rPr>
          <w:rFonts w:hint="cs"/>
          <w:rtl/>
        </w:rPr>
        <w:t xml:space="preserve">ويُتاح مزيد </w:t>
      </w:r>
      <w:r w:rsidRPr="00141E93">
        <w:rPr>
          <w:rtl/>
        </w:rPr>
        <w:t xml:space="preserve">من المعلومات على الموقع الإلكتروني لبرنامج المساعدة التقنية التي تقدمها الويبو لمكاتب الملكية </w:t>
      </w:r>
      <w:r w:rsidR="009D46D4" w:rsidRPr="00141E93">
        <w:rPr>
          <w:rFonts w:hint="cs"/>
          <w:rtl/>
        </w:rPr>
        <w:t>الصناعية</w:t>
      </w:r>
      <w:r w:rsidR="00513441" w:rsidRPr="00141E93">
        <w:rPr>
          <w:rFonts w:hint="cs"/>
          <w:rtl/>
        </w:rPr>
        <w:t xml:space="preserve"> على الرابط التالي:</w:t>
      </w:r>
      <w:r w:rsidR="009D46D4" w:rsidRPr="00141E93">
        <w:rPr>
          <w:rFonts w:hint="cs"/>
          <w:rtl/>
        </w:rPr>
        <w:t xml:space="preserve"> </w:t>
      </w:r>
      <w:bookmarkStart w:id="2" w:name="_GoBack"/>
      <w:bookmarkEnd w:id="2"/>
      <w:r w:rsidR="00FB5ED1">
        <w:fldChar w:fldCharType="begin"/>
      </w:r>
      <w:r w:rsidR="00FB5ED1">
        <w:instrText xml:space="preserve"> HYPERLINK "</w:instrText>
      </w:r>
      <w:r w:rsidR="00FB5ED1" w:rsidRPr="00FB5ED1">
        <w:instrText>http://www.wipo.int/global_ip/ar/activities/technicalassistance/index.html</w:instrText>
      </w:r>
      <w:r w:rsidR="00FB5ED1">
        <w:instrText xml:space="preserve">" </w:instrText>
      </w:r>
      <w:r w:rsidR="00FB5ED1">
        <w:fldChar w:fldCharType="separate"/>
      </w:r>
      <w:r w:rsidR="00FB5ED1" w:rsidRPr="008C0FAD">
        <w:rPr>
          <w:rStyle w:val="Hyperlink"/>
        </w:rPr>
        <w:t>http://www.wipo.int/global_ip/ar/activities/technicalassistance/index.html</w:t>
      </w:r>
      <w:r w:rsidR="00FB5ED1">
        <w:fldChar w:fldCharType="end"/>
      </w:r>
      <w:r w:rsidR="00413BD2" w:rsidRPr="00141E93">
        <w:rPr>
          <w:rFonts w:hint="cs"/>
          <w:rtl/>
        </w:rPr>
        <w:t xml:space="preserve"> </w:t>
      </w:r>
    </w:p>
    <w:p w:rsidR="008A4289" w:rsidRPr="00141E93" w:rsidRDefault="008A4289" w:rsidP="00873A1A">
      <w:pPr>
        <w:pStyle w:val="NumberedParaAR"/>
        <w:numPr>
          <w:ilvl w:val="0"/>
          <w:numId w:val="0"/>
        </w:numPr>
        <w:spacing w:after="60"/>
        <w:rPr>
          <w:sz w:val="40"/>
          <w:szCs w:val="40"/>
          <w:lang w:val="en-GB"/>
        </w:rPr>
      </w:pPr>
      <w:r w:rsidRPr="00141E93">
        <w:rPr>
          <w:sz w:val="40"/>
          <w:szCs w:val="40"/>
          <w:rtl/>
          <w:lang w:val="en-GB"/>
        </w:rPr>
        <w:t xml:space="preserve">تكوين كفاءات الموظفين والفاحصين </w:t>
      </w:r>
      <w:r w:rsidRPr="00141E93">
        <w:rPr>
          <w:rFonts w:hint="cs"/>
          <w:sz w:val="40"/>
          <w:szCs w:val="40"/>
          <w:rtl/>
          <w:lang w:val="en-GB"/>
        </w:rPr>
        <w:t>المعنيين</w:t>
      </w:r>
      <w:r w:rsidRPr="00141E93">
        <w:rPr>
          <w:sz w:val="40"/>
          <w:szCs w:val="40"/>
          <w:rtl/>
          <w:lang w:val="en-GB"/>
        </w:rPr>
        <w:t xml:space="preserve"> </w:t>
      </w:r>
      <w:r w:rsidRPr="00141E93">
        <w:rPr>
          <w:rFonts w:hint="cs"/>
          <w:sz w:val="40"/>
          <w:szCs w:val="40"/>
          <w:rtl/>
          <w:lang w:val="en-GB"/>
        </w:rPr>
        <w:t>ب</w:t>
      </w:r>
      <w:r w:rsidRPr="00141E93">
        <w:rPr>
          <w:sz w:val="40"/>
          <w:szCs w:val="40"/>
          <w:rtl/>
          <w:lang w:val="en-GB"/>
        </w:rPr>
        <w:t>الملكية الفكرية من أجل استخدام الأدوات الدولية</w:t>
      </w:r>
    </w:p>
    <w:p w:rsidR="00BC3B24" w:rsidRPr="00141E93" w:rsidRDefault="00DB2654" w:rsidP="000C10A2">
      <w:pPr>
        <w:pStyle w:val="NumberedParaAR"/>
      </w:pPr>
      <w:r w:rsidRPr="00141E93">
        <w:rPr>
          <w:rtl/>
        </w:rPr>
        <w:t xml:space="preserve">بناء على طلب الجهات المعنية، </w:t>
      </w:r>
      <w:r w:rsidR="00AC63EB" w:rsidRPr="00141E93">
        <w:rPr>
          <w:rFonts w:hint="cs"/>
          <w:rtl/>
        </w:rPr>
        <w:t>نُظّمت</w:t>
      </w:r>
      <w:r w:rsidRPr="00141E93">
        <w:rPr>
          <w:rtl/>
        </w:rPr>
        <w:t xml:space="preserve"> الدورات والندوات </w:t>
      </w:r>
      <w:r w:rsidR="000C10A2" w:rsidRPr="00141E93">
        <w:rPr>
          <w:rtl/>
        </w:rPr>
        <w:t xml:space="preserve">التدريبية </w:t>
      </w:r>
      <w:r w:rsidRPr="00141E93">
        <w:rPr>
          <w:rtl/>
        </w:rPr>
        <w:t xml:space="preserve">التالية حول استخدام التصنيفات الدولية للموظفين والفاحصين في مكاتب الملكية </w:t>
      </w:r>
      <w:r w:rsidR="00AC63EB" w:rsidRPr="00141E93">
        <w:rPr>
          <w:rFonts w:hint="cs"/>
          <w:rtl/>
        </w:rPr>
        <w:t>الصناعية</w:t>
      </w:r>
      <w:r w:rsidRPr="00141E93">
        <w:rPr>
          <w:rtl/>
        </w:rPr>
        <w:t xml:space="preserve"> في 201</w:t>
      </w:r>
      <w:r w:rsidRPr="00141E93">
        <w:rPr>
          <w:rFonts w:hint="cs"/>
          <w:rtl/>
        </w:rPr>
        <w:t>6</w:t>
      </w:r>
      <w:r w:rsidR="00AB05FC" w:rsidRPr="00141E93">
        <w:rPr>
          <w:rFonts w:hint="cs"/>
          <w:rtl/>
        </w:rPr>
        <w:t xml:space="preserve">. </w:t>
      </w:r>
      <w:r w:rsidR="00AB05FC" w:rsidRPr="00141E93">
        <w:rPr>
          <w:rtl/>
        </w:rPr>
        <w:t>و</w:t>
      </w:r>
      <w:r w:rsidR="00AB05FC" w:rsidRPr="00141E93">
        <w:rPr>
          <w:rFonts w:hint="cs"/>
          <w:rtl/>
        </w:rPr>
        <w:t xml:space="preserve">شُرحت </w:t>
      </w:r>
      <w:r w:rsidR="00AB05FC" w:rsidRPr="00141E93">
        <w:rPr>
          <w:rtl/>
        </w:rPr>
        <w:t>في هذا السياق أهمية معايير الويبو ذات الصلة.</w:t>
      </w:r>
      <w:r w:rsidR="00AB05FC" w:rsidRPr="00141E93">
        <w:rPr>
          <w:rFonts w:hint="cs"/>
          <w:rtl/>
        </w:rPr>
        <w:t xml:space="preserve"> </w:t>
      </w:r>
    </w:p>
    <w:p w:rsidR="00AB05FC" w:rsidRPr="00141E93" w:rsidRDefault="00932C26" w:rsidP="00413BD2">
      <w:pPr>
        <w:pStyle w:val="NumberedParaAR"/>
        <w:numPr>
          <w:ilvl w:val="0"/>
          <w:numId w:val="24"/>
        </w:numPr>
        <w:ind w:left="1133" w:hanging="567"/>
      </w:pPr>
      <w:r w:rsidRPr="00141E93">
        <w:rPr>
          <w:rFonts w:hint="cs"/>
          <w:rtl/>
        </w:rPr>
        <w:t xml:space="preserve">دورة </w:t>
      </w:r>
      <w:r w:rsidR="00AB05FC" w:rsidRPr="00141E93">
        <w:rPr>
          <w:rFonts w:hint="cs"/>
          <w:rtl/>
        </w:rPr>
        <w:t>تدريب على تصنيف فيينا لفائدة فاحصي العلامات</w:t>
      </w:r>
      <w:r w:rsidRPr="00141E93">
        <w:rPr>
          <w:rFonts w:hint="cs"/>
          <w:rtl/>
        </w:rPr>
        <w:t xml:space="preserve"> التجارية عُقدت</w:t>
      </w:r>
      <w:r w:rsidR="00AB05FC" w:rsidRPr="00141E93">
        <w:rPr>
          <w:rFonts w:hint="cs"/>
          <w:rtl/>
        </w:rPr>
        <w:t xml:space="preserve"> في الكويت من 6 إلى 7 مارس</w:t>
      </w:r>
      <w:r w:rsidR="00413BD2" w:rsidRPr="00141E93">
        <w:rPr>
          <w:rFonts w:hint="eastAsia"/>
          <w:rtl/>
        </w:rPr>
        <w:t> </w:t>
      </w:r>
      <w:r w:rsidR="00AB05FC" w:rsidRPr="00141E93">
        <w:rPr>
          <w:rFonts w:hint="cs"/>
          <w:rtl/>
        </w:rPr>
        <w:t>2016؛</w:t>
      </w:r>
    </w:p>
    <w:p w:rsidR="00AB05FC" w:rsidRPr="00141E93" w:rsidRDefault="00932C26" w:rsidP="00413BD2">
      <w:pPr>
        <w:pStyle w:val="NumberedParaAR"/>
        <w:numPr>
          <w:ilvl w:val="0"/>
          <w:numId w:val="24"/>
        </w:numPr>
        <w:ind w:left="1133" w:hanging="567"/>
      </w:pPr>
      <w:r w:rsidRPr="00141E93">
        <w:rPr>
          <w:rFonts w:hint="cs"/>
          <w:rtl/>
        </w:rPr>
        <w:t>دورة تدريب على</w:t>
      </w:r>
      <w:r w:rsidRPr="00141E93">
        <w:rPr>
          <w:rtl/>
        </w:rPr>
        <w:t xml:space="preserve"> تصنيف نيس و</w:t>
      </w:r>
      <w:r w:rsidRPr="00141E93">
        <w:rPr>
          <w:rFonts w:hint="cs"/>
          <w:rtl/>
        </w:rPr>
        <w:t xml:space="preserve">تصنيف </w:t>
      </w:r>
      <w:r w:rsidRPr="00141E93">
        <w:rPr>
          <w:rtl/>
        </w:rPr>
        <w:t xml:space="preserve">فيينا </w:t>
      </w:r>
      <w:r w:rsidRPr="00141E93">
        <w:rPr>
          <w:rFonts w:hint="cs"/>
          <w:rtl/>
        </w:rPr>
        <w:t xml:space="preserve">لفائدة فاحصي العلامات التجارية عُقدت في </w:t>
      </w:r>
      <w:r w:rsidR="005778F6" w:rsidRPr="00141E93">
        <w:rPr>
          <w:rFonts w:hint="cs"/>
          <w:rtl/>
        </w:rPr>
        <w:t>الدوحة بقطر من</w:t>
      </w:r>
      <w:r w:rsidR="00413BD2" w:rsidRPr="00141E93">
        <w:rPr>
          <w:rFonts w:hint="eastAsia"/>
          <w:rtl/>
        </w:rPr>
        <w:t> </w:t>
      </w:r>
      <w:r w:rsidR="005778F6" w:rsidRPr="00141E93">
        <w:rPr>
          <w:rFonts w:hint="cs"/>
          <w:rtl/>
        </w:rPr>
        <w:t xml:space="preserve">28 إلى 31 مارس 2016؛ </w:t>
      </w:r>
    </w:p>
    <w:p w:rsidR="00DC6942" w:rsidRPr="00141E93" w:rsidRDefault="00DC6942" w:rsidP="00413BD2">
      <w:pPr>
        <w:pStyle w:val="NumberedParaAR"/>
        <w:numPr>
          <w:ilvl w:val="0"/>
          <w:numId w:val="24"/>
        </w:numPr>
        <w:ind w:left="1133" w:hanging="567"/>
      </w:pPr>
      <w:r w:rsidRPr="00141E93">
        <w:rPr>
          <w:rFonts w:hint="cs"/>
          <w:rtl/>
        </w:rPr>
        <w:t xml:space="preserve">دورة تدريب على تصنيف فيينا لفائدة فاحصي التصاميم في </w:t>
      </w:r>
      <w:r w:rsidR="00F13A84" w:rsidRPr="00141E93">
        <w:rPr>
          <w:rFonts w:hint="cs"/>
          <w:rtl/>
        </w:rPr>
        <w:t>ال</w:t>
      </w:r>
      <w:r w:rsidRPr="00141E93">
        <w:rPr>
          <w:rFonts w:hint="cs"/>
          <w:rtl/>
        </w:rPr>
        <w:t xml:space="preserve">مكتب </w:t>
      </w:r>
      <w:r w:rsidR="00F13A84" w:rsidRPr="00141E93">
        <w:rPr>
          <w:rFonts w:hint="cs"/>
          <w:rtl/>
        </w:rPr>
        <w:t>المغربي ل</w:t>
      </w:r>
      <w:r w:rsidRPr="00141E93">
        <w:rPr>
          <w:rFonts w:hint="cs"/>
          <w:rtl/>
        </w:rPr>
        <w:t xml:space="preserve">لملكية </w:t>
      </w:r>
      <w:r w:rsidR="00F13A84" w:rsidRPr="00141E93">
        <w:rPr>
          <w:rFonts w:hint="cs"/>
          <w:rtl/>
        </w:rPr>
        <w:t>الصناعية والتجارية</w:t>
      </w:r>
      <w:r w:rsidRPr="00141E93">
        <w:rPr>
          <w:rFonts w:hint="cs"/>
          <w:rtl/>
        </w:rPr>
        <w:t xml:space="preserve"> عُقدت عبر جهاز الفيديو في 21 و22 نوفمبر 2016؛ </w:t>
      </w:r>
    </w:p>
    <w:p w:rsidR="00226BA5" w:rsidRPr="00141E93" w:rsidRDefault="008711B0" w:rsidP="00413BD2">
      <w:pPr>
        <w:pStyle w:val="NumberedParaAR"/>
        <w:numPr>
          <w:ilvl w:val="0"/>
          <w:numId w:val="24"/>
        </w:numPr>
        <w:ind w:left="1133" w:hanging="567"/>
      </w:pPr>
      <w:r w:rsidRPr="00141E93">
        <w:rPr>
          <w:rFonts w:hint="cs"/>
          <w:rtl/>
        </w:rPr>
        <w:t xml:space="preserve">ندوة تدريبية على التصنيف الدولي للبراءات لفائدة </w:t>
      </w:r>
      <w:r w:rsidRPr="00141E93">
        <w:rPr>
          <w:rtl/>
        </w:rPr>
        <w:t xml:space="preserve">المديرية العامة للملكية الفكرية في </w:t>
      </w:r>
      <w:r w:rsidRPr="00141E93">
        <w:rPr>
          <w:rFonts w:hint="cs"/>
          <w:rtl/>
        </w:rPr>
        <w:t xml:space="preserve">جاكارتا بإندونيسيا في 6 و8 ديسمبر 2016. </w:t>
      </w:r>
    </w:p>
    <w:p w:rsidR="004540B0" w:rsidRPr="00141E93" w:rsidRDefault="00226BA5" w:rsidP="007600C5">
      <w:pPr>
        <w:pStyle w:val="NumberedParaAR"/>
        <w:numPr>
          <w:ilvl w:val="0"/>
          <w:numId w:val="0"/>
        </w:numPr>
        <w:spacing w:after="60"/>
        <w:rPr>
          <w:sz w:val="40"/>
          <w:szCs w:val="40"/>
        </w:rPr>
      </w:pPr>
      <w:r w:rsidRPr="00141E93">
        <w:rPr>
          <w:rFonts w:hint="cs"/>
          <w:sz w:val="40"/>
          <w:szCs w:val="40"/>
          <w:rtl/>
        </w:rPr>
        <w:t xml:space="preserve">تعزيز </w:t>
      </w:r>
      <w:r w:rsidRPr="00141E93">
        <w:rPr>
          <w:sz w:val="40"/>
          <w:szCs w:val="40"/>
          <w:rtl/>
        </w:rPr>
        <w:t>فهم معايير الملكية الفكرية</w:t>
      </w:r>
      <w:r w:rsidR="00DC6942" w:rsidRPr="00141E93">
        <w:rPr>
          <w:rFonts w:hint="cs"/>
          <w:sz w:val="40"/>
          <w:szCs w:val="40"/>
          <w:rtl/>
        </w:rPr>
        <w:t xml:space="preserve"> </w:t>
      </w:r>
    </w:p>
    <w:p w:rsidR="00AB05FC" w:rsidRPr="00141E93" w:rsidRDefault="00D71A9F" w:rsidP="00413BD2">
      <w:pPr>
        <w:pStyle w:val="NumberedParaAR"/>
      </w:pPr>
      <w:r w:rsidRPr="00141E93">
        <w:rPr>
          <w:rFonts w:hint="cs"/>
          <w:rtl/>
        </w:rPr>
        <w:t>إن</w:t>
      </w:r>
      <w:r w:rsidRPr="00141E93">
        <w:rPr>
          <w:rtl/>
        </w:rPr>
        <w:t xml:space="preserve"> المكتب الدولي</w:t>
      </w:r>
      <w:r w:rsidRPr="00141E93">
        <w:rPr>
          <w:rFonts w:hint="cs"/>
          <w:rtl/>
        </w:rPr>
        <w:t>، في إطار سعيه إلى تعزيز</w:t>
      </w:r>
      <w:r w:rsidR="004540B0" w:rsidRPr="00141E93">
        <w:rPr>
          <w:rtl/>
        </w:rPr>
        <w:t xml:space="preserve"> الوعي بمعايير </w:t>
      </w:r>
      <w:r w:rsidRPr="00141E93">
        <w:rPr>
          <w:rFonts w:hint="cs"/>
          <w:rtl/>
        </w:rPr>
        <w:t>الويبو</w:t>
      </w:r>
      <w:r w:rsidR="004540B0" w:rsidRPr="00141E93">
        <w:rPr>
          <w:rtl/>
        </w:rPr>
        <w:t xml:space="preserve"> في البلدان ال</w:t>
      </w:r>
      <w:r w:rsidRPr="00141E93">
        <w:rPr>
          <w:rtl/>
        </w:rPr>
        <w:t>نامية و</w:t>
      </w:r>
      <w:r w:rsidR="004540B0" w:rsidRPr="00141E93">
        <w:rPr>
          <w:rtl/>
        </w:rPr>
        <w:t xml:space="preserve">تسهيل مشاركة عدد أكبر من البلدان النامية في إعداد معيار </w:t>
      </w:r>
      <w:r w:rsidR="009546C7" w:rsidRPr="00141E93">
        <w:rPr>
          <w:rFonts w:hint="cs"/>
          <w:rtl/>
        </w:rPr>
        <w:t xml:space="preserve">(معايير) </w:t>
      </w:r>
      <w:r w:rsidR="004540B0" w:rsidRPr="00141E93">
        <w:rPr>
          <w:rtl/>
        </w:rPr>
        <w:t xml:space="preserve">جديد أو </w:t>
      </w:r>
      <w:r w:rsidRPr="00141E93">
        <w:rPr>
          <w:rFonts w:hint="cs"/>
          <w:rtl/>
        </w:rPr>
        <w:t>منقّح</w:t>
      </w:r>
      <w:r w:rsidR="004540B0" w:rsidRPr="00141E93">
        <w:rPr>
          <w:rtl/>
        </w:rPr>
        <w:t xml:space="preserve"> من معايير الويبو، وعملا بالقرار الذي اتخذته الجمعية العامة في أكتوبر</w:t>
      </w:r>
      <w:r w:rsidR="00413BD2" w:rsidRPr="00141E93">
        <w:rPr>
          <w:rFonts w:hint="cs"/>
          <w:rtl/>
        </w:rPr>
        <w:t> </w:t>
      </w:r>
      <w:r w:rsidR="004540B0" w:rsidRPr="00141E93">
        <w:rPr>
          <w:rtl/>
        </w:rPr>
        <w:t xml:space="preserve">2011، </w:t>
      </w:r>
      <w:r w:rsidRPr="00141E93">
        <w:rPr>
          <w:rFonts w:hint="cs"/>
          <w:rtl/>
        </w:rPr>
        <w:t>قد موّل</w:t>
      </w:r>
      <w:r w:rsidR="004540B0" w:rsidRPr="00141E93">
        <w:rPr>
          <w:rtl/>
        </w:rPr>
        <w:t xml:space="preserve"> مشاركة </w:t>
      </w:r>
      <w:r w:rsidRPr="00141E93">
        <w:rPr>
          <w:rFonts w:hint="cs"/>
          <w:rtl/>
        </w:rPr>
        <w:t>خمسة</w:t>
      </w:r>
      <w:r w:rsidR="004540B0" w:rsidRPr="00141E93">
        <w:rPr>
          <w:rtl/>
        </w:rPr>
        <w:t xml:space="preserve"> بلدان </w:t>
      </w:r>
      <w:r w:rsidRPr="00141E93">
        <w:rPr>
          <w:rFonts w:hint="cs"/>
          <w:rtl/>
        </w:rPr>
        <w:t xml:space="preserve">من البلدان النامية أو أقل البلدان نمواً </w:t>
      </w:r>
      <w:r w:rsidR="004540B0" w:rsidRPr="00141E93">
        <w:rPr>
          <w:rtl/>
        </w:rPr>
        <w:t xml:space="preserve">في </w:t>
      </w:r>
      <w:r w:rsidRPr="00141E93">
        <w:rPr>
          <w:rtl/>
        </w:rPr>
        <w:t xml:space="preserve">دورة </w:t>
      </w:r>
      <w:r w:rsidR="009546C7" w:rsidRPr="00141E93">
        <w:rPr>
          <w:rFonts w:hint="cs"/>
          <w:rtl/>
        </w:rPr>
        <w:t>لجنة المعايير</w:t>
      </w:r>
      <w:r w:rsidRPr="00141E93">
        <w:rPr>
          <w:rtl/>
        </w:rPr>
        <w:t xml:space="preserve"> الرابعة المجتمعة</w:t>
      </w:r>
      <w:r w:rsidR="00413BD2" w:rsidRPr="00141E93">
        <w:rPr>
          <w:rFonts w:hint="cs"/>
          <w:rtl/>
        </w:rPr>
        <w:t> </w:t>
      </w:r>
      <w:r w:rsidR="00413BD2" w:rsidRPr="00141E93">
        <w:rPr>
          <w:rtl/>
        </w:rPr>
        <w:t>مجد</w:t>
      </w:r>
      <w:r w:rsidRPr="00141E93">
        <w:rPr>
          <w:rtl/>
        </w:rPr>
        <w:t>دا</w:t>
      </w:r>
      <w:r w:rsidR="004540B0" w:rsidRPr="00141E93">
        <w:rPr>
          <w:rtl/>
        </w:rPr>
        <w:t>.</w:t>
      </w:r>
    </w:p>
    <w:p w:rsidR="00C2761A" w:rsidRPr="00141E93" w:rsidRDefault="009E3A41" w:rsidP="00413BD2">
      <w:pPr>
        <w:pStyle w:val="NumberedParaAR"/>
        <w:rPr>
          <w:rStyle w:val="Hyperlink"/>
          <w:color w:val="auto"/>
          <w:u w:val="none"/>
        </w:rPr>
      </w:pPr>
      <w:r w:rsidRPr="00141E93">
        <w:rPr>
          <w:rtl/>
        </w:rPr>
        <w:lastRenderedPageBreak/>
        <w:t>وفي</w:t>
      </w:r>
      <w:r w:rsidRPr="00141E93">
        <w:rPr>
          <w:rFonts w:hint="cs"/>
          <w:rtl/>
        </w:rPr>
        <w:t xml:space="preserve"> عام</w:t>
      </w:r>
      <w:r w:rsidRPr="00141E93">
        <w:rPr>
          <w:rtl/>
        </w:rPr>
        <w:t xml:space="preserve"> 201</w:t>
      </w:r>
      <w:r w:rsidRPr="00141E93">
        <w:rPr>
          <w:rFonts w:hint="cs"/>
          <w:rtl/>
        </w:rPr>
        <w:t>6</w:t>
      </w:r>
      <w:r w:rsidRPr="00141E93">
        <w:rPr>
          <w:rtl/>
        </w:rPr>
        <w:t>، جُدد موقع الويبو الإلكتروني وأعيد تصميمه</w:t>
      </w:r>
      <w:r w:rsidRPr="00141E93">
        <w:rPr>
          <w:rFonts w:hint="cs"/>
          <w:rtl/>
        </w:rPr>
        <w:t xml:space="preserve"> </w:t>
      </w:r>
      <w:r w:rsidRPr="00141E93">
        <w:rPr>
          <w:rtl/>
        </w:rPr>
        <w:t xml:space="preserve">بغية </w:t>
      </w:r>
      <w:r w:rsidRPr="00141E93">
        <w:rPr>
          <w:rFonts w:hint="cs"/>
          <w:rtl/>
        </w:rPr>
        <w:t>تيسير</w:t>
      </w:r>
      <w:r w:rsidRPr="00141E93">
        <w:rPr>
          <w:rtl/>
        </w:rPr>
        <w:t xml:space="preserve"> النفاذ إلى </w:t>
      </w:r>
      <w:r w:rsidR="0025398D" w:rsidRPr="00141E93">
        <w:rPr>
          <w:rFonts w:hint="cs"/>
          <w:rtl/>
        </w:rPr>
        <w:t>المعاي</w:t>
      </w:r>
      <w:r w:rsidR="00413BD2" w:rsidRPr="00141E93">
        <w:rPr>
          <w:rFonts w:hint="cs"/>
          <w:rtl/>
        </w:rPr>
        <w:t>ير الأكثر استخداما</w:t>
      </w:r>
      <w:r w:rsidR="0025398D" w:rsidRPr="00141E93">
        <w:rPr>
          <w:rFonts w:hint="cs"/>
          <w:rtl/>
        </w:rPr>
        <w:t xml:space="preserve"> والمعايير الأكثر أهمية بالنسبة لمجموعات معيّنة من المستخدمين كمكاتب الملكية الصناعية ومستخدمي المعلومات عن الملكية الفكرية والمودعين (انظر </w:t>
      </w:r>
      <w:hyperlink r:id="rId10" w:history="1">
        <w:r w:rsidR="00413BD2" w:rsidRPr="00141E93">
          <w:rPr>
            <w:rStyle w:val="Hyperlink"/>
            <w:color w:val="auto"/>
          </w:rPr>
          <w:t>http://www.wipo.int/standards/ar/index.html</w:t>
        </w:r>
      </w:hyperlink>
      <w:r w:rsidR="0025398D" w:rsidRPr="00141E93">
        <w:rPr>
          <w:rFonts w:hint="cs"/>
          <w:rtl/>
        </w:rPr>
        <w:t>)</w:t>
      </w:r>
      <w:r w:rsidR="00DD36B7" w:rsidRPr="00141E93">
        <w:rPr>
          <w:rFonts w:hint="cs"/>
          <w:rtl/>
        </w:rPr>
        <w:t xml:space="preserve">. </w:t>
      </w:r>
      <w:r w:rsidR="00812E45" w:rsidRPr="00141E93">
        <w:rPr>
          <w:rFonts w:hint="cs"/>
          <w:rtl/>
        </w:rPr>
        <w:t>ولتع</w:t>
      </w:r>
      <w:r w:rsidR="00413BD2" w:rsidRPr="00141E93">
        <w:rPr>
          <w:rFonts w:hint="cs"/>
          <w:rtl/>
        </w:rPr>
        <w:t>زيز التوعية بمعايير الويبو، أعد المكتب الدولي فضلا عن ذلك كُتيبا خاصا</w:t>
      </w:r>
      <w:r w:rsidR="00812E45" w:rsidRPr="00141E93">
        <w:rPr>
          <w:rFonts w:hint="cs"/>
          <w:rtl/>
        </w:rPr>
        <w:t xml:space="preserve"> بهذه المعايير في ست لغات</w:t>
      </w:r>
      <w:r w:rsidR="008C0D6D" w:rsidRPr="00141E93">
        <w:rPr>
          <w:rFonts w:hint="cs"/>
          <w:rtl/>
        </w:rPr>
        <w:t xml:space="preserve">، وهو متاح على الموقع الإلكتروني على الرابط التالي: </w:t>
      </w:r>
      <w:hyperlink r:id="rId11" w:history="1">
        <w:r w:rsidR="008C0D6D" w:rsidRPr="00141E93">
          <w:rPr>
            <w:rStyle w:val="Hyperlink"/>
            <w:color w:val="auto"/>
          </w:rPr>
          <w:t>http://www.wipo.int/export/sites/www/standards/en/pdf/standards-brochure-web.pdf</w:t>
        </w:r>
      </w:hyperlink>
      <w:r w:rsidR="008C0D6D" w:rsidRPr="00141E93">
        <w:rPr>
          <w:rStyle w:val="Hyperlink"/>
          <w:rFonts w:hint="cs"/>
          <w:color w:val="auto"/>
          <w:rtl/>
        </w:rPr>
        <w:t xml:space="preserve">. </w:t>
      </w:r>
    </w:p>
    <w:p w:rsidR="00BA7F88" w:rsidRPr="00141E93" w:rsidRDefault="00BA7F88" w:rsidP="00901909">
      <w:pPr>
        <w:pStyle w:val="NumberedParaAR"/>
        <w:numPr>
          <w:ilvl w:val="0"/>
          <w:numId w:val="0"/>
        </w:numPr>
        <w:spacing w:after="60"/>
        <w:rPr>
          <w:rStyle w:val="Hyperlink"/>
          <w:color w:val="auto"/>
          <w:sz w:val="40"/>
          <w:szCs w:val="40"/>
          <w:u w:val="none"/>
        </w:rPr>
      </w:pPr>
      <w:r w:rsidRPr="00141E93">
        <w:rPr>
          <w:rStyle w:val="Hyperlink"/>
          <w:color w:val="auto"/>
          <w:sz w:val="40"/>
          <w:szCs w:val="40"/>
          <w:u w:val="none"/>
          <w:rtl/>
        </w:rPr>
        <w:t>تبادل بيانات البراءات</w:t>
      </w:r>
    </w:p>
    <w:p w:rsidR="00C2761A" w:rsidRPr="002A7EA1" w:rsidRDefault="00715274" w:rsidP="00FB5ED1">
      <w:pPr>
        <w:pStyle w:val="NumberedParaAR"/>
        <w:spacing w:after="0"/>
      </w:pPr>
      <w:r w:rsidRPr="00141E93">
        <w:rPr>
          <w:rFonts w:hint="cs"/>
          <w:rtl/>
        </w:rPr>
        <w:t>تعاون</w:t>
      </w:r>
      <w:r w:rsidRPr="00141E93">
        <w:rPr>
          <w:rtl/>
        </w:rPr>
        <w:t xml:space="preserve"> المكتب الدولي مع </w:t>
      </w:r>
      <w:r w:rsidRPr="00141E93">
        <w:rPr>
          <w:rFonts w:hint="cs"/>
          <w:rtl/>
        </w:rPr>
        <w:t xml:space="preserve">الكثير من </w:t>
      </w:r>
      <w:r w:rsidRPr="00141E93">
        <w:rPr>
          <w:rtl/>
        </w:rPr>
        <w:t xml:space="preserve">مكاتب الملكية </w:t>
      </w:r>
      <w:r w:rsidRPr="00141E93">
        <w:rPr>
          <w:rFonts w:hint="cs"/>
          <w:rtl/>
        </w:rPr>
        <w:t>الصناعية، لا سيما</w:t>
      </w:r>
      <w:r w:rsidRPr="00141E93">
        <w:rPr>
          <w:rtl/>
        </w:rPr>
        <w:t xml:space="preserve"> في بعض مجموعات البلدان النامية</w:t>
      </w:r>
      <w:r w:rsidR="00151C9B" w:rsidRPr="00141E93">
        <w:rPr>
          <w:rFonts w:hint="cs"/>
          <w:rtl/>
        </w:rPr>
        <w:t>،</w:t>
      </w:r>
      <w:r w:rsidRPr="00141E93">
        <w:rPr>
          <w:rtl/>
        </w:rPr>
        <w:t xml:space="preserve"> لتعزيز تبادل بيانات البراءات بهدف تمكين المستخدمين في تلك البلدان من </w:t>
      </w:r>
      <w:r w:rsidR="00151C9B" w:rsidRPr="00141E93">
        <w:rPr>
          <w:rFonts w:hint="cs"/>
          <w:rtl/>
        </w:rPr>
        <w:t xml:space="preserve">زيادة </w:t>
      </w:r>
      <w:r w:rsidRPr="00141E93">
        <w:rPr>
          <w:rtl/>
        </w:rPr>
        <w:t xml:space="preserve">النفاذ إلى المعلومات </w:t>
      </w:r>
      <w:r w:rsidR="00151C9B" w:rsidRPr="00141E93">
        <w:rPr>
          <w:rFonts w:hint="cs"/>
          <w:rtl/>
        </w:rPr>
        <w:t xml:space="preserve">عن </w:t>
      </w:r>
      <w:r w:rsidRPr="00141E93">
        <w:rPr>
          <w:rtl/>
        </w:rPr>
        <w:t>البراءات المتأتية من تلك المكاتب.</w:t>
      </w:r>
      <w:r w:rsidRPr="00141E93">
        <w:rPr>
          <w:rFonts w:hint="cs"/>
          <w:rtl/>
        </w:rPr>
        <w:t xml:space="preserve"> </w:t>
      </w:r>
      <w:r w:rsidRPr="00141E93">
        <w:rPr>
          <w:rtl/>
        </w:rPr>
        <w:t>وقد نُظم تبادل المعلومات المتعلقة بالبراءات وفقا لمعايير الويبو الملائمة.</w:t>
      </w:r>
      <w:r w:rsidRPr="00141E93">
        <w:rPr>
          <w:rFonts w:hint="cs"/>
          <w:rtl/>
        </w:rPr>
        <w:t xml:space="preserve"> </w:t>
      </w:r>
      <w:r w:rsidRPr="00141E93">
        <w:rPr>
          <w:rtl/>
        </w:rPr>
        <w:t>و</w:t>
      </w:r>
      <w:r w:rsidR="00661419" w:rsidRPr="00141E93">
        <w:rPr>
          <w:rFonts w:hint="cs"/>
          <w:rtl/>
        </w:rPr>
        <w:t>في</w:t>
      </w:r>
      <w:r w:rsidR="00661419" w:rsidRPr="00141E93">
        <w:rPr>
          <w:rtl/>
        </w:rPr>
        <w:t xml:space="preserve"> عام 201</w:t>
      </w:r>
      <w:r w:rsidR="00661419" w:rsidRPr="00141E93">
        <w:rPr>
          <w:rFonts w:hint="cs"/>
          <w:rtl/>
        </w:rPr>
        <w:t xml:space="preserve">6، </w:t>
      </w:r>
      <w:r w:rsidRPr="00141E93">
        <w:rPr>
          <w:rtl/>
        </w:rPr>
        <w:t xml:space="preserve">أُدرجت مجموعات براءات البلدان النامية التالية في </w:t>
      </w:r>
      <w:r w:rsidR="00661419" w:rsidRPr="00141E93">
        <w:rPr>
          <w:rtl/>
        </w:rPr>
        <w:t>قاعدة البيانات العالمية للعلامات التجارية</w:t>
      </w:r>
      <w:r w:rsidRPr="00141E93">
        <w:rPr>
          <w:rtl/>
        </w:rPr>
        <w:t xml:space="preserve">: </w:t>
      </w:r>
      <w:r w:rsidR="00B40B99" w:rsidRPr="00141E93">
        <w:rPr>
          <w:rFonts w:hint="cs"/>
          <w:rtl/>
        </w:rPr>
        <w:t xml:space="preserve">جورجيا والأردن وماليزيا ومنغوليا وبابوا غينيا الجديدة وإسبانيا؛ </w:t>
      </w:r>
      <w:r w:rsidR="005A2ED2" w:rsidRPr="00141E93">
        <w:rPr>
          <w:rtl/>
        </w:rPr>
        <w:t xml:space="preserve">وأُدرجت مجموعات براءات البلدان التالية في </w:t>
      </w:r>
      <w:r w:rsidR="005A2ED2" w:rsidRPr="00141E93">
        <w:rPr>
          <w:rFonts w:hint="cs"/>
          <w:rtl/>
        </w:rPr>
        <w:t>ركن البراءات</w:t>
      </w:r>
      <w:r w:rsidR="005A2ED2" w:rsidRPr="00141E93">
        <w:rPr>
          <w:rtl/>
        </w:rPr>
        <w:t xml:space="preserve"> </w:t>
      </w:r>
      <w:r w:rsidR="005A2ED2" w:rsidRPr="00141E93">
        <w:rPr>
          <w:rFonts w:hint="cs"/>
          <w:rtl/>
        </w:rPr>
        <w:t>في</w:t>
      </w:r>
      <w:r w:rsidR="005A2ED2" w:rsidRPr="00141E93">
        <w:rPr>
          <w:rtl/>
        </w:rPr>
        <w:t xml:space="preserve"> عام </w:t>
      </w:r>
      <w:r w:rsidR="005A2ED2" w:rsidRPr="00141E93">
        <w:rPr>
          <w:rFonts w:hint="cs"/>
          <w:rtl/>
        </w:rPr>
        <w:t xml:space="preserve">2016: </w:t>
      </w:r>
      <w:r w:rsidRPr="00141E93">
        <w:rPr>
          <w:rtl/>
        </w:rPr>
        <w:t xml:space="preserve">الصين </w:t>
      </w:r>
      <w:r w:rsidR="00661419" w:rsidRPr="00141E93">
        <w:rPr>
          <w:rFonts w:hint="cs"/>
          <w:rtl/>
        </w:rPr>
        <w:t>(</w:t>
      </w:r>
      <w:r w:rsidR="003C44EE" w:rsidRPr="00141E93">
        <w:rPr>
          <w:rtl/>
        </w:rPr>
        <w:t>نماذج المنفعة</w:t>
      </w:r>
      <w:r w:rsidR="003C44EE" w:rsidRPr="00141E93">
        <w:rPr>
          <w:rFonts w:hint="cs"/>
          <w:rtl/>
        </w:rPr>
        <w:t xml:space="preserve"> إلى جانب مجموعات البراءات المتوفرة</w:t>
      </w:r>
      <w:r w:rsidR="005A2ED2" w:rsidRPr="00141E93">
        <w:rPr>
          <w:rFonts w:hint="cs"/>
          <w:rtl/>
        </w:rPr>
        <w:t xml:space="preserve"> بالنسبة للصين</w:t>
      </w:r>
      <w:r w:rsidR="003C44EE" w:rsidRPr="00141E93">
        <w:rPr>
          <w:rFonts w:hint="cs"/>
          <w:rtl/>
        </w:rPr>
        <w:t xml:space="preserve"> </w:t>
      </w:r>
      <w:r w:rsidR="00661419" w:rsidRPr="00141E93">
        <w:rPr>
          <w:rFonts w:hint="cs"/>
          <w:rtl/>
        </w:rPr>
        <w:t>) والمملكة المتحدة (</w:t>
      </w:r>
      <w:r w:rsidR="003C44EE" w:rsidRPr="00141E93">
        <w:rPr>
          <w:rFonts w:hint="cs"/>
          <w:rtl/>
        </w:rPr>
        <w:t xml:space="preserve">نص كامل إلى جانب مجموعات البيانات </w:t>
      </w:r>
      <w:r w:rsidR="003C44EE" w:rsidRPr="00141E93">
        <w:rPr>
          <w:rtl/>
        </w:rPr>
        <w:t>الببليوغرافية</w:t>
      </w:r>
      <w:r w:rsidR="00B40B99" w:rsidRPr="00141E93">
        <w:rPr>
          <w:rFonts w:hint="cs"/>
          <w:rtl/>
        </w:rPr>
        <w:t xml:space="preserve"> المتوفرة</w:t>
      </w:r>
      <w:r w:rsidR="003C44EE" w:rsidRPr="00141E93">
        <w:rPr>
          <w:rFonts w:hint="cs"/>
          <w:rtl/>
        </w:rPr>
        <w:t xml:space="preserve"> </w:t>
      </w:r>
      <w:r w:rsidR="005A2ED2" w:rsidRPr="00141E93">
        <w:rPr>
          <w:rFonts w:hint="cs"/>
          <w:rtl/>
        </w:rPr>
        <w:t>بالنسبة للم</w:t>
      </w:r>
      <w:r w:rsidR="00F1189E" w:rsidRPr="00141E93">
        <w:rPr>
          <w:rFonts w:hint="cs"/>
          <w:rtl/>
        </w:rPr>
        <w:t>م</w:t>
      </w:r>
      <w:r w:rsidR="005A2ED2" w:rsidRPr="00141E93">
        <w:rPr>
          <w:rFonts w:hint="cs"/>
          <w:rtl/>
        </w:rPr>
        <w:t>لكة المتحدة</w:t>
      </w:r>
      <w:r w:rsidR="00661419" w:rsidRPr="00141E93">
        <w:rPr>
          <w:rFonts w:hint="cs"/>
          <w:rtl/>
        </w:rPr>
        <w:t>).</w:t>
      </w:r>
    </w:p>
    <w:p w:rsidR="0039092D" w:rsidRPr="002A7EA1" w:rsidRDefault="007E3083" w:rsidP="00FB5ED1">
      <w:pPr>
        <w:pStyle w:val="DecisionParaAR"/>
        <w:spacing w:after="0"/>
      </w:pPr>
      <w:r w:rsidRPr="00141E93">
        <w:rPr>
          <w:rtl/>
          <w:lang w:val="fr-CH"/>
        </w:rPr>
        <w:t>إن لجنة</w:t>
      </w:r>
      <w:r w:rsidRPr="00141E93">
        <w:rPr>
          <w:rFonts w:hint="cs"/>
          <w:rtl/>
          <w:lang w:val="fr-CH"/>
        </w:rPr>
        <w:t xml:space="preserve"> المعايير</w:t>
      </w:r>
      <w:r w:rsidRPr="00141E93">
        <w:rPr>
          <w:rtl/>
          <w:lang w:val="fr-CH"/>
        </w:rPr>
        <w:t xml:space="preserve"> مدعوة إلى الإحاطة علما بالأنشطة التي اضطلع بها المكتب الدولي في</w:t>
      </w:r>
      <w:r w:rsidR="0091520A" w:rsidRPr="00141E93">
        <w:rPr>
          <w:rFonts w:hint="cs"/>
          <w:rtl/>
          <w:lang w:val="fr-CH"/>
        </w:rPr>
        <w:t xml:space="preserve"> عام</w:t>
      </w:r>
      <w:r w:rsidR="00FD491F" w:rsidRPr="00141E93">
        <w:rPr>
          <w:rFonts w:hint="cs"/>
          <w:rtl/>
          <w:lang w:val="fr-CH"/>
        </w:rPr>
        <w:t> </w:t>
      </w:r>
      <w:r w:rsidRPr="00141E93">
        <w:rPr>
          <w:rtl/>
          <w:lang w:val="fr-CH"/>
        </w:rPr>
        <w:t>201</w:t>
      </w:r>
      <w:r w:rsidRPr="00141E93">
        <w:rPr>
          <w:rFonts w:hint="cs"/>
          <w:rtl/>
          <w:lang w:val="fr-CH"/>
        </w:rPr>
        <w:t>6</w:t>
      </w:r>
      <w:r w:rsidRPr="00141E93">
        <w:rPr>
          <w:rtl/>
          <w:lang w:val="fr-CH"/>
        </w:rPr>
        <w:t xml:space="preserve"> لتقديم المشورة التقنية والمساعدة من أجل تكوين الكفاءات لدى مكاتب الملكية </w:t>
      </w:r>
      <w:r w:rsidRPr="00141E93">
        <w:rPr>
          <w:rFonts w:hint="cs"/>
          <w:rtl/>
          <w:lang w:val="fr-CH"/>
        </w:rPr>
        <w:t>الصناعية</w:t>
      </w:r>
      <w:r w:rsidRPr="00141E93">
        <w:rPr>
          <w:rtl/>
          <w:lang w:val="fr-CH"/>
        </w:rPr>
        <w:t xml:space="preserve">، </w:t>
      </w:r>
      <w:r w:rsidR="0091520A" w:rsidRPr="00141E93">
        <w:rPr>
          <w:rFonts w:hint="cs"/>
          <w:rtl/>
          <w:lang w:val="fr-CH"/>
        </w:rPr>
        <w:t>بشأن</w:t>
      </w:r>
      <w:r w:rsidR="0091520A" w:rsidRPr="00141E93">
        <w:rPr>
          <w:rtl/>
          <w:lang w:val="fr-CH"/>
        </w:rPr>
        <w:t xml:space="preserve"> </w:t>
      </w:r>
      <w:r w:rsidRPr="00141E93">
        <w:rPr>
          <w:rtl/>
          <w:lang w:val="fr-CH"/>
        </w:rPr>
        <w:t>تعميم المعلومات المتعلقة بمعايير الملكية الفكرية.</w:t>
      </w:r>
      <w:r w:rsidR="000E3044" w:rsidRPr="00141E93">
        <w:rPr>
          <w:rtl/>
        </w:rPr>
        <w:t xml:space="preserve"> </w:t>
      </w:r>
      <w:r w:rsidR="000E3044" w:rsidRPr="00141E93">
        <w:rPr>
          <w:rtl/>
          <w:lang w:val="fr-CH"/>
        </w:rPr>
        <w:t>وسوف تفيد هذه الوثيقة كأساس للتقرير الذي سيقدَّم إلى الجمعية العامة للويبو التي ست</w:t>
      </w:r>
      <w:r w:rsidR="000405C1" w:rsidRPr="00141E93">
        <w:rPr>
          <w:rFonts w:hint="cs"/>
          <w:rtl/>
          <w:lang w:val="fr-CH"/>
        </w:rPr>
        <w:t>ُ</w:t>
      </w:r>
      <w:r w:rsidR="000E3044" w:rsidRPr="00141E93">
        <w:rPr>
          <w:rtl/>
          <w:lang w:val="fr-CH"/>
        </w:rPr>
        <w:t xml:space="preserve">عقد في </w:t>
      </w:r>
      <w:r w:rsidR="000E3044" w:rsidRPr="00141E93">
        <w:rPr>
          <w:rFonts w:hint="cs"/>
          <w:rtl/>
          <w:lang w:val="fr-CH"/>
        </w:rPr>
        <w:t>أكتوبر</w:t>
      </w:r>
      <w:r w:rsidR="000E3044" w:rsidRPr="00141E93">
        <w:rPr>
          <w:rtl/>
          <w:lang w:val="fr-CH"/>
        </w:rPr>
        <w:t xml:space="preserve"> 201</w:t>
      </w:r>
      <w:r w:rsidR="000E3044" w:rsidRPr="00141E93">
        <w:rPr>
          <w:rFonts w:hint="cs"/>
          <w:rtl/>
          <w:lang w:val="fr-CH"/>
        </w:rPr>
        <w:t>7</w:t>
      </w:r>
      <w:r w:rsidR="000E3044" w:rsidRPr="00141E93">
        <w:rPr>
          <w:rtl/>
          <w:lang w:val="fr-CH"/>
        </w:rPr>
        <w:t>، كما طُلب في دورتها الأربعين التي ع</w:t>
      </w:r>
      <w:r w:rsidR="00903356" w:rsidRPr="00141E93">
        <w:rPr>
          <w:rFonts w:hint="cs"/>
          <w:rtl/>
          <w:lang w:val="fr-CH"/>
        </w:rPr>
        <w:t>ُ</w:t>
      </w:r>
      <w:r w:rsidR="000E3044" w:rsidRPr="00141E93">
        <w:rPr>
          <w:rtl/>
          <w:lang w:val="fr-CH"/>
        </w:rPr>
        <w:t>قدت في أكتوبر 2011 (انظر الفقرة</w:t>
      </w:r>
      <w:r w:rsidR="00FD491F" w:rsidRPr="00141E93">
        <w:rPr>
          <w:rFonts w:hint="cs"/>
          <w:rtl/>
          <w:lang w:val="fr-CH"/>
        </w:rPr>
        <w:t> </w:t>
      </w:r>
      <w:r w:rsidR="000E3044" w:rsidRPr="00141E93">
        <w:rPr>
          <w:rtl/>
          <w:lang w:val="fr-CH"/>
        </w:rPr>
        <w:t xml:space="preserve">190 من الوثيقة </w:t>
      </w:r>
      <w:r w:rsidR="000E3044" w:rsidRPr="002A7EA1">
        <w:t>WO/GA/40/19</w:t>
      </w:r>
      <w:r w:rsidR="000E3044" w:rsidRPr="00141E93">
        <w:rPr>
          <w:rtl/>
          <w:lang w:val="fr-CH"/>
        </w:rPr>
        <w:t>).</w:t>
      </w:r>
    </w:p>
    <w:p w:rsidR="00FB5ED1" w:rsidRDefault="00FB5ED1" w:rsidP="00FB5ED1">
      <w:pPr>
        <w:pStyle w:val="EndofDocumentAR"/>
        <w:spacing w:after="0"/>
        <w:rPr>
          <w:lang w:val="fr-FR"/>
        </w:rPr>
      </w:pPr>
    </w:p>
    <w:p w:rsidR="00FB5ED1" w:rsidRDefault="00FB5ED1" w:rsidP="00FB5ED1">
      <w:pPr>
        <w:pStyle w:val="EndofDocumentAR"/>
        <w:spacing w:after="0"/>
        <w:rPr>
          <w:lang w:val="fr-FR"/>
        </w:rPr>
      </w:pPr>
    </w:p>
    <w:p w:rsidR="000E3044" w:rsidRDefault="000E3044" w:rsidP="00FB5ED1">
      <w:pPr>
        <w:pStyle w:val="EndofDocumentAR"/>
        <w:spacing w:after="0"/>
        <w:rPr>
          <w:lang w:val="fr-FR"/>
        </w:rPr>
      </w:pPr>
      <w:r w:rsidRPr="00141E93">
        <w:rPr>
          <w:rtl/>
          <w:lang w:val="fr-CH"/>
        </w:rPr>
        <w:t>[نهاية الوثيقة]</w:t>
      </w:r>
    </w:p>
    <w:sectPr w:rsidR="000E3044" w:rsidSect="00F27A7C">
      <w:headerReference w:type="defaul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D1" w:rsidRDefault="00065ED1">
      <w:r>
        <w:separator/>
      </w:r>
    </w:p>
  </w:endnote>
  <w:endnote w:type="continuationSeparator" w:id="0">
    <w:p w:rsidR="00065ED1" w:rsidRDefault="0006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D1" w:rsidRDefault="00065ED1" w:rsidP="009622BF">
      <w:pPr>
        <w:bidi/>
      </w:pPr>
      <w:bookmarkStart w:id="0" w:name="OLE_LINK1"/>
      <w:bookmarkStart w:id="1" w:name="OLE_LINK2"/>
      <w:r>
        <w:separator/>
      </w:r>
      <w:bookmarkEnd w:id="0"/>
      <w:bookmarkEnd w:id="1"/>
    </w:p>
  </w:footnote>
  <w:footnote w:type="continuationSeparator" w:id="0">
    <w:p w:rsidR="00065ED1" w:rsidRDefault="00065ED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2761A" w:rsidP="00B468A6">
    <w:r>
      <w:t>CWS</w:t>
    </w:r>
    <w:r w:rsidR="00065ED1">
      <w:t>/</w:t>
    </w:r>
    <w:r>
      <w:t>5</w:t>
    </w:r>
    <w:r w:rsidR="002F77FC">
      <w:t>/</w:t>
    </w:r>
    <w:r w:rsidR="00B468A6" w:rsidRPr="00B468A6">
      <w:t>19</w:t>
    </w:r>
  </w:p>
  <w:p w:rsidR="002F77FC" w:rsidRDefault="00F27A7C" w:rsidP="00D61541">
    <w:pPr>
      <w:rPr>
        <w:noProof/>
      </w:rPr>
    </w:pPr>
    <w:r>
      <w:fldChar w:fldCharType="begin"/>
    </w:r>
    <w:r>
      <w:instrText xml:space="preserve"> PAGE   \* MERGEFORMAT </w:instrText>
    </w:r>
    <w:r>
      <w:fldChar w:fldCharType="separate"/>
    </w:r>
    <w:r w:rsidR="00FB5ED1">
      <w:rPr>
        <w:noProof/>
      </w:rPr>
      <w:t>3</w:t>
    </w:r>
    <w:r>
      <w:rPr>
        <w:noProof/>
      </w:rPr>
      <w:fldChar w:fldCharType="end"/>
    </w:r>
  </w:p>
  <w:p w:rsidR="005677B7" w:rsidRDefault="005677B7" w:rsidP="00D61541"/>
  <w:p w:rsidR="00FB5ED1" w:rsidRDefault="00FB5ED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7">
    <w:nsid w:val="5AF82341"/>
    <w:multiLevelType w:val="hybridMultilevel"/>
    <w:tmpl w:val="5844BDF8"/>
    <w:lvl w:ilvl="0" w:tplc="8758DE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0"/>
  </w:num>
  <w:num w:numId="5">
    <w:abstractNumId w:val="8"/>
  </w:num>
  <w:num w:numId="6">
    <w:abstractNumId w:val="21"/>
  </w:num>
  <w:num w:numId="7">
    <w:abstractNumId w:val="14"/>
  </w:num>
  <w:num w:numId="8">
    <w:abstractNumId w:val="19"/>
  </w:num>
  <w:num w:numId="9">
    <w:abstractNumId w:val="18"/>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2"/>
  </w:num>
  <w:num w:numId="24">
    <w:abstractNumId w:val="17"/>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D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5C1"/>
    <w:rsid w:val="00040637"/>
    <w:rsid w:val="00040688"/>
    <w:rsid w:val="0004070F"/>
    <w:rsid w:val="0004115B"/>
    <w:rsid w:val="00042F2D"/>
    <w:rsid w:val="000432B2"/>
    <w:rsid w:val="000432CF"/>
    <w:rsid w:val="000438A8"/>
    <w:rsid w:val="000439F7"/>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0A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044"/>
    <w:rsid w:val="000E47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91A"/>
    <w:rsid w:val="00131E8F"/>
    <w:rsid w:val="00135C24"/>
    <w:rsid w:val="00136389"/>
    <w:rsid w:val="00136A1A"/>
    <w:rsid w:val="00136A96"/>
    <w:rsid w:val="001376B6"/>
    <w:rsid w:val="00140A35"/>
    <w:rsid w:val="00141E93"/>
    <w:rsid w:val="00142F4D"/>
    <w:rsid w:val="00143428"/>
    <w:rsid w:val="0014412C"/>
    <w:rsid w:val="00144713"/>
    <w:rsid w:val="00144C0D"/>
    <w:rsid w:val="00144CC3"/>
    <w:rsid w:val="0015009D"/>
    <w:rsid w:val="001519FB"/>
    <w:rsid w:val="00151B18"/>
    <w:rsid w:val="00151BF2"/>
    <w:rsid w:val="00151C68"/>
    <w:rsid w:val="00151C9B"/>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8DC"/>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299"/>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E85"/>
    <w:rsid w:val="00222760"/>
    <w:rsid w:val="00222782"/>
    <w:rsid w:val="0022360A"/>
    <w:rsid w:val="00226B82"/>
    <w:rsid w:val="00226BA5"/>
    <w:rsid w:val="00227103"/>
    <w:rsid w:val="00230249"/>
    <w:rsid w:val="00230D5F"/>
    <w:rsid w:val="00231BE3"/>
    <w:rsid w:val="00232C51"/>
    <w:rsid w:val="00233414"/>
    <w:rsid w:val="002337A1"/>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98D"/>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24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A7EA1"/>
    <w:rsid w:val="002B14F0"/>
    <w:rsid w:val="002B1F0F"/>
    <w:rsid w:val="002B53D3"/>
    <w:rsid w:val="002B6202"/>
    <w:rsid w:val="002C014C"/>
    <w:rsid w:val="002C060C"/>
    <w:rsid w:val="002C0BA6"/>
    <w:rsid w:val="002C12A7"/>
    <w:rsid w:val="002C25B9"/>
    <w:rsid w:val="002C2B6F"/>
    <w:rsid w:val="002C2BC4"/>
    <w:rsid w:val="002C314F"/>
    <w:rsid w:val="002C4AD1"/>
    <w:rsid w:val="002C7D29"/>
    <w:rsid w:val="002D0298"/>
    <w:rsid w:val="002D0FCB"/>
    <w:rsid w:val="002D1662"/>
    <w:rsid w:val="002D1DE5"/>
    <w:rsid w:val="002D323E"/>
    <w:rsid w:val="002D3506"/>
    <w:rsid w:val="002D3670"/>
    <w:rsid w:val="002D3A50"/>
    <w:rsid w:val="002D4807"/>
    <w:rsid w:val="002D5265"/>
    <w:rsid w:val="002D5DDC"/>
    <w:rsid w:val="002D5F16"/>
    <w:rsid w:val="002D62F1"/>
    <w:rsid w:val="002D6FD8"/>
    <w:rsid w:val="002D727B"/>
    <w:rsid w:val="002D7EAD"/>
    <w:rsid w:val="002E1169"/>
    <w:rsid w:val="002E1218"/>
    <w:rsid w:val="002E28F3"/>
    <w:rsid w:val="002E4FEC"/>
    <w:rsid w:val="002E7615"/>
    <w:rsid w:val="002E7A2A"/>
    <w:rsid w:val="002E7B59"/>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6DB7"/>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92D"/>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4EE"/>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D6DD4"/>
    <w:rsid w:val="003E1A49"/>
    <w:rsid w:val="003E2D01"/>
    <w:rsid w:val="003E330E"/>
    <w:rsid w:val="003E3AE3"/>
    <w:rsid w:val="003E5733"/>
    <w:rsid w:val="003E5E27"/>
    <w:rsid w:val="003E6FD2"/>
    <w:rsid w:val="003E788F"/>
    <w:rsid w:val="003E7A97"/>
    <w:rsid w:val="003E7D3A"/>
    <w:rsid w:val="003F0950"/>
    <w:rsid w:val="003F09C9"/>
    <w:rsid w:val="003F3178"/>
    <w:rsid w:val="003F3813"/>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BD2"/>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4D8"/>
    <w:rsid w:val="00450EEE"/>
    <w:rsid w:val="004512B2"/>
    <w:rsid w:val="004528EE"/>
    <w:rsid w:val="00453360"/>
    <w:rsid w:val="004540B0"/>
    <w:rsid w:val="00456409"/>
    <w:rsid w:val="004569C6"/>
    <w:rsid w:val="00456ADC"/>
    <w:rsid w:val="0045768F"/>
    <w:rsid w:val="00457769"/>
    <w:rsid w:val="004627AE"/>
    <w:rsid w:val="0046298E"/>
    <w:rsid w:val="004647BB"/>
    <w:rsid w:val="0046482B"/>
    <w:rsid w:val="004648E0"/>
    <w:rsid w:val="00464C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BD"/>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441"/>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EA0"/>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0FED"/>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778F6"/>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34"/>
    <w:rsid w:val="00595B68"/>
    <w:rsid w:val="00595EAA"/>
    <w:rsid w:val="0059672B"/>
    <w:rsid w:val="005A0C60"/>
    <w:rsid w:val="005A255F"/>
    <w:rsid w:val="005A2ED2"/>
    <w:rsid w:val="005A330E"/>
    <w:rsid w:val="005A5554"/>
    <w:rsid w:val="005A5651"/>
    <w:rsid w:val="005A67A9"/>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91"/>
    <w:rsid w:val="00601A1F"/>
    <w:rsid w:val="00602655"/>
    <w:rsid w:val="00603A5C"/>
    <w:rsid w:val="00603B68"/>
    <w:rsid w:val="00605297"/>
    <w:rsid w:val="00605CB9"/>
    <w:rsid w:val="006065BF"/>
    <w:rsid w:val="00607C00"/>
    <w:rsid w:val="006101EF"/>
    <w:rsid w:val="00610430"/>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EE5"/>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465"/>
    <w:rsid w:val="006609AA"/>
    <w:rsid w:val="00661419"/>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D0636"/>
    <w:rsid w:val="006D06DC"/>
    <w:rsid w:val="006D6E46"/>
    <w:rsid w:val="006D7FA8"/>
    <w:rsid w:val="006E2F98"/>
    <w:rsid w:val="006E3DBD"/>
    <w:rsid w:val="006E4601"/>
    <w:rsid w:val="006E5B86"/>
    <w:rsid w:val="006E63FF"/>
    <w:rsid w:val="006E652D"/>
    <w:rsid w:val="006E7572"/>
    <w:rsid w:val="006F2A1A"/>
    <w:rsid w:val="006F2F22"/>
    <w:rsid w:val="006F434A"/>
    <w:rsid w:val="006F7974"/>
    <w:rsid w:val="00700A60"/>
    <w:rsid w:val="00705027"/>
    <w:rsid w:val="00710494"/>
    <w:rsid w:val="007117BD"/>
    <w:rsid w:val="00715129"/>
    <w:rsid w:val="00715274"/>
    <w:rsid w:val="007154CE"/>
    <w:rsid w:val="00715B25"/>
    <w:rsid w:val="00716020"/>
    <w:rsid w:val="007205B1"/>
    <w:rsid w:val="00720860"/>
    <w:rsid w:val="00721087"/>
    <w:rsid w:val="00721530"/>
    <w:rsid w:val="00723422"/>
    <w:rsid w:val="007260FE"/>
    <w:rsid w:val="00726DD6"/>
    <w:rsid w:val="00727B0F"/>
    <w:rsid w:val="0073076E"/>
    <w:rsid w:val="00731255"/>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26C"/>
    <w:rsid w:val="00757105"/>
    <w:rsid w:val="00757B82"/>
    <w:rsid w:val="007600C5"/>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D1B"/>
    <w:rsid w:val="00774756"/>
    <w:rsid w:val="00775181"/>
    <w:rsid w:val="007751B6"/>
    <w:rsid w:val="00775345"/>
    <w:rsid w:val="00776A33"/>
    <w:rsid w:val="00776B7F"/>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083"/>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E45"/>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1B0"/>
    <w:rsid w:val="00871DA0"/>
    <w:rsid w:val="00872030"/>
    <w:rsid w:val="00873973"/>
    <w:rsid w:val="00873A1A"/>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289"/>
    <w:rsid w:val="008A47FB"/>
    <w:rsid w:val="008A5234"/>
    <w:rsid w:val="008A5397"/>
    <w:rsid w:val="008A6861"/>
    <w:rsid w:val="008A7522"/>
    <w:rsid w:val="008A7B55"/>
    <w:rsid w:val="008B0578"/>
    <w:rsid w:val="008B170D"/>
    <w:rsid w:val="008B4941"/>
    <w:rsid w:val="008B4984"/>
    <w:rsid w:val="008B4F60"/>
    <w:rsid w:val="008B559A"/>
    <w:rsid w:val="008B598F"/>
    <w:rsid w:val="008B6539"/>
    <w:rsid w:val="008B66A5"/>
    <w:rsid w:val="008B7F4A"/>
    <w:rsid w:val="008C0D2E"/>
    <w:rsid w:val="008C0D6D"/>
    <w:rsid w:val="008C1056"/>
    <w:rsid w:val="008C2729"/>
    <w:rsid w:val="008C3347"/>
    <w:rsid w:val="008C39D6"/>
    <w:rsid w:val="008C3B96"/>
    <w:rsid w:val="008C43BF"/>
    <w:rsid w:val="008C532F"/>
    <w:rsid w:val="008C5DFC"/>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A52"/>
    <w:rsid w:val="008F0E9E"/>
    <w:rsid w:val="008F2913"/>
    <w:rsid w:val="008F2A4E"/>
    <w:rsid w:val="008F2AE9"/>
    <w:rsid w:val="008F332B"/>
    <w:rsid w:val="008F52D0"/>
    <w:rsid w:val="008F58BB"/>
    <w:rsid w:val="008F6106"/>
    <w:rsid w:val="008F791D"/>
    <w:rsid w:val="00900959"/>
    <w:rsid w:val="00901900"/>
    <w:rsid w:val="00901909"/>
    <w:rsid w:val="00901B7A"/>
    <w:rsid w:val="00901EE8"/>
    <w:rsid w:val="00901F6C"/>
    <w:rsid w:val="0090266B"/>
    <w:rsid w:val="00902F06"/>
    <w:rsid w:val="00903356"/>
    <w:rsid w:val="009035DB"/>
    <w:rsid w:val="00904671"/>
    <w:rsid w:val="00905BC5"/>
    <w:rsid w:val="009064AA"/>
    <w:rsid w:val="00912257"/>
    <w:rsid w:val="00913495"/>
    <w:rsid w:val="00913874"/>
    <w:rsid w:val="009150EE"/>
    <w:rsid w:val="0091520A"/>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C26"/>
    <w:rsid w:val="009343F5"/>
    <w:rsid w:val="0093456A"/>
    <w:rsid w:val="009345AE"/>
    <w:rsid w:val="00935301"/>
    <w:rsid w:val="00936F64"/>
    <w:rsid w:val="00937872"/>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6C7"/>
    <w:rsid w:val="00956244"/>
    <w:rsid w:val="00956A06"/>
    <w:rsid w:val="00957435"/>
    <w:rsid w:val="009578D0"/>
    <w:rsid w:val="009600C6"/>
    <w:rsid w:val="00960D80"/>
    <w:rsid w:val="009621CE"/>
    <w:rsid w:val="009622BF"/>
    <w:rsid w:val="0096497F"/>
    <w:rsid w:val="009651B8"/>
    <w:rsid w:val="009653F3"/>
    <w:rsid w:val="00965762"/>
    <w:rsid w:val="0096587A"/>
    <w:rsid w:val="009666E7"/>
    <w:rsid w:val="00967278"/>
    <w:rsid w:val="009706FF"/>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B2E"/>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6D4"/>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A41"/>
    <w:rsid w:val="009E3BED"/>
    <w:rsid w:val="009E4506"/>
    <w:rsid w:val="009E455E"/>
    <w:rsid w:val="009E487A"/>
    <w:rsid w:val="009E4FFB"/>
    <w:rsid w:val="009E5FBD"/>
    <w:rsid w:val="009F045D"/>
    <w:rsid w:val="009F1098"/>
    <w:rsid w:val="009F12BA"/>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107"/>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BB2"/>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5FC"/>
    <w:rsid w:val="00AB0636"/>
    <w:rsid w:val="00AB246B"/>
    <w:rsid w:val="00AB2E96"/>
    <w:rsid w:val="00AB36D4"/>
    <w:rsid w:val="00AB5500"/>
    <w:rsid w:val="00AB5564"/>
    <w:rsid w:val="00AB57FB"/>
    <w:rsid w:val="00AB7348"/>
    <w:rsid w:val="00AC13B0"/>
    <w:rsid w:val="00AC2FD0"/>
    <w:rsid w:val="00AC3DBD"/>
    <w:rsid w:val="00AC5E85"/>
    <w:rsid w:val="00AC63EB"/>
    <w:rsid w:val="00AD03D8"/>
    <w:rsid w:val="00AD0D5F"/>
    <w:rsid w:val="00AD20E7"/>
    <w:rsid w:val="00AD34CF"/>
    <w:rsid w:val="00AD36C8"/>
    <w:rsid w:val="00AD37C9"/>
    <w:rsid w:val="00AD47D3"/>
    <w:rsid w:val="00AD5BF4"/>
    <w:rsid w:val="00AD652F"/>
    <w:rsid w:val="00AD7D05"/>
    <w:rsid w:val="00AE01F6"/>
    <w:rsid w:val="00AE16F0"/>
    <w:rsid w:val="00AE2328"/>
    <w:rsid w:val="00AE473C"/>
    <w:rsid w:val="00AE4ACF"/>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0B99"/>
    <w:rsid w:val="00B44049"/>
    <w:rsid w:val="00B44318"/>
    <w:rsid w:val="00B4444B"/>
    <w:rsid w:val="00B44C4B"/>
    <w:rsid w:val="00B468A6"/>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527"/>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F88"/>
    <w:rsid w:val="00BB1388"/>
    <w:rsid w:val="00BB23DC"/>
    <w:rsid w:val="00BB2683"/>
    <w:rsid w:val="00BB40DF"/>
    <w:rsid w:val="00BB5E2C"/>
    <w:rsid w:val="00BB7D9E"/>
    <w:rsid w:val="00BC109A"/>
    <w:rsid w:val="00BC16AC"/>
    <w:rsid w:val="00BC2B7B"/>
    <w:rsid w:val="00BC3AE8"/>
    <w:rsid w:val="00BC3AF4"/>
    <w:rsid w:val="00BC3B24"/>
    <w:rsid w:val="00BC43A8"/>
    <w:rsid w:val="00BC5C6D"/>
    <w:rsid w:val="00BC5FB5"/>
    <w:rsid w:val="00BC7120"/>
    <w:rsid w:val="00BC76A3"/>
    <w:rsid w:val="00BD00D1"/>
    <w:rsid w:val="00BD07A2"/>
    <w:rsid w:val="00BD2603"/>
    <w:rsid w:val="00BD3F58"/>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2E8"/>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10A"/>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5E33"/>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643"/>
    <w:rsid w:val="00C57ED3"/>
    <w:rsid w:val="00C61640"/>
    <w:rsid w:val="00C61AA7"/>
    <w:rsid w:val="00C61B8E"/>
    <w:rsid w:val="00C629D0"/>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97DB9"/>
    <w:rsid w:val="00CA0049"/>
    <w:rsid w:val="00CA0980"/>
    <w:rsid w:val="00CA2A98"/>
    <w:rsid w:val="00CA2BAE"/>
    <w:rsid w:val="00CA34BA"/>
    <w:rsid w:val="00CA4503"/>
    <w:rsid w:val="00CA586D"/>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5E0"/>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1A9F"/>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554"/>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654"/>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942"/>
    <w:rsid w:val="00DC7481"/>
    <w:rsid w:val="00DC7591"/>
    <w:rsid w:val="00DD00BD"/>
    <w:rsid w:val="00DD0839"/>
    <w:rsid w:val="00DD26D0"/>
    <w:rsid w:val="00DD36B7"/>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9C1"/>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046"/>
    <w:rsid w:val="00F02663"/>
    <w:rsid w:val="00F03106"/>
    <w:rsid w:val="00F03369"/>
    <w:rsid w:val="00F04E62"/>
    <w:rsid w:val="00F050AA"/>
    <w:rsid w:val="00F05E6D"/>
    <w:rsid w:val="00F11800"/>
    <w:rsid w:val="00F1189E"/>
    <w:rsid w:val="00F11B61"/>
    <w:rsid w:val="00F135D6"/>
    <w:rsid w:val="00F13922"/>
    <w:rsid w:val="00F13A84"/>
    <w:rsid w:val="00F13DBC"/>
    <w:rsid w:val="00F15FCF"/>
    <w:rsid w:val="00F16613"/>
    <w:rsid w:val="00F20706"/>
    <w:rsid w:val="00F21496"/>
    <w:rsid w:val="00F21E77"/>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ED1"/>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57A"/>
    <w:rsid w:val="00FD491F"/>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customStyle="1" w:styleId="ONUMFS">
    <w:name w:val="ONUM FS"/>
    <w:basedOn w:val="BodyText"/>
    <w:rsid w:val="008F0A52"/>
    <w:pPr>
      <w:numPr>
        <w:numId w:val="23"/>
      </w:numPr>
      <w:spacing w:after="220"/>
    </w:pPr>
    <w:rPr>
      <w:rFonts w:eastAsia="SimSun"/>
      <w:lang w:eastAsia="zh-CN"/>
    </w:rPr>
  </w:style>
  <w:style w:type="paragraph" w:styleId="BodyText">
    <w:name w:val="Body Text"/>
    <w:basedOn w:val="Normal"/>
    <w:link w:val="BodyTextChar"/>
    <w:rsid w:val="008F0A52"/>
    <w:pPr>
      <w:spacing w:after="120"/>
    </w:pPr>
  </w:style>
  <w:style w:type="character" w:customStyle="1" w:styleId="BodyTextChar">
    <w:name w:val="Body Text Char"/>
    <w:basedOn w:val="DefaultParagraphFont"/>
    <w:link w:val="BodyText"/>
    <w:rsid w:val="008F0A52"/>
    <w:rPr>
      <w:rFonts w:ascii="Arial" w:hAnsi="Arial" w:cs="Arial"/>
      <w:sz w:val="22"/>
    </w:rPr>
  </w:style>
  <w:style w:type="character" w:styleId="Hyperlink">
    <w:name w:val="Hyperlink"/>
    <w:basedOn w:val="DefaultParagraphFont"/>
    <w:rsid w:val="008F0A52"/>
    <w:rPr>
      <w:color w:val="0000FF" w:themeColor="hyperlink"/>
      <w:u w:val="single"/>
    </w:rPr>
  </w:style>
  <w:style w:type="character" w:styleId="FollowedHyperlink">
    <w:name w:val="FollowedHyperlink"/>
    <w:basedOn w:val="DefaultParagraphFont"/>
    <w:rsid w:val="00413B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customStyle="1" w:styleId="ONUMFS">
    <w:name w:val="ONUM FS"/>
    <w:basedOn w:val="BodyText"/>
    <w:rsid w:val="008F0A52"/>
    <w:pPr>
      <w:numPr>
        <w:numId w:val="23"/>
      </w:numPr>
      <w:spacing w:after="220"/>
    </w:pPr>
    <w:rPr>
      <w:rFonts w:eastAsia="SimSun"/>
      <w:lang w:eastAsia="zh-CN"/>
    </w:rPr>
  </w:style>
  <w:style w:type="paragraph" w:styleId="BodyText">
    <w:name w:val="Body Text"/>
    <w:basedOn w:val="Normal"/>
    <w:link w:val="BodyTextChar"/>
    <w:rsid w:val="008F0A52"/>
    <w:pPr>
      <w:spacing w:after="120"/>
    </w:pPr>
  </w:style>
  <w:style w:type="character" w:customStyle="1" w:styleId="BodyTextChar">
    <w:name w:val="Body Text Char"/>
    <w:basedOn w:val="DefaultParagraphFont"/>
    <w:link w:val="BodyText"/>
    <w:rsid w:val="008F0A52"/>
    <w:rPr>
      <w:rFonts w:ascii="Arial" w:hAnsi="Arial" w:cs="Arial"/>
      <w:sz w:val="22"/>
    </w:rPr>
  </w:style>
  <w:style w:type="character" w:styleId="Hyperlink">
    <w:name w:val="Hyperlink"/>
    <w:basedOn w:val="DefaultParagraphFont"/>
    <w:rsid w:val="008F0A52"/>
    <w:rPr>
      <w:color w:val="0000FF" w:themeColor="hyperlink"/>
      <w:u w:val="single"/>
    </w:rPr>
  </w:style>
  <w:style w:type="character" w:styleId="FollowedHyperlink">
    <w:name w:val="FollowedHyperlink"/>
    <w:basedOn w:val="DefaultParagraphFont"/>
    <w:rsid w:val="00413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export/sites/www/standards/en/pdf/standards-brochure-web.pdf" TargetMode="External"/><Relationship Id="rId5" Type="http://schemas.openxmlformats.org/officeDocument/2006/relationships/webSettings" Target="webSettings.xml"/><Relationship Id="rId10" Type="http://schemas.openxmlformats.org/officeDocument/2006/relationships/hyperlink" Target="http://www.wipo.int/standards/ar/index.html" TargetMode="External"/><Relationship Id="rId4" Type="http://schemas.openxmlformats.org/officeDocument/2006/relationships/settings" Target="settings.xml"/><Relationship Id="rId9" Type="http://schemas.openxmlformats.org/officeDocument/2006/relationships/hyperlink" Target="http://www.wipo.int/t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5317</Characters>
  <Application>Microsoft Office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CWS/5/19 (in Arabic)</dc:title>
  <dc:subject>Report on the Provision of Technical Advice and Assistance for Capacity Building to Industrial Property Offices in connection with the Mandate of the CWS</dc:subject>
  <dc:creator>WIPO</dc:creator>
  <cp:keywords>CWS</cp:keywords>
  <cp:lastModifiedBy>ZAGO Bétina</cp:lastModifiedBy>
  <cp:revision>4</cp:revision>
  <cp:lastPrinted>2017-05-01T10:43:00Z</cp:lastPrinted>
  <dcterms:created xsi:type="dcterms:W3CDTF">2017-05-03T07:31:00Z</dcterms:created>
  <dcterms:modified xsi:type="dcterms:W3CDTF">2017-05-03T07:34:00Z</dcterms:modified>
</cp:coreProperties>
</file>