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8FB" w:rsidRPr="003547AA" w:rsidRDefault="00E708FB" w:rsidP="003547AA">
      <w:pPr>
        <w:pStyle w:val="NormalParaAR"/>
        <w:rPr>
          <w:b/>
          <w:bCs/>
          <w:sz w:val="40"/>
          <w:szCs w:val="40"/>
          <w:rtl/>
        </w:rPr>
      </w:pPr>
      <w:r w:rsidRPr="003547AA">
        <w:rPr>
          <w:rFonts w:hint="cs"/>
          <w:b/>
          <w:bCs/>
          <w:sz w:val="40"/>
          <w:szCs w:val="40"/>
          <w:rtl/>
        </w:rPr>
        <w:t>ت</w:t>
      </w:r>
      <w:r w:rsidRPr="003547AA">
        <w:rPr>
          <w:b/>
          <w:bCs/>
          <w:sz w:val="40"/>
          <w:szCs w:val="40"/>
          <w:rtl/>
        </w:rPr>
        <w:t>قرير عن إعداد معيار جديد للويبو بشأن عرض قوائم تسلسل النوويدات والأحماض الأمينية باستخدام لغة الترميز الموسعة (</w:t>
      </w:r>
      <w:r w:rsidRPr="003547AA">
        <w:rPr>
          <w:b/>
          <w:bCs/>
          <w:sz w:val="40"/>
          <w:szCs w:val="40"/>
        </w:rPr>
        <w:t>XML</w:t>
      </w:r>
      <w:r w:rsidRPr="003547AA">
        <w:rPr>
          <w:b/>
          <w:bCs/>
          <w:sz w:val="40"/>
          <w:szCs w:val="40"/>
          <w:rtl/>
        </w:rPr>
        <w:t>)</w:t>
      </w:r>
    </w:p>
    <w:p w:rsidR="003547AA" w:rsidRPr="003547AA" w:rsidRDefault="003547AA" w:rsidP="003547AA">
      <w:pPr>
        <w:pStyle w:val="NormalParaAR"/>
        <w:rPr>
          <w:i/>
          <w:iCs/>
          <w:sz w:val="40"/>
          <w:szCs w:val="40"/>
          <w:rtl/>
          <w:lang w:val="fr-CH"/>
        </w:rPr>
      </w:pPr>
      <w:r w:rsidRPr="003547AA">
        <w:rPr>
          <w:rFonts w:hint="cs"/>
          <w:i/>
          <w:iCs/>
          <w:sz w:val="40"/>
          <w:szCs w:val="40"/>
          <w:rtl/>
        </w:rPr>
        <w:t>وثيقة من إعداد المكتب الأوروبي للبراءات</w:t>
      </w:r>
    </w:p>
    <w:p w:rsidR="00E708FB" w:rsidRPr="00F66B93" w:rsidRDefault="00E708FB" w:rsidP="003547AA">
      <w:pPr>
        <w:pStyle w:val="Heading2"/>
        <w:rPr>
          <w:rtl/>
        </w:rPr>
      </w:pPr>
      <w:r w:rsidRPr="00F66B93">
        <w:rPr>
          <w:rFonts w:hint="cs"/>
          <w:rtl/>
        </w:rPr>
        <w:t>معلومات أساسية</w:t>
      </w:r>
    </w:p>
    <w:p w:rsidR="00E708FB" w:rsidRDefault="00E708FB" w:rsidP="003547AA">
      <w:pPr>
        <w:pStyle w:val="NumberedParaAR"/>
        <w:numPr>
          <w:ilvl w:val="0"/>
          <w:numId w:val="43"/>
        </w:numPr>
      </w:pPr>
      <w:r>
        <w:rPr>
          <w:rFonts w:hint="cs"/>
          <w:rtl/>
        </w:rPr>
        <w:t>أنشئت فرقة العمل المعنية بقوائم التسلسل من قبل اللجنة المعنية بمعايير الويبو (اللجنة) في دورتها الأولى</w:t>
      </w:r>
      <w:r w:rsidR="003547AA">
        <w:rPr>
          <w:rFonts w:hint="cs"/>
          <w:rtl/>
        </w:rPr>
        <w:t>،</w:t>
      </w:r>
      <w:r>
        <w:rPr>
          <w:rFonts w:hint="cs"/>
          <w:rtl/>
        </w:rPr>
        <w:t xml:space="preserve"> المعقودة في الفترة </w:t>
      </w:r>
      <w:r w:rsidR="003547AA">
        <w:rPr>
          <w:rFonts w:hint="cs"/>
          <w:rtl/>
        </w:rPr>
        <w:t>من 25 إلى 29 أكتوبر 2010،</w:t>
      </w:r>
      <w:r>
        <w:rPr>
          <w:rFonts w:hint="cs"/>
          <w:rtl/>
        </w:rPr>
        <w:t xml:space="preserve"> لتتولى المهمة رقم 44 (انظر الفقرة</w:t>
      </w:r>
      <w:r>
        <w:rPr>
          <w:rFonts w:hint="eastAsia"/>
          <w:rtl/>
        </w:rPr>
        <w:t> </w:t>
      </w:r>
      <w:r>
        <w:rPr>
          <w:rFonts w:hint="cs"/>
          <w:rtl/>
        </w:rPr>
        <w:t>29 من الوثيقة</w:t>
      </w:r>
      <w:r>
        <w:rPr>
          <w:rFonts w:hint="eastAsia"/>
          <w:rtl/>
        </w:rPr>
        <w:t> </w:t>
      </w:r>
      <w:r w:rsidRPr="00D56765">
        <w:t>CWS/1/10</w:t>
      </w:r>
      <w:r>
        <w:rPr>
          <w:rFonts w:hint="cs"/>
          <w:rtl/>
        </w:rPr>
        <w:t>):</w:t>
      </w:r>
    </w:p>
    <w:p w:rsidR="00E708FB" w:rsidRDefault="00E708FB" w:rsidP="00E708FB">
      <w:pPr>
        <w:pStyle w:val="NumberedParaAR"/>
        <w:numPr>
          <w:ilvl w:val="0"/>
          <w:numId w:val="0"/>
        </w:numPr>
        <w:ind w:left="566"/>
        <w:rPr>
          <w:rtl/>
        </w:rPr>
      </w:pPr>
      <w:r w:rsidRPr="00D56765">
        <w:rPr>
          <w:rtl/>
        </w:rPr>
        <w:t>"صياغة توصية بشأن عرض قوائم تسلسل النوويدات والحوامض الأمينية باستخدام لغة الترميز الموسعة لاعتمادها معيارا للويبو. وينبغي تقديم اقتراح معيار الويبو الجديد إلى جانب تقرير بشأن وقع المعيار المذكور على معيار الويبو </w:t>
      </w:r>
      <w:r w:rsidRPr="00D56765">
        <w:t>ST.25</w:t>
      </w:r>
      <w:r w:rsidRPr="00D56765">
        <w:rPr>
          <w:rtl/>
        </w:rPr>
        <w:t xml:space="preserve">، إضافة </w:t>
      </w:r>
      <w:bookmarkStart w:id="2" w:name="_GoBack"/>
      <w:bookmarkEnd w:id="2"/>
      <w:r w:rsidRPr="00D56765">
        <w:rPr>
          <w:rtl/>
        </w:rPr>
        <w:t>إلى التغييرات الضرورية المقترح إدخالها على المعيار </w:t>
      </w:r>
      <w:r w:rsidRPr="00D56765">
        <w:t>ST.25</w:t>
      </w:r>
      <w:r w:rsidRPr="00D56765">
        <w:rPr>
          <w:rtl/>
        </w:rPr>
        <w:t>."</w:t>
      </w:r>
    </w:p>
    <w:p w:rsidR="00E708FB" w:rsidRDefault="00E708FB" w:rsidP="00E708FB">
      <w:pPr>
        <w:pStyle w:val="NumberedParaAR"/>
        <w:rPr>
          <w:rtl/>
        </w:rPr>
      </w:pPr>
      <w:r>
        <w:rPr>
          <w:rtl/>
        </w:rPr>
        <w:t xml:space="preserve">وطُلب </w:t>
      </w:r>
      <w:r>
        <w:rPr>
          <w:rFonts w:hint="cs"/>
          <w:rtl/>
        </w:rPr>
        <w:t xml:space="preserve">أيضا </w:t>
      </w:r>
      <w:r>
        <w:rPr>
          <w:rtl/>
        </w:rPr>
        <w:t>من فرقة العمل ما يلي:</w:t>
      </w:r>
    </w:p>
    <w:p w:rsidR="00E708FB" w:rsidRDefault="00E708FB" w:rsidP="00E708FB">
      <w:pPr>
        <w:pStyle w:val="NumberedParaAR"/>
        <w:numPr>
          <w:ilvl w:val="0"/>
          <w:numId w:val="0"/>
        </w:numPr>
        <w:ind w:left="566"/>
        <w:rPr>
          <w:rtl/>
        </w:rPr>
      </w:pPr>
      <w:r>
        <w:rPr>
          <w:rtl/>
        </w:rPr>
        <w:t>"التنسيق مع هيئة معاهدة التعاون بشأن البراءات المعنية فيما يخص الوقع المحتمل لذلك المعيار على المرفق جيم من التعليمات الإدارية لمعاهدة التعاون بشأن البراءات."</w:t>
      </w:r>
    </w:p>
    <w:p w:rsidR="00E708FB" w:rsidRDefault="00E708FB" w:rsidP="00E708FB">
      <w:pPr>
        <w:pStyle w:val="NumberedParaAR"/>
      </w:pPr>
      <w:r w:rsidRPr="0048425D">
        <w:rPr>
          <w:rtl/>
        </w:rPr>
        <w:t xml:space="preserve">وأُسند دور المشرف على فرقة العمل إلى المكتب الأوروبي للبراءات الذي </w:t>
      </w:r>
      <w:r>
        <w:rPr>
          <w:rFonts w:hint="cs"/>
          <w:rtl/>
        </w:rPr>
        <w:t>أجرى</w:t>
      </w:r>
      <w:r w:rsidRPr="0048425D">
        <w:rPr>
          <w:rtl/>
        </w:rPr>
        <w:t xml:space="preserve"> منذ </w:t>
      </w:r>
      <w:r>
        <w:rPr>
          <w:rFonts w:hint="cs"/>
          <w:rtl/>
        </w:rPr>
        <w:t>توليه ذلك</w:t>
      </w:r>
      <w:r w:rsidRPr="0048425D">
        <w:rPr>
          <w:rtl/>
        </w:rPr>
        <w:t xml:space="preserve"> الدور </w:t>
      </w:r>
      <w:r>
        <w:rPr>
          <w:rFonts w:hint="cs"/>
          <w:rtl/>
        </w:rPr>
        <w:t>سبع</w:t>
      </w:r>
      <w:r w:rsidRPr="0048425D">
        <w:rPr>
          <w:rtl/>
        </w:rPr>
        <w:t xml:space="preserve"> </w:t>
      </w:r>
      <w:r>
        <w:rPr>
          <w:rFonts w:hint="cs"/>
          <w:rtl/>
        </w:rPr>
        <w:t>جولات من المناقشات</w:t>
      </w:r>
      <w:r w:rsidRPr="0048425D">
        <w:rPr>
          <w:rtl/>
        </w:rPr>
        <w:t xml:space="preserve"> على </w:t>
      </w:r>
      <w:r>
        <w:rPr>
          <w:rFonts w:hint="cs"/>
          <w:rtl/>
        </w:rPr>
        <w:t>المنتدى الإلكتروني لفرقة العمل وقدّم مشروعا نهائيا لأغراض استشارة الزبائن</w:t>
      </w:r>
      <w:r w:rsidRPr="0048425D">
        <w:rPr>
          <w:rtl/>
        </w:rPr>
        <w:t xml:space="preserve">. </w:t>
      </w:r>
      <w:r>
        <w:rPr>
          <w:rFonts w:hint="cs"/>
          <w:rtl/>
        </w:rPr>
        <w:t>و</w:t>
      </w:r>
      <w:r w:rsidRPr="004243D5">
        <w:rPr>
          <w:rtl/>
        </w:rPr>
        <w:t>اتُّفق على مبدأ التمييز بين الجوانب التقنية للمعيار</w:t>
      </w:r>
      <w:r>
        <w:rPr>
          <w:rFonts w:hint="cs"/>
          <w:rtl/>
        </w:rPr>
        <w:t> </w:t>
      </w:r>
      <w:r w:rsidRPr="004243D5">
        <w:t>ST.25</w:t>
      </w:r>
      <w:r w:rsidRPr="004243D5">
        <w:rPr>
          <w:rtl/>
        </w:rPr>
        <w:t xml:space="preserve"> والمرفق </w:t>
      </w:r>
      <w:r>
        <w:rPr>
          <w:rtl/>
        </w:rPr>
        <w:t xml:space="preserve">جيم (التعليمات الإدارية </w:t>
      </w:r>
      <w:r>
        <w:rPr>
          <w:rFonts w:hint="cs"/>
          <w:rtl/>
        </w:rPr>
        <w:t>ل</w:t>
      </w:r>
      <w:r w:rsidRPr="004243D5">
        <w:rPr>
          <w:rtl/>
        </w:rPr>
        <w:t xml:space="preserve">معاهدة التعاون بشأن البراءات) في الاجتماع الثامن عشر للإدارات الدولية </w:t>
      </w:r>
      <w:r>
        <w:rPr>
          <w:rFonts w:hint="cs"/>
          <w:rtl/>
        </w:rPr>
        <w:t xml:space="preserve">المعقود </w:t>
      </w:r>
      <w:r w:rsidRPr="004243D5">
        <w:rPr>
          <w:rtl/>
        </w:rPr>
        <w:t>في فبراير</w:t>
      </w:r>
      <w:r>
        <w:rPr>
          <w:rFonts w:hint="cs"/>
          <w:rtl/>
        </w:rPr>
        <w:t> </w:t>
      </w:r>
      <w:r w:rsidRPr="004243D5">
        <w:rPr>
          <w:rtl/>
        </w:rPr>
        <w:t>2011 (انظر الفقرات من</w:t>
      </w:r>
      <w:r>
        <w:rPr>
          <w:rFonts w:hint="cs"/>
          <w:rtl/>
        </w:rPr>
        <w:t> </w:t>
      </w:r>
      <w:r w:rsidRPr="004243D5">
        <w:rPr>
          <w:rtl/>
        </w:rPr>
        <w:t>88 إلى</w:t>
      </w:r>
      <w:r>
        <w:rPr>
          <w:rFonts w:hint="cs"/>
          <w:rtl/>
        </w:rPr>
        <w:t> </w:t>
      </w:r>
      <w:r w:rsidRPr="004243D5">
        <w:rPr>
          <w:rtl/>
        </w:rPr>
        <w:t>92 من الوثيقة </w:t>
      </w:r>
      <w:r w:rsidRPr="004243D5">
        <w:t>PCT/MIA/18/16</w:t>
      </w:r>
      <w:r>
        <w:rPr>
          <w:rFonts w:hint="cs"/>
          <w:rtl/>
        </w:rPr>
        <w:t xml:space="preserve">) </w:t>
      </w:r>
      <w:r w:rsidRPr="004243D5">
        <w:rPr>
          <w:rtl/>
        </w:rPr>
        <w:t xml:space="preserve">وفي الاجتماع الرابع </w:t>
      </w:r>
      <w:r>
        <w:rPr>
          <w:rFonts w:hint="cs"/>
          <w:rtl/>
        </w:rPr>
        <w:t>ل</w:t>
      </w:r>
      <w:r w:rsidRPr="004243D5">
        <w:rPr>
          <w:rtl/>
        </w:rPr>
        <w:t>لفريق الع</w:t>
      </w:r>
      <w:r>
        <w:rPr>
          <w:rFonts w:hint="cs"/>
          <w:rtl/>
        </w:rPr>
        <w:t>ا</w:t>
      </w:r>
      <w:r>
        <w:rPr>
          <w:rtl/>
        </w:rPr>
        <w:t>مل</w:t>
      </w:r>
      <w:r>
        <w:rPr>
          <w:rFonts w:hint="cs"/>
          <w:rtl/>
        </w:rPr>
        <w:t xml:space="preserve"> ل</w:t>
      </w:r>
      <w:r w:rsidRPr="004243D5">
        <w:rPr>
          <w:rtl/>
        </w:rPr>
        <w:t xml:space="preserve">معاهدة التعاون بشأن البراءات </w:t>
      </w:r>
      <w:r>
        <w:rPr>
          <w:rFonts w:hint="cs"/>
          <w:rtl/>
        </w:rPr>
        <w:t>المعقود</w:t>
      </w:r>
      <w:r w:rsidRPr="004243D5">
        <w:rPr>
          <w:rtl/>
        </w:rPr>
        <w:t xml:space="preserve"> في يونيو</w:t>
      </w:r>
      <w:r>
        <w:rPr>
          <w:rFonts w:hint="cs"/>
          <w:rtl/>
        </w:rPr>
        <w:t> </w:t>
      </w:r>
      <w:r w:rsidRPr="004243D5">
        <w:rPr>
          <w:rtl/>
        </w:rPr>
        <w:t>2011 (انظر الفقرات من</w:t>
      </w:r>
      <w:r>
        <w:rPr>
          <w:rFonts w:hint="cs"/>
          <w:rtl/>
        </w:rPr>
        <w:t> </w:t>
      </w:r>
      <w:r w:rsidRPr="004243D5">
        <w:rPr>
          <w:rtl/>
        </w:rPr>
        <w:t>180 إلى</w:t>
      </w:r>
      <w:r>
        <w:rPr>
          <w:rFonts w:hint="cs"/>
          <w:rtl/>
        </w:rPr>
        <w:t> </w:t>
      </w:r>
      <w:r w:rsidRPr="004243D5">
        <w:rPr>
          <w:rtl/>
        </w:rPr>
        <w:t>188 من الوثيقة </w:t>
      </w:r>
      <w:r w:rsidRPr="004243D5">
        <w:t>PCT/WG/4/17</w:t>
      </w:r>
      <w:r w:rsidRPr="004243D5">
        <w:rPr>
          <w:rtl/>
        </w:rPr>
        <w:t>).</w:t>
      </w:r>
    </w:p>
    <w:p w:rsidR="00E708FB" w:rsidRPr="004243D5" w:rsidRDefault="00E708FB" w:rsidP="003547AA">
      <w:pPr>
        <w:pStyle w:val="Heading2"/>
        <w:rPr>
          <w:rtl/>
        </w:rPr>
      </w:pPr>
      <w:r w:rsidRPr="004243D5">
        <w:rPr>
          <w:rFonts w:hint="cs"/>
          <w:rtl/>
        </w:rPr>
        <w:t>التقرير المرحلي</w:t>
      </w:r>
    </w:p>
    <w:p w:rsidR="00E708FB" w:rsidRDefault="00E708FB" w:rsidP="00E708FB">
      <w:pPr>
        <w:pStyle w:val="NumberedParaAR"/>
      </w:pPr>
      <w:r w:rsidRPr="00FC7947">
        <w:rPr>
          <w:rtl/>
        </w:rPr>
        <w:t xml:space="preserve">بدأت فرقة العمل نشاطها في فبراير 2011 استنادا إلى مشروعات أعدها المكتب الأوروبي للبراءات. وشاركت مكاتب عديدة في ذلك النشاط ونشرت تعليقات مفيدة على </w:t>
      </w:r>
      <w:r>
        <w:rPr>
          <w:rFonts w:hint="cs"/>
          <w:rtl/>
        </w:rPr>
        <w:t>ال</w:t>
      </w:r>
      <w:r w:rsidRPr="00FC7947">
        <w:rPr>
          <w:rtl/>
        </w:rPr>
        <w:t xml:space="preserve">منتدى </w:t>
      </w:r>
      <w:r>
        <w:rPr>
          <w:rtl/>
        </w:rPr>
        <w:t>الإلكتروني ل</w:t>
      </w:r>
      <w:r>
        <w:rPr>
          <w:rFonts w:hint="cs"/>
          <w:rtl/>
        </w:rPr>
        <w:t>فرقة العمل.</w:t>
      </w:r>
    </w:p>
    <w:p w:rsidR="00E708FB" w:rsidRDefault="00E708FB" w:rsidP="00E708FB">
      <w:pPr>
        <w:pStyle w:val="NumberedParaAR"/>
      </w:pPr>
      <w:r w:rsidRPr="00FC7947">
        <w:rPr>
          <w:rtl/>
        </w:rPr>
        <w:t>وفي مارس 2012، انتهت فرقة العمل من إعداد مشروع للمعيار أمكن للمكاتب استخدامه لاستشارة زبائنها بشأنه. وأثيرت عدة مسائل مهمة من خلال التعليقات التي وردت من الزبائن وعولجت بالتعاون مع موردي قواعد بيانات بنك</w:t>
      </w:r>
      <w:r>
        <w:rPr>
          <w:rFonts w:hint="cs"/>
          <w:rtl/>
        </w:rPr>
        <w:t> </w:t>
      </w:r>
      <w:r w:rsidRPr="00FC7947">
        <w:rPr>
          <w:rtl/>
        </w:rPr>
        <w:t>اليابان لبيانات الحمض النووي (</w:t>
      </w:r>
      <w:r w:rsidRPr="00FC7947">
        <w:t>DDBJ</w:t>
      </w:r>
      <w:r w:rsidRPr="00FC7947">
        <w:rPr>
          <w:rtl/>
        </w:rPr>
        <w:t>)، والمعهد الأوربي للمعلومات البيولوجية (</w:t>
      </w:r>
      <w:r w:rsidRPr="00FC7947">
        <w:t>EBI</w:t>
      </w:r>
      <w:r w:rsidRPr="00FC7947">
        <w:rPr>
          <w:rtl/>
        </w:rPr>
        <w:t>)، والمركز الوطني لمعلومات البيوتكنولوجيا (</w:t>
      </w:r>
      <w:r w:rsidRPr="00FC7947">
        <w:t>NCBI</w:t>
      </w:r>
      <w:r w:rsidRPr="00FC7947">
        <w:rPr>
          <w:rtl/>
        </w:rPr>
        <w:t>).</w:t>
      </w:r>
    </w:p>
    <w:p w:rsidR="00E708FB" w:rsidRDefault="00E708FB" w:rsidP="00E708FB">
      <w:pPr>
        <w:pStyle w:val="NumberedParaAR"/>
      </w:pPr>
      <w:r w:rsidRPr="00E75024">
        <w:rPr>
          <w:rtl/>
        </w:rPr>
        <w:t xml:space="preserve">وانتهت الجولة السادسة من المناقشات في سبتمبر </w:t>
      </w:r>
      <w:r>
        <w:rPr>
          <w:rtl/>
        </w:rPr>
        <w:t>2013 وأ</w:t>
      </w:r>
      <w:r>
        <w:rPr>
          <w:rFonts w:hint="cs"/>
          <w:rtl/>
        </w:rPr>
        <w:t>ُطلق على النسخة النهائية ل</w:t>
      </w:r>
      <w:r>
        <w:rPr>
          <w:rtl/>
        </w:rPr>
        <w:t>لم</w:t>
      </w:r>
      <w:r>
        <w:rPr>
          <w:rFonts w:hint="cs"/>
          <w:rtl/>
        </w:rPr>
        <w:t>عيار بشأن "</w:t>
      </w:r>
      <w:r w:rsidRPr="00E75024">
        <w:rPr>
          <w:rtl/>
        </w:rPr>
        <w:t>عرض قوائم تسلسل النوويدات والأحماض الأمينية باستخدام لغة الترميز الموسعة (</w:t>
      </w:r>
      <w:r w:rsidRPr="00E75024">
        <w:t>XML</w:t>
      </w:r>
      <w:r w:rsidRPr="00E75024">
        <w:rPr>
          <w:rtl/>
        </w:rPr>
        <w:t>)</w:t>
      </w:r>
      <w:r>
        <w:rPr>
          <w:rFonts w:hint="cs"/>
          <w:rtl/>
        </w:rPr>
        <w:t>"</w:t>
      </w:r>
      <w:r w:rsidRPr="00E75024">
        <w:rPr>
          <w:rtl/>
        </w:rPr>
        <w:t xml:space="preserve"> </w:t>
      </w:r>
      <w:r w:rsidRPr="00E75024">
        <w:rPr>
          <w:rFonts w:hint="cs"/>
          <w:rtl/>
        </w:rPr>
        <w:t>اسم "</w:t>
      </w:r>
      <w:r w:rsidRPr="00E75024">
        <w:rPr>
          <w:rtl/>
        </w:rPr>
        <w:t>المعيار</w:t>
      </w:r>
      <w:r>
        <w:rPr>
          <w:rFonts w:hint="cs"/>
          <w:rtl/>
        </w:rPr>
        <w:t> </w:t>
      </w:r>
      <w:r w:rsidRPr="00E75024">
        <w:t>ST.26</w:t>
      </w:r>
      <w:r w:rsidRPr="00E75024">
        <w:rPr>
          <w:rFonts w:hint="cs"/>
          <w:rtl/>
        </w:rPr>
        <w:t>"</w:t>
      </w:r>
      <w:r>
        <w:rPr>
          <w:rFonts w:hint="cs"/>
          <w:rtl/>
        </w:rPr>
        <w:t>، وقُدمت إلى اللجنة في دورتها الرابعة المعقودة في مايو 2014 كي تنظر فيها وتعتمدها.</w:t>
      </w:r>
    </w:p>
    <w:p w:rsidR="00E708FB" w:rsidRDefault="00E708FB" w:rsidP="00E708FB">
      <w:pPr>
        <w:pStyle w:val="NumberedParaAR"/>
      </w:pPr>
      <w:r>
        <w:rPr>
          <w:rFonts w:hint="cs"/>
          <w:rtl/>
        </w:rPr>
        <w:t xml:space="preserve">واعتُمد </w:t>
      </w:r>
      <w:r w:rsidRPr="00E75024">
        <w:rPr>
          <w:rtl/>
        </w:rPr>
        <w:t>معيار</w:t>
      </w:r>
      <w:r>
        <w:rPr>
          <w:rFonts w:hint="cs"/>
          <w:rtl/>
        </w:rPr>
        <w:t xml:space="preserve"> الويبو </w:t>
      </w:r>
      <w:r w:rsidRPr="00E75024">
        <w:t>ST.26</w:t>
      </w:r>
      <w:r>
        <w:rPr>
          <w:rFonts w:hint="cs"/>
          <w:rtl/>
        </w:rPr>
        <w:t xml:space="preserve"> بشكل غير رسمي من قبل اللجنة في دروتها الرابعة، ولكن تلك الدورة عُلّقت دون الاتفاق على جدول الأعمال. ومن المتوقّع اعتماده رسميا عند استئناف الدورة الرابعة.</w:t>
      </w:r>
    </w:p>
    <w:p w:rsidR="00E708FB" w:rsidRDefault="00E708FB" w:rsidP="003547AA">
      <w:pPr>
        <w:pStyle w:val="NumberedParaAR"/>
      </w:pPr>
      <w:r>
        <w:rPr>
          <w:rFonts w:hint="cs"/>
          <w:rtl/>
        </w:rPr>
        <w:lastRenderedPageBreak/>
        <w:t>وفي 2014</w:t>
      </w:r>
      <w:r w:rsidR="003547AA">
        <w:rPr>
          <w:rFonts w:hint="cs"/>
          <w:rtl/>
        </w:rPr>
        <w:t xml:space="preserve"> و2015</w:t>
      </w:r>
      <w:r>
        <w:rPr>
          <w:rFonts w:hint="cs"/>
          <w:rtl/>
        </w:rPr>
        <w:t>، أجرت فرقة العمل جولة سابعة من المناقشات ركّزت على مسائل الانتقال (من المعيار</w:t>
      </w:r>
      <w:r>
        <w:rPr>
          <w:rFonts w:hint="eastAsia"/>
          <w:rtl/>
        </w:rPr>
        <w:t> </w:t>
      </w:r>
      <w:r w:rsidRPr="00116C63">
        <w:t>ST.25</w:t>
      </w:r>
      <w:r>
        <w:rPr>
          <w:rFonts w:hint="cs"/>
          <w:rtl/>
        </w:rPr>
        <w:t xml:space="preserve"> إلى المعيار</w:t>
      </w:r>
      <w:r>
        <w:rPr>
          <w:rFonts w:hint="eastAsia"/>
          <w:rtl/>
        </w:rPr>
        <w:t> </w:t>
      </w:r>
      <w:r w:rsidRPr="00116C63">
        <w:t>ST.26</w:t>
      </w:r>
      <w:r w:rsidR="003547AA">
        <w:rPr>
          <w:rFonts w:hint="cs"/>
          <w:rtl/>
        </w:rPr>
        <w:t>)، بما في ذلك إعداد مشروع وثيقة توجيه.</w:t>
      </w:r>
    </w:p>
    <w:p w:rsidR="00E708FB" w:rsidRPr="001A5813" w:rsidRDefault="00E708FB" w:rsidP="003547AA">
      <w:pPr>
        <w:pStyle w:val="Heading2"/>
        <w:rPr>
          <w:rtl/>
        </w:rPr>
      </w:pPr>
      <w:r w:rsidRPr="001A5813">
        <w:rPr>
          <w:rFonts w:hint="cs"/>
          <w:rtl/>
        </w:rPr>
        <w:t>خارطة الطريق</w:t>
      </w:r>
    </w:p>
    <w:p w:rsidR="00E708FB" w:rsidRDefault="003547AA" w:rsidP="003547AA">
      <w:pPr>
        <w:pStyle w:val="NumberedParaAR"/>
      </w:pPr>
      <w:r>
        <w:rPr>
          <w:rFonts w:hint="cs"/>
          <w:rtl/>
        </w:rPr>
        <w:t xml:space="preserve">التوصل إلى </w:t>
      </w:r>
      <w:r w:rsidR="00E708FB">
        <w:rPr>
          <w:rFonts w:hint="cs"/>
          <w:rtl/>
        </w:rPr>
        <w:t>اعتماد المعيار</w:t>
      </w:r>
      <w:r w:rsidR="00E708FB">
        <w:rPr>
          <w:rFonts w:hint="eastAsia"/>
          <w:rtl/>
        </w:rPr>
        <w:t> </w:t>
      </w:r>
      <w:r w:rsidR="00E708FB" w:rsidRPr="00116C63">
        <w:t>ST.26</w:t>
      </w:r>
      <w:r w:rsidR="00E708FB">
        <w:rPr>
          <w:rFonts w:hint="cs"/>
          <w:rtl/>
        </w:rPr>
        <w:t xml:space="preserve"> بشكل رسمي </w:t>
      </w:r>
      <w:r>
        <w:rPr>
          <w:rFonts w:hint="cs"/>
          <w:rtl/>
        </w:rPr>
        <w:t xml:space="preserve">في </w:t>
      </w:r>
      <w:r w:rsidR="00E708FB">
        <w:rPr>
          <w:rFonts w:hint="cs"/>
          <w:rtl/>
        </w:rPr>
        <w:t>دورة اللجنة</w:t>
      </w:r>
      <w:r>
        <w:rPr>
          <w:rFonts w:hint="cs"/>
          <w:rtl/>
        </w:rPr>
        <w:t xml:space="preserve"> الرابعة المجتمعة مجدَّدا، التي ستنعقد من 21 إلى 24 مارس 2016</w:t>
      </w:r>
      <w:r w:rsidR="00E708FB">
        <w:rPr>
          <w:rFonts w:hint="cs"/>
          <w:rtl/>
        </w:rPr>
        <w:t>.</w:t>
      </w:r>
    </w:p>
    <w:p w:rsidR="00E708FB" w:rsidRDefault="00E708FB" w:rsidP="003547AA">
      <w:pPr>
        <w:pStyle w:val="NumberedParaAR"/>
      </w:pPr>
      <w:r>
        <w:rPr>
          <w:rFonts w:hint="cs"/>
          <w:rtl/>
        </w:rPr>
        <w:t xml:space="preserve">ومواصلة الجولة </w:t>
      </w:r>
      <w:r w:rsidR="003547AA">
        <w:rPr>
          <w:rFonts w:hint="cs"/>
          <w:rtl/>
        </w:rPr>
        <w:t xml:space="preserve">الثامنة </w:t>
      </w:r>
      <w:r>
        <w:rPr>
          <w:rFonts w:hint="cs"/>
          <w:rtl/>
        </w:rPr>
        <w:t>من المناقشات بغرض استكمال التقييم التقني لعملية الانتقال من المعيار</w:t>
      </w:r>
      <w:r>
        <w:rPr>
          <w:rFonts w:hint="eastAsia"/>
          <w:rtl/>
        </w:rPr>
        <w:t> </w:t>
      </w:r>
      <w:r w:rsidRPr="00116C63">
        <w:t>ST.25</w:t>
      </w:r>
      <w:r>
        <w:rPr>
          <w:rFonts w:hint="cs"/>
          <w:rtl/>
        </w:rPr>
        <w:t xml:space="preserve"> إلى المعيار</w:t>
      </w:r>
      <w:r>
        <w:rPr>
          <w:rFonts w:hint="eastAsia"/>
          <w:rtl/>
        </w:rPr>
        <w:t> </w:t>
      </w:r>
      <w:r w:rsidRPr="00116C63">
        <w:t>ST.26</w:t>
      </w:r>
      <w:r w:rsidR="003547AA">
        <w:rPr>
          <w:rFonts w:hint="cs"/>
          <w:rtl/>
        </w:rPr>
        <w:t xml:space="preserve">، بما في ذلك استكمال وثيقة التوجيه وبعض التحسينات الطفيفة على المعيار والتي لا تؤثر في المرفق الثاني من المعيار </w:t>
      </w:r>
      <w:r w:rsidR="003547AA">
        <w:t>ST.26</w:t>
      </w:r>
      <w:r w:rsidR="003547AA">
        <w:rPr>
          <w:rFonts w:hint="cs"/>
          <w:rtl/>
          <w:lang w:val="fr-CH"/>
        </w:rPr>
        <w:t xml:space="preserve"> - تعريف نوع الوثائق للكشف التسلسلي.</w:t>
      </w:r>
    </w:p>
    <w:p w:rsidR="00E708FB" w:rsidRDefault="00E708FB" w:rsidP="003547AA">
      <w:pPr>
        <w:pStyle w:val="NumberedParaAR"/>
        <w:spacing w:after="480"/>
      </w:pPr>
      <w:r>
        <w:rPr>
          <w:rFonts w:hint="cs"/>
          <w:rtl/>
        </w:rPr>
        <w:t>واستكمال التقييم التقني لعملية الانتقال من المعيار</w:t>
      </w:r>
      <w:r>
        <w:rPr>
          <w:rFonts w:hint="eastAsia"/>
          <w:rtl/>
        </w:rPr>
        <w:t> </w:t>
      </w:r>
      <w:r w:rsidRPr="00116C63">
        <w:t>ST.25</w:t>
      </w:r>
      <w:r>
        <w:rPr>
          <w:rFonts w:hint="cs"/>
          <w:rtl/>
        </w:rPr>
        <w:t xml:space="preserve"> إلى المعيار</w:t>
      </w:r>
      <w:r>
        <w:rPr>
          <w:rFonts w:hint="eastAsia"/>
          <w:rtl/>
        </w:rPr>
        <w:t> </w:t>
      </w:r>
      <w:r w:rsidRPr="00116C63">
        <w:t>ST.26</w:t>
      </w:r>
      <w:r>
        <w:rPr>
          <w:rFonts w:hint="cs"/>
          <w:rtl/>
        </w:rPr>
        <w:t xml:space="preserve"> وتقديمه إلى </w:t>
      </w:r>
      <w:r w:rsidR="003547AA">
        <w:rPr>
          <w:rFonts w:hint="cs"/>
          <w:rtl/>
        </w:rPr>
        <w:t xml:space="preserve">الدورة المقبلة </w:t>
      </w:r>
      <w:r>
        <w:rPr>
          <w:rFonts w:hint="cs"/>
          <w:rtl/>
        </w:rPr>
        <w:t xml:space="preserve">اللجنة في </w:t>
      </w:r>
      <w:r w:rsidR="003547AA">
        <w:rPr>
          <w:rFonts w:hint="cs"/>
          <w:rtl/>
        </w:rPr>
        <w:t xml:space="preserve">2017 </w:t>
      </w:r>
      <w:r>
        <w:rPr>
          <w:rFonts w:hint="cs"/>
          <w:rtl/>
        </w:rPr>
        <w:t xml:space="preserve"> كي تنظر فيه وتعتمده.</w:t>
      </w:r>
    </w:p>
    <w:p w:rsidR="00E708FB" w:rsidRDefault="00E708FB" w:rsidP="00E708FB">
      <w:pPr>
        <w:pStyle w:val="EndofDocumentAR"/>
        <w:rPr>
          <w:rtl/>
        </w:rPr>
      </w:pPr>
      <w:r>
        <w:rPr>
          <w:rFonts w:hint="cs"/>
          <w:rtl/>
        </w:rPr>
        <w:t>[نهاية المرفق والوثيقة]</w:t>
      </w:r>
    </w:p>
    <w:p w:rsidR="009F513E" w:rsidRPr="007F38D1" w:rsidRDefault="009F513E" w:rsidP="007F38D1">
      <w:pPr>
        <w:pStyle w:val="NormalParaAR"/>
        <w:rPr>
          <w:rtl/>
        </w:rPr>
      </w:pPr>
    </w:p>
    <w:p w:rsidR="009F513E" w:rsidRPr="007F38D1" w:rsidRDefault="009F513E" w:rsidP="007F38D1">
      <w:pPr>
        <w:pStyle w:val="NormalParaAR"/>
        <w:rPr>
          <w:rtl/>
        </w:rPr>
      </w:pPr>
    </w:p>
    <w:sectPr w:rsidR="009F513E" w:rsidRPr="007F38D1" w:rsidSect="00EB7752">
      <w:headerReference w:type="default" r:id="rId8"/>
      <w:headerReference w:type="firs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0B" w:rsidRDefault="001E080B">
      <w:r>
        <w:separator/>
      </w:r>
    </w:p>
  </w:endnote>
  <w:endnote w:type="continuationSeparator" w:id="0">
    <w:p w:rsidR="001E080B" w:rsidRDefault="001E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0B" w:rsidRDefault="001E080B" w:rsidP="009622BF">
      <w:pPr>
        <w:bidi/>
      </w:pPr>
      <w:bookmarkStart w:id="0" w:name="OLE_LINK1"/>
      <w:bookmarkStart w:id="1" w:name="OLE_LINK2"/>
      <w:r>
        <w:separator/>
      </w:r>
      <w:bookmarkEnd w:id="0"/>
      <w:bookmarkEnd w:id="1"/>
    </w:p>
  </w:footnote>
  <w:footnote w:type="continuationSeparator" w:id="0">
    <w:p w:rsidR="001E080B" w:rsidRDefault="001E080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E708FB">
    <w:r>
      <w:t>CWS</w:t>
    </w:r>
    <w:r w:rsidR="002F77FC">
      <w:t>/</w:t>
    </w:r>
    <w:r w:rsidR="008D5779">
      <w:t>4</w:t>
    </w:r>
    <w:r w:rsidR="007205B1">
      <w:t>BIS</w:t>
    </w:r>
    <w:r w:rsidR="002F77FC">
      <w:t>/</w:t>
    </w:r>
    <w:r w:rsidR="00E708FB">
      <w:t>8</w:t>
    </w:r>
  </w:p>
  <w:p w:rsidR="001E080B" w:rsidRDefault="001E080B" w:rsidP="001E080B">
    <w:r>
      <w:t>Annex</w:t>
    </w:r>
  </w:p>
  <w:p w:rsidR="002F77FC" w:rsidRDefault="002F77FC" w:rsidP="001E080B">
    <w:r>
      <w:fldChar w:fldCharType="begin"/>
    </w:r>
    <w:r>
      <w:instrText xml:space="preserve"> PAGE  \* MERGEFORMAT </w:instrText>
    </w:r>
    <w:r>
      <w:fldChar w:fldCharType="separate"/>
    </w:r>
    <w:r w:rsidR="00E90D23">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80B" w:rsidRDefault="001E080B" w:rsidP="00E708FB">
    <w:r>
      <w:t>CWS/4BIS/</w:t>
    </w:r>
    <w:r w:rsidR="00E708FB">
      <w:t>8</w:t>
    </w:r>
  </w:p>
  <w:p w:rsidR="001E080B" w:rsidRDefault="001E080B" w:rsidP="001E080B">
    <w:r>
      <w:t>Annex</w:t>
    </w:r>
  </w:p>
  <w:p w:rsidR="001E080B" w:rsidRPr="001E080B" w:rsidRDefault="001E080B" w:rsidP="001E080B">
    <w:pPr>
      <w:rPr>
        <w:rFonts w:ascii="Arabic Typesetting" w:hAnsi="Arabic Typesetting" w:cs="Arabic Typesetting"/>
        <w:sz w:val="36"/>
        <w:szCs w:val="36"/>
        <w:rtl/>
        <w:lang w:val="fr-CH"/>
      </w:rPr>
    </w:pPr>
    <w:r w:rsidRPr="001E080B">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9EF50CD"/>
    <w:multiLevelType w:val="multilevel"/>
    <w:tmpl w:val="73AAD130"/>
    <w:lvl w:ilvl="0">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31F3A9D"/>
    <w:multiLevelType w:val="hybridMultilevel"/>
    <w:tmpl w:val="C222243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7F82D9B"/>
    <w:multiLevelType w:val="hybridMultilevel"/>
    <w:tmpl w:val="8EF82F8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F431F7"/>
    <w:multiLevelType w:val="hybridMultilevel"/>
    <w:tmpl w:val="3778561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C2A2E20"/>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954E71"/>
    <w:multiLevelType w:val="hybridMultilevel"/>
    <w:tmpl w:val="3160BAFE"/>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8235E8"/>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901206"/>
    <w:multiLevelType w:val="hybridMultilevel"/>
    <w:tmpl w:val="3CC024D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E1F12B1"/>
    <w:multiLevelType w:val="hybridMultilevel"/>
    <w:tmpl w:val="7B26CB9A"/>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06B4158"/>
    <w:multiLevelType w:val="hybridMultilevel"/>
    <w:tmpl w:val="2C7C0358"/>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3225702"/>
    <w:multiLevelType w:val="hybridMultilevel"/>
    <w:tmpl w:val="5330DD6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7CA0BD2"/>
    <w:multiLevelType w:val="hybridMultilevel"/>
    <w:tmpl w:val="3BDA9838"/>
    <w:lvl w:ilvl="0" w:tplc="B53A1932">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EA03FB5"/>
    <w:multiLevelType w:val="hybridMultilevel"/>
    <w:tmpl w:val="AADC3162"/>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10035F8"/>
    <w:multiLevelType w:val="hybridMultilevel"/>
    <w:tmpl w:val="582E3F5C"/>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2165806"/>
    <w:multiLevelType w:val="hybridMultilevel"/>
    <w:tmpl w:val="4B103416"/>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7A5E6E"/>
    <w:multiLevelType w:val="hybridMultilevel"/>
    <w:tmpl w:val="CBCCE014"/>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3F20B02"/>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7410F6"/>
    <w:multiLevelType w:val="hybridMultilevel"/>
    <w:tmpl w:val="C9B24DE4"/>
    <w:lvl w:ilvl="0" w:tplc="B53A1932">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996"/>
        </w:tabs>
        <w:ind w:left="1996" w:hanging="360"/>
      </w:pPr>
    </w:lvl>
    <w:lvl w:ilvl="2" w:tplc="0409001B" w:tentative="1">
      <w:start w:val="1"/>
      <w:numFmt w:val="lowerRoman"/>
      <w:lvlText w:val="%3."/>
      <w:lvlJc w:val="right"/>
      <w:pPr>
        <w:tabs>
          <w:tab w:val="num" w:pos="2716"/>
        </w:tabs>
        <w:ind w:left="2716" w:hanging="180"/>
      </w:pPr>
    </w:lvl>
    <w:lvl w:ilvl="3" w:tplc="0409000F" w:tentative="1">
      <w:start w:val="1"/>
      <w:numFmt w:val="decimal"/>
      <w:lvlText w:val="%4."/>
      <w:lvlJc w:val="left"/>
      <w:pPr>
        <w:tabs>
          <w:tab w:val="num" w:pos="3436"/>
        </w:tabs>
        <w:ind w:left="3436" w:hanging="360"/>
      </w:pPr>
    </w:lvl>
    <w:lvl w:ilvl="4" w:tplc="04090019" w:tentative="1">
      <w:start w:val="1"/>
      <w:numFmt w:val="lowerLetter"/>
      <w:lvlText w:val="%5."/>
      <w:lvlJc w:val="left"/>
      <w:pPr>
        <w:tabs>
          <w:tab w:val="num" w:pos="4156"/>
        </w:tabs>
        <w:ind w:left="4156" w:hanging="360"/>
      </w:pPr>
    </w:lvl>
    <w:lvl w:ilvl="5" w:tplc="0409001B" w:tentative="1">
      <w:start w:val="1"/>
      <w:numFmt w:val="lowerRoman"/>
      <w:lvlText w:val="%6."/>
      <w:lvlJc w:val="right"/>
      <w:pPr>
        <w:tabs>
          <w:tab w:val="num" w:pos="4876"/>
        </w:tabs>
        <w:ind w:left="4876" w:hanging="180"/>
      </w:pPr>
    </w:lvl>
    <w:lvl w:ilvl="6" w:tplc="0409000F" w:tentative="1">
      <w:start w:val="1"/>
      <w:numFmt w:val="decimal"/>
      <w:lvlText w:val="%7."/>
      <w:lvlJc w:val="left"/>
      <w:pPr>
        <w:tabs>
          <w:tab w:val="num" w:pos="5596"/>
        </w:tabs>
        <w:ind w:left="5596" w:hanging="360"/>
      </w:pPr>
    </w:lvl>
    <w:lvl w:ilvl="7" w:tplc="04090019" w:tentative="1">
      <w:start w:val="1"/>
      <w:numFmt w:val="lowerLetter"/>
      <w:lvlText w:val="%8."/>
      <w:lvlJc w:val="left"/>
      <w:pPr>
        <w:tabs>
          <w:tab w:val="num" w:pos="6316"/>
        </w:tabs>
        <w:ind w:left="6316" w:hanging="360"/>
      </w:pPr>
    </w:lvl>
    <w:lvl w:ilvl="8" w:tplc="0409001B" w:tentative="1">
      <w:start w:val="1"/>
      <w:numFmt w:val="lowerRoman"/>
      <w:lvlText w:val="%9."/>
      <w:lvlJc w:val="right"/>
      <w:pPr>
        <w:tabs>
          <w:tab w:val="num" w:pos="7036"/>
        </w:tabs>
        <w:ind w:left="7036" w:hanging="180"/>
      </w:pPr>
    </w:lvl>
  </w:abstractNum>
  <w:abstractNum w:abstractNumId="3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164C85"/>
    <w:multiLevelType w:val="hybridMultilevel"/>
    <w:tmpl w:val="C1D21A78"/>
    <w:lvl w:ilvl="0" w:tplc="C8EC95A8">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89E2948"/>
    <w:multiLevelType w:val="hybridMultilevel"/>
    <w:tmpl w:val="73AAD130"/>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225557"/>
    <w:multiLevelType w:val="hybridMultilevel"/>
    <w:tmpl w:val="785CC1E4"/>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FA07895"/>
    <w:multiLevelType w:val="hybridMultilevel"/>
    <w:tmpl w:val="7BFE2A02"/>
    <w:lvl w:ilvl="0" w:tplc="30C2F596">
      <w:start w:val="1"/>
      <w:numFmt w:val="decimal"/>
      <w:lvlText w:val="%1."/>
      <w:lvlJc w:val="left"/>
      <w:pPr>
        <w:tabs>
          <w:tab w:val="num" w:pos="1123"/>
        </w:tabs>
        <w:ind w:left="556" w:firstLine="0"/>
      </w:pPr>
      <w:rPr>
        <w:rFonts w:ascii="Arabic Typesetting" w:hAnsi="Arabic Typesetting" w:cs="Arabic Typesetting" w:hint="default"/>
        <w:i w:val="0"/>
        <w:iCs w:val="0"/>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7"/>
  </w:num>
  <w:num w:numId="3">
    <w:abstractNumId w:val="12"/>
  </w:num>
  <w:num w:numId="4">
    <w:abstractNumId w:val="36"/>
  </w:num>
  <w:num w:numId="5">
    <w:abstractNumId w:val="8"/>
  </w:num>
  <w:num w:numId="6">
    <w:abstractNumId w:val="38"/>
  </w:num>
  <w:num w:numId="7">
    <w:abstractNumId w:val="21"/>
  </w:num>
  <w:num w:numId="8">
    <w:abstractNumId w:val="34"/>
  </w:num>
  <w:num w:numId="9">
    <w:abstractNumId w:val="31"/>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33"/>
  </w:num>
  <w:num w:numId="22">
    <w:abstractNumId w:val="35"/>
  </w:num>
  <w:num w:numId="23">
    <w:abstractNumId w:val="15"/>
  </w:num>
  <w:num w:numId="24">
    <w:abstractNumId w:val="22"/>
  </w:num>
  <w:num w:numId="25">
    <w:abstractNumId w:val="28"/>
  </w:num>
  <w:num w:numId="26">
    <w:abstractNumId w:val="29"/>
  </w:num>
  <w:num w:numId="27">
    <w:abstractNumId w:val="23"/>
  </w:num>
  <w:num w:numId="28">
    <w:abstractNumId w:val="14"/>
  </w:num>
  <w:num w:numId="29">
    <w:abstractNumId w:val="24"/>
  </w:num>
  <w:num w:numId="30">
    <w:abstractNumId w:val="39"/>
  </w:num>
  <w:num w:numId="31">
    <w:abstractNumId w:val="17"/>
  </w:num>
  <w:num w:numId="32">
    <w:abstractNumId w:val="30"/>
  </w:num>
  <w:num w:numId="33">
    <w:abstractNumId w:val="41"/>
  </w:num>
  <w:num w:numId="34">
    <w:abstractNumId w:val="11"/>
  </w:num>
  <w:num w:numId="35">
    <w:abstractNumId w:val="20"/>
  </w:num>
  <w:num w:numId="36">
    <w:abstractNumId w:val="18"/>
  </w:num>
  <w:num w:numId="37">
    <w:abstractNumId w:val="10"/>
  </w:num>
  <w:num w:numId="38">
    <w:abstractNumId w:val="26"/>
  </w:num>
  <w:num w:numId="39">
    <w:abstractNumId w:val="25"/>
  </w:num>
  <w:num w:numId="40">
    <w:abstractNumId w:val="32"/>
  </w:num>
  <w:num w:numId="41">
    <w:abstractNumId w:val="37"/>
  </w:num>
  <w:num w:numId="42">
    <w:abstractNumId w:val="16"/>
  </w:num>
  <w:num w:numId="43">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0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4F9E"/>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80B"/>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47AA"/>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7EB"/>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6F02"/>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98F"/>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8FB"/>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D23"/>
    <w:rsid w:val="00E91964"/>
    <w:rsid w:val="00E91FB1"/>
    <w:rsid w:val="00E94468"/>
    <w:rsid w:val="00E94A0E"/>
    <w:rsid w:val="00E9505F"/>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80B"/>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1E08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80B"/>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basedOn w:val="DefaultParagraphFont"/>
    <w:rsid w:val="001E0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CWS/4BIS/-- (Arabic)</vt:lpstr>
    </vt:vector>
  </TitlesOfParts>
  <Company>World Intellectual Property Organization</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CWS/4BIS/8 Annex (Arabic)</dc:title>
  <dc:subject>تقرير عن إعداد معيار جديد للويبو بشأن عرض قوائم تسلسل النوويدات والأحماض الأمينية باستخدام لغة الترميز الموسعة (XML)</dc:subject>
  <dc:creator>WIPO</dc:creator>
  <cp:keywords>CWS</cp:keywords>
  <cp:lastModifiedBy>SCHLESSINGER Caroline</cp:lastModifiedBy>
  <cp:revision>3</cp:revision>
  <cp:lastPrinted>2011-07-08T12:30:00Z</cp:lastPrinted>
  <dcterms:created xsi:type="dcterms:W3CDTF">2016-03-07T14:04:00Z</dcterms:created>
  <dcterms:modified xsi:type="dcterms:W3CDTF">2016-03-07T14:06:00Z</dcterms:modified>
</cp:coreProperties>
</file>