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B6" w:rsidRPr="00FD6F19" w:rsidRDefault="008126B6" w:rsidP="00FD6F19">
      <w:pPr>
        <w:pStyle w:val="Heading2"/>
        <w:rPr>
          <w:b/>
          <w:bCs/>
          <w:rtl/>
        </w:rPr>
      </w:pPr>
      <w:bookmarkStart w:id="2" w:name="_GoBack"/>
      <w:bookmarkEnd w:id="2"/>
      <w:r w:rsidRPr="00FD6F19">
        <w:rPr>
          <w:rFonts w:hint="cs"/>
          <w:b/>
          <w:bCs/>
          <w:rtl/>
        </w:rPr>
        <w:t>تقرير مرحلي بشأن المهمة رقم</w:t>
      </w:r>
      <w:r w:rsidRPr="00FD6F19">
        <w:rPr>
          <w:rFonts w:hint="eastAsia"/>
          <w:b/>
          <w:bCs/>
          <w:rtl/>
        </w:rPr>
        <w:t xml:space="preserve"> 23 </w:t>
      </w:r>
      <w:r w:rsidR="00032990" w:rsidRPr="00FD6F19">
        <w:rPr>
          <w:rFonts w:hint="cs"/>
          <w:b/>
          <w:bCs/>
          <w:rtl/>
        </w:rPr>
        <w:t xml:space="preserve">للفريق العامل المعني بالمعايير </w:t>
      </w:r>
      <w:proofErr w:type="gramStart"/>
      <w:r w:rsidR="00032990" w:rsidRPr="00FD6F19">
        <w:rPr>
          <w:rFonts w:hint="cs"/>
          <w:b/>
          <w:bCs/>
          <w:rtl/>
        </w:rPr>
        <w:t>والوثائق</w:t>
      </w:r>
      <w:proofErr w:type="gramEnd"/>
    </w:p>
    <w:p w:rsidR="008126B6" w:rsidRDefault="008126B6" w:rsidP="00FD6F19">
      <w:pPr>
        <w:pStyle w:val="NormalParaAR"/>
        <w:tabs>
          <w:tab w:val="left" w:pos="3645"/>
        </w:tabs>
        <w:spacing w:after="960"/>
        <w:rPr>
          <w:i/>
          <w:iCs/>
          <w:rtl/>
        </w:rPr>
      </w:pPr>
      <w:r>
        <w:rPr>
          <w:rFonts w:hint="cs"/>
          <w:i/>
          <w:iCs/>
          <w:rtl/>
        </w:rPr>
        <w:t xml:space="preserve">وثيقة </w:t>
      </w:r>
      <w:r w:rsidRPr="0018049E">
        <w:rPr>
          <w:rFonts w:hint="cs"/>
          <w:i/>
          <w:iCs/>
          <w:rtl/>
        </w:rPr>
        <w:t>من إعداد المكتب الأوروبي للبراءات</w:t>
      </w:r>
    </w:p>
    <w:p w:rsidR="008126B6" w:rsidRDefault="008126B6" w:rsidP="008B3D7F">
      <w:pPr>
        <w:pStyle w:val="Heading2"/>
        <w:rPr>
          <w:b/>
          <w:bCs/>
          <w:rtl/>
        </w:rPr>
      </w:pPr>
      <w:r w:rsidRPr="00D0072B">
        <w:rPr>
          <w:rFonts w:hint="cs"/>
          <w:rtl/>
        </w:rPr>
        <w:t>المواصفات</w:t>
      </w:r>
    </w:p>
    <w:p w:rsidR="008126B6" w:rsidRDefault="008126B6" w:rsidP="00FD6F19">
      <w:pPr>
        <w:pStyle w:val="NumberedParaAR"/>
        <w:numPr>
          <w:ilvl w:val="0"/>
          <w:numId w:val="21"/>
        </w:numPr>
      </w:pPr>
      <w:r>
        <w:rPr>
          <w:rFonts w:hint="cs"/>
          <w:rtl/>
        </w:rPr>
        <w:t xml:space="preserve">هذه الوثيقة هي تحديث للتقرير المرحلي المقدم </w:t>
      </w:r>
      <w:proofErr w:type="gramStart"/>
      <w:r>
        <w:rPr>
          <w:rFonts w:hint="cs"/>
          <w:rtl/>
        </w:rPr>
        <w:t>في</w:t>
      </w:r>
      <w:proofErr w:type="gramEnd"/>
      <w:r>
        <w:rPr>
          <w:rFonts w:hint="cs"/>
          <w:rtl/>
        </w:rPr>
        <w:t xml:space="preserve"> </w:t>
      </w:r>
      <w:r w:rsidR="00FD6F19">
        <w:rPr>
          <w:rFonts w:hint="cs"/>
          <w:rtl/>
        </w:rPr>
        <w:t>مارس</w:t>
      </w:r>
      <w:r w:rsidR="00FD6F19">
        <w:rPr>
          <w:rFonts w:hint="eastAsia"/>
          <w:rtl/>
        </w:rPr>
        <w:t> </w:t>
      </w:r>
      <w:r w:rsidR="00FD6F19">
        <w:rPr>
          <w:rFonts w:hint="cs"/>
          <w:rtl/>
        </w:rPr>
        <w:t>2014</w:t>
      </w:r>
      <w:r>
        <w:rPr>
          <w:rFonts w:hint="cs"/>
          <w:rtl/>
        </w:rPr>
        <w:t xml:space="preserve">. ويعرض التقرير الحالي الوضع في بداية </w:t>
      </w:r>
      <w:r w:rsidR="00FD6F19">
        <w:rPr>
          <w:rFonts w:hint="cs"/>
          <w:rtl/>
        </w:rPr>
        <w:t>فبراير</w:t>
      </w:r>
      <w:r>
        <w:rPr>
          <w:rFonts w:hint="cs"/>
          <w:rtl/>
        </w:rPr>
        <w:t> </w:t>
      </w:r>
      <w:r w:rsidR="00FD6F19">
        <w:rPr>
          <w:rFonts w:hint="cs"/>
          <w:rtl/>
        </w:rPr>
        <w:t>2016</w:t>
      </w:r>
      <w:r>
        <w:rPr>
          <w:rFonts w:hint="cs"/>
          <w:rtl/>
        </w:rPr>
        <w:t xml:space="preserve"> ويتبع المسارات </w:t>
      </w:r>
      <w:r w:rsidR="00FD6F19">
        <w:rPr>
          <w:rFonts w:hint="cs"/>
          <w:rtl/>
        </w:rPr>
        <w:t>المُحدّدة في</w:t>
      </w:r>
      <w:r>
        <w:rPr>
          <w:rFonts w:hint="cs"/>
          <w:rtl/>
        </w:rPr>
        <w:t xml:space="preserve"> </w:t>
      </w:r>
      <w:r w:rsidR="00FD6F19">
        <w:rPr>
          <w:rFonts w:hint="cs"/>
          <w:rtl/>
        </w:rPr>
        <w:t>ال</w:t>
      </w:r>
      <w:r>
        <w:rPr>
          <w:rFonts w:hint="cs"/>
          <w:rtl/>
        </w:rPr>
        <w:t xml:space="preserve">عنوان </w:t>
      </w:r>
      <w:r w:rsidR="00FD6F19">
        <w:rPr>
          <w:rFonts w:hint="cs"/>
          <w:rtl/>
        </w:rPr>
        <w:t>الذي خُصّص ل</w:t>
      </w:r>
      <w:r>
        <w:rPr>
          <w:rFonts w:hint="cs"/>
          <w:rtl/>
        </w:rPr>
        <w:t xml:space="preserve">لمهمة رقم 23 في الدورة الحادية عشرة </w:t>
      </w:r>
      <w:r w:rsidRPr="00A175F9">
        <w:rPr>
          <w:rtl/>
        </w:rPr>
        <w:t>للفريق العامل المعني بالمعايير والوثائق</w:t>
      </w:r>
      <w:r>
        <w:rPr>
          <w:rFonts w:hint="cs"/>
          <w:rtl/>
        </w:rPr>
        <w:t xml:space="preserve"> المنعقدة في الفترة من 26 إلى 30 أكتوبر 2009: "رصد إدراج المعلومات عن</w:t>
      </w:r>
      <w:r w:rsidRPr="00622D0A">
        <w:rPr>
          <w:rtl/>
        </w:rPr>
        <w:t xml:space="preserve"> دخول</w:t>
      </w:r>
      <w:r>
        <w:rPr>
          <w:rFonts w:hint="cs"/>
          <w:rtl/>
        </w:rPr>
        <w:t xml:space="preserve"> </w:t>
      </w:r>
      <w:r w:rsidRPr="00622D0A">
        <w:rPr>
          <w:rtl/>
        </w:rPr>
        <w:t xml:space="preserve">الطلبات الدولية </w:t>
      </w:r>
      <w:r>
        <w:rPr>
          <w:rFonts w:hint="cs"/>
          <w:rtl/>
        </w:rPr>
        <w:t>المنشورة</w:t>
      </w:r>
      <w:r w:rsidRPr="00622D0A">
        <w:rPr>
          <w:rtl/>
        </w:rPr>
        <w:t xml:space="preserve"> بناء على معاهدة التعاون بشأن البراءات </w:t>
      </w:r>
      <w:r>
        <w:rPr>
          <w:rFonts w:hint="cs"/>
          <w:rtl/>
        </w:rPr>
        <w:t xml:space="preserve">وعدم دخولها، حسب الحال، </w:t>
      </w:r>
      <w:r w:rsidRPr="00622D0A">
        <w:rPr>
          <w:rtl/>
        </w:rPr>
        <w:t>في المرحلة الوطنية (الإقليمية)</w:t>
      </w:r>
      <w:r>
        <w:rPr>
          <w:rFonts w:hint="cs"/>
          <w:rtl/>
        </w:rPr>
        <w:t xml:space="preserve"> في قواعد البيانات".</w:t>
      </w:r>
    </w:p>
    <w:p w:rsidR="008126B6" w:rsidRDefault="008126B6" w:rsidP="008B3D7F">
      <w:pPr>
        <w:pStyle w:val="Heading2"/>
        <w:rPr>
          <w:b/>
          <w:bCs/>
          <w:rtl/>
        </w:rPr>
      </w:pPr>
      <w:proofErr w:type="gramStart"/>
      <w:r w:rsidRPr="00D0072B">
        <w:rPr>
          <w:rFonts w:hint="cs"/>
          <w:rtl/>
        </w:rPr>
        <w:t>التقدم</w:t>
      </w:r>
      <w:proofErr w:type="gramEnd"/>
      <w:r w:rsidRPr="009526DB">
        <w:rPr>
          <w:rFonts w:hint="cs"/>
          <w:b/>
          <w:bCs/>
          <w:rtl/>
        </w:rPr>
        <w:t xml:space="preserve"> </w:t>
      </w:r>
      <w:r w:rsidRPr="00D0072B">
        <w:rPr>
          <w:rFonts w:hint="cs"/>
          <w:rtl/>
        </w:rPr>
        <w:t>المحرز</w:t>
      </w:r>
    </w:p>
    <w:p w:rsidR="008126B6" w:rsidRDefault="008126B6" w:rsidP="005D18F0">
      <w:pPr>
        <w:pStyle w:val="NumberedParaAR"/>
      </w:pPr>
      <w:r>
        <w:rPr>
          <w:rFonts w:hint="cs"/>
          <w:rtl/>
        </w:rPr>
        <w:t xml:space="preserve">تواصلت الجهود الرامية إلى مواكبة تدفق البيانات </w:t>
      </w:r>
      <w:r w:rsidR="008B3D7F">
        <w:rPr>
          <w:rFonts w:hint="cs"/>
          <w:rtl/>
        </w:rPr>
        <w:t xml:space="preserve">الواردة من مكاتب البراءات، ويُعد </w:t>
      </w:r>
      <w:r>
        <w:rPr>
          <w:rFonts w:hint="cs"/>
          <w:rtl/>
        </w:rPr>
        <w:t xml:space="preserve">التعاون مع الويبو، على وجه الخصوص، </w:t>
      </w:r>
      <w:r w:rsidR="008B3D7F">
        <w:rPr>
          <w:rFonts w:hint="cs"/>
          <w:rtl/>
        </w:rPr>
        <w:t>أمرا مهما في هذا الصدد</w:t>
      </w:r>
      <w:r>
        <w:rPr>
          <w:rFonts w:hint="cs"/>
          <w:rtl/>
        </w:rPr>
        <w:t>. وفي الوقت الحالي، فمن أصل</w:t>
      </w:r>
      <w:r w:rsidR="008B3D7F">
        <w:rPr>
          <w:rFonts w:hint="cs"/>
          <w:rtl/>
        </w:rPr>
        <w:t xml:space="preserve"> ما يزيد على </w:t>
      </w:r>
      <w:r>
        <w:rPr>
          <w:rFonts w:hint="eastAsia"/>
          <w:rtl/>
        </w:rPr>
        <w:t> </w:t>
      </w:r>
      <w:r w:rsidR="008B3D7F">
        <w:rPr>
          <w:rFonts w:hint="cs"/>
          <w:rtl/>
        </w:rPr>
        <w:t>65</w:t>
      </w:r>
      <w:r>
        <w:rPr>
          <w:rFonts w:hint="cs"/>
          <w:rtl/>
        </w:rPr>
        <w:t xml:space="preserve"> إدارة من إدارات البراءات التي تساهم في قاعدة بيانات المكتب الأوروبي للبر</w:t>
      </w:r>
      <w:r w:rsidR="006D02F8">
        <w:rPr>
          <w:rFonts w:hint="cs"/>
          <w:rtl/>
        </w:rPr>
        <w:t>اءات بشأن الوضع القانوني</w:t>
      </w:r>
      <w:r w:rsidR="008B3D7F">
        <w:rPr>
          <w:rFonts w:hint="cs"/>
          <w:rtl/>
        </w:rPr>
        <w:t>،</w:t>
      </w:r>
      <w:r>
        <w:rPr>
          <w:rFonts w:hint="cs"/>
          <w:rtl/>
        </w:rPr>
        <w:t xml:space="preserve"> </w:t>
      </w:r>
      <w:r w:rsidR="008B3D7F">
        <w:rPr>
          <w:rFonts w:hint="cs"/>
          <w:rtl/>
        </w:rPr>
        <w:t>هناك</w:t>
      </w:r>
      <w:r>
        <w:rPr>
          <w:rFonts w:hint="eastAsia"/>
          <w:rtl/>
        </w:rPr>
        <w:t> </w:t>
      </w:r>
      <w:r w:rsidR="008B3D7F">
        <w:rPr>
          <w:rFonts w:hint="cs"/>
          <w:rtl/>
        </w:rPr>
        <w:t>43</w:t>
      </w:r>
      <w:r>
        <w:rPr>
          <w:rFonts w:hint="cs"/>
          <w:rtl/>
        </w:rPr>
        <w:t xml:space="preserve"> </w:t>
      </w:r>
      <w:r w:rsidR="008B3D7F">
        <w:rPr>
          <w:rFonts w:hint="cs"/>
          <w:rtl/>
        </w:rPr>
        <w:t>إدارة تقدم، أو قدمت في الماضي،</w:t>
      </w:r>
      <w:r>
        <w:rPr>
          <w:rFonts w:hint="cs"/>
          <w:rtl/>
        </w:rPr>
        <w:t xml:space="preserve"> معلومات عن الدخول في المرحلة الوطنية (الإقليمية). وبما أن </w:t>
      </w:r>
      <w:r w:rsidR="008B3D7F">
        <w:rPr>
          <w:rFonts w:hint="cs"/>
          <w:rtl/>
        </w:rPr>
        <w:t>عدة</w:t>
      </w:r>
      <w:r>
        <w:rPr>
          <w:rFonts w:hint="cs"/>
          <w:rtl/>
        </w:rPr>
        <w:t xml:space="preserve"> من الدول الأعضاء في المكتب الأوروبي للبراءات </w:t>
      </w:r>
      <w:r w:rsidR="008B3D7F">
        <w:rPr>
          <w:rFonts w:hint="cs"/>
          <w:rtl/>
        </w:rPr>
        <w:t>ت</w:t>
      </w:r>
      <w:r>
        <w:rPr>
          <w:rFonts w:hint="cs"/>
          <w:rtl/>
        </w:rPr>
        <w:t xml:space="preserve">سمح بالتعيينات الإقليمية فقط، </w:t>
      </w:r>
      <w:r w:rsidRPr="00E039B6">
        <w:rPr>
          <w:rFonts w:hint="cs"/>
          <w:rtl/>
        </w:rPr>
        <w:t>فإن عدد البلدان المشمولة</w:t>
      </w:r>
      <w:r w:rsidR="008B3D7F">
        <w:rPr>
          <w:rFonts w:hint="cs"/>
          <w:rtl/>
        </w:rPr>
        <w:t xml:space="preserve"> يبلغ 55 بلدا.</w:t>
      </w:r>
      <w:r>
        <w:rPr>
          <w:rFonts w:hint="cs"/>
          <w:rtl/>
        </w:rPr>
        <w:t xml:space="preserve"> </w:t>
      </w:r>
      <w:r w:rsidR="008B3D7F">
        <w:rPr>
          <w:rFonts w:hint="cs"/>
          <w:rtl/>
        </w:rPr>
        <w:t>ومن الملاحظ، إذا قورن الوضع الراهن بالوضع المُبلّغ عنه سابقا، أنه لم تطرأ سوى تحسينات قليلة.</w:t>
      </w:r>
    </w:p>
    <w:p w:rsidR="008126B6" w:rsidRPr="00D0072B" w:rsidRDefault="008126B6" w:rsidP="008B3D7F">
      <w:pPr>
        <w:pStyle w:val="Heading2"/>
        <w:rPr>
          <w:rtl/>
        </w:rPr>
      </w:pPr>
      <w:proofErr w:type="gramStart"/>
      <w:r w:rsidRPr="00D0072B">
        <w:rPr>
          <w:rFonts w:hint="cs"/>
          <w:rtl/>
        </w:rPr>
        <w:t>الوضع</w:t>
      </w:r>
      <w:proofErr w:type="gramEnd"/>
      <w:r w:rsidRPr="00D0072B">
        <w:rPr>
          <w:rFonts w:hint="cs"/>
          <w:rtl/>
        </w:rPr>
        <w:t xml:space="preserve"> الراهن</w:t>
      </w:r>
    </w:p>
    <w:p w:rsidR="008126B6" w:rsidRDefault="008126B6" w:rsidP="006D0613">
      <w:pPr>
        <w:pStyle w:val="NumberedParaAR"/>
      </w:pPr>
      <w:r>
        <w:rPr>
          <w:rFonts w:hint="cs"/>
          <w:rtl/>
        </w:rPr>
        <w:t>تُستخدم</w:t>
      </w:r>
      <w:r w:rsidR="00AC4E65">
        <w:rPr>
          <w:rFonts w:hint="cs"/>
          <w:rtl/>
        </w:rPr>
        <w:t>،</w:t>
      </w:r>
      <w:r>
        <w:rPr>
          <w:rFonts w:hint="cs"/>
          <w:rtl/>
        </w:rPr>
        <w:t xml:space="preserve"> </w:t>
      </w:r>
      <w:r w:rsidR="00AC4E65">
        <w:rPr>
          <w:rFonts w:hint="cs"/>
          <w:rtl/>
        </w:rPr>
        <w:t>لأغراض قاعدة بيانات</w:t>
      </w:r>
      <w:r w:rsidR="00AC4E65" w:rsidRPr="00E467FF">
        <w:rPr>
          <w:rFonts w:hint="cs"/>
          <w:rtl/>
        </w:rPr>
        <w:t xml:space="preserve"> </w:t>
      </w:r>
      <w:r w:rsidR="00AC4E65">
        <w:rPr>
          <w:rFonts w:hint="cs"/>
          <w:rtl/>
        </w:rPr>
        <w:t>المكتب الأوروبي للبراءات بشأن الوضع القانوني،</w:t>
      </w:r>
      <w:r w:rsidR="00AC4E65" w:rsidRPr="00E467FF">
        <w:rPr>
          <w:rFonts w:hint="cs"/>
          <w:rtl/>
        </w:rPr>
        <w:t xml:space="preserve"> </w:t>
      </w:r>
      <w:r>
        <w:rPr>
          <w:rFonts w:hint="cs"/>
          <w:rtl/>
        </w:rPr>
        <w:t xml:space="preserve">البيانات الواردة مباشرة </w:t>
      </w:r>
      <w:r w:rsidR="006D02F8">
        <w:rPr>
          <w:rFonts w:hint="cs"/>
          <w:rtl/>
        </w:rPr>
        <w:t>(</w:t>
      </w:r>
      <w:r>
        <w:rPr>
          <w:rFonts w:hint="cs"/>
          <w:rtl/>
        </w:rPr>
        <w:t>من المكاتب الوطنية</w:t>
      </w:r>
      <w:r w:rsidR="006D02F8">
        <w:rPr>
          <w:rFonts w:hint="cs"/>
          <w:rtl/>
        </w:rPr>
        <w:t>)</w:t>
      </w:r>
      <w:r>
        <w:rPr>
          <w:rFonts w:hint="cs"/>
          <w:rtl/>
        </w:rPr>
        <w:t xml:space="preserve"> إضافة إلى المستجدات التي ترسلها الويبو. </w:t>
      </w:r>
      <w:r w:rsidR="006D0613">
        <w:rPr>
          <w:rFonts w:hint="cs"/>
          <w:rtl/>
        </w:rPr>
        <w:t>وفي الوقت الراهن، يتلقى المكتب المذكور بيانات منتظمة من 25 إدارة. و</w:t>
      </w:r>
      <w:r>
        <w:rPr>
          <w:rFonts w:hint="cs"/>
          <w:rtl/>
        </w:rPr>
        <w:t xml:space="preserve">تنقسم البلدان </w:t>
      </w:r>
      <w:proofErr w:type="gramStart"/>
      <w:r>
        <w:rPr>
          <w:rFonts w:hint="cs"/>
          <w:rtl/>
        </w:rPr>
        <w:t>حسب</w:t>
      </w:r>
      <w:proofErr w:type="gramEnd"/>
      <w:r>
        <w:rPr>
          <w:rFonts w:hint="cs"/>
          <w:rtl/>
        </w:rPr>
        <w:t xml:space="preserve"> مصدر البيانات كما</w:t>
      </w:r>
      <w:r>
        <w:rPr>
          <w:rFonts w:hint="eastAsia"/>
          <w:rtl/>
        </w:rPr>
        <w:t> </w:t>
      </w:r>
      <w:r>
        <w:rPr>
          <w:rFonts w:hint="cs"/>
          <w:rtl/>
        </w:rPr>
        <w:t>يلي:</w:t>
      </w:r>
    </w:p>
    <w:p w:rsidR="008126B6" w:rsidRDefault="008126B6" w:rsidP="000B10AA">
      <w:pPr>
        <w:pStyle w:val="NumberedParaAR"/>
        <w:numPr>
          <w:ilvl w:val="0"/>
          <w:numId w:val="23"/>
        </w:numPr>
        <w:tabs>
          <w:tab w:val="right" w:pos="5395"/>
        </w:tabs>
        <w:spacing w:after="0"/>
        <w:rPr>
          <w:rtl/>
        </w:rPr>
      </w:pPr>
      <w:r>
        <w:rPr>
          <w:rFonts w:hint="cs"/>
          <w:rtl/>
        </w:rPr>
        <w:t xml:space="preserve">البيانات المقدمة </w:t>
      </w:r>
      <w:r w:rsidR="006D0613">
        <w:rPr>
          <w:rFonts w:hint="cs"/>
          <w:rtl/>
        </w:rPr>
        <w:t>إلى</w:t>
      </w:r>
      <w:r>
        <w:rPr>
          <w:rFonts w:hint="cs"/>
          <w:rtl/>
        </w:rPr>
        <w:t xml:space="preserve"> الويبو ومن المكتب الوطني......</w:t>
      </w:r>
      <w:r>
        <w:rPr>
          <w:rFonts w:hint="cs"/>
          <w:rtl/>
        </w:rPr>
        <w:tab/>
      </w:r>
      <w:r w:rsidR="006D0613">
        <w:rPr>
          <w:rFonts w:hint="cs"/>
          <w:rtl/>
        </w:rPr>
        <w:t>13</w:t>
      </w:r>
    </w:p>
    <w:p w:rsidR="008126B6" w:rsidRDefault="008126B6" w:rsidP="000B10AA">
      <w:pPr>
        <w:pStyle w:val="NumberedParaAR"/>
        <w:numPr>
          <w:ilvl w:val="0"/>
          <w:numId w:val="23"/>
        </w:numPr>
        <w:tabs>
          <w:tab w:val="right" w:pos="5395"/>
        </w:tabs>
        <w:spacing w:after="0"/>
        <w:rPr>
          <w:rtl/>
        </w:rPr>
      </w:pPr>
      <w:r>
        <w:rPr>
          <w:rFonts w:hint="cs"/>
          <w:rtl/>
        </w:rPr>
        <w:t>البيانات المقدمة عبر الويبو فقط..........................</w:t>
      </w:r>
      <w:r>
        <w:rPr>
          <w:rFonts w:hint="cs"/>
          <w:rtl/>
        </w:rPr>
        <w:tab/>
      </w:r>
      <w:r w:rsidR="006D0613">
        <w:rPr>
          <w:rFonts w:hint="cs"/>
          <w:rtl/>
        </w:rPr>
        <w:t>11</w:t>
      </w:r>
    </w:p>
    <w:p w:rsidR="008126B6" w:rsidRDefault="008126B6" w:rsidP="000B10AA">
      <w:pPr>
        <w:pStyle w:val="NumberedParaAR"/>
        <w:numPr>
          <w:ilvl w:val="0"/>
          <w:numId w:val="23"/>
        </w:numPr>
        <w:tabs>
          <w:tab w:val="right" w:pos="5395"/>
        </w:tabs>
        <w:spacing w:after="0"/>
        <w:rPr>
          <w:rtl/>
        </w:rPr>
      </w:pPr>
      <w:r>
        <w:rPr>
          <w:rFonts w:hint="cs"/>
          <w:rtl/>
        </w:rPr>
        <w:t xml:space="preserve">البيانات المقدمة من المكتب الوطني </w:t>
      </w:r>
      <w:proofErr w:type="gramStart"/>
      <w:r>
        <w:rPr>
          <w:rFonts w:hint="cs"/>
          <w:rtl/>
        </w:rPr>
        <w:t>فقط</w:t>
      </w:r>
      <w:proofErr w:type="gramEnd"/>
      <w:r>
        <w:rPr>
          <w:rFonts w:hint="cs"/>
          <w:rtl/>
        </w:rPr>
        <w:t>................</w:t>
      </w:r>
      <w:r>
        <w:rPr>
          <w:rFonts w:hint="cs"/>
          <w:rtl/>
        </w:rPr>
        <w:tab/>
      </w:r>
      <w:r w:rsidR="006D0613">
        <w:rPr>
          <w:rFonts w:hint="cs"/>
          <w:rtl/>
        </w:rPr>
        <w:t>1</w:t>
      </w:r>
    </w:p>
    <w:p w:rsidR="008126B6" w:rsidRDefault="008126B6" w:rsidP="006D0613">
      <w:pPr>
        <w:pStyle w:val="NormalParaAR"/>
        <w:rPr>
          <w:rtl/>
        </w:rPr>
      </w:pPr>
      <w:r>
        <w:rPr>
          <w:rFonts w:hint="cs"/>
          <w:rtl/>
        </w:rPr>
        <w:t>و</w:t>
      </w:r>
      <w:r w:rsidRPr="00783D21">
        <w:rPr>
          <w:rFonts w:hint="cs"/>
          <w:rtl/>
        </w:rPr>
        <w:t xml:space="preserve">يمكن الاطلاع على التفاصيل في الجدول المرفق بهذه الوثيقة والمتعلق بمضمون قاعدة البيانات (انظر </w:t>
      </w:r>
      <w:r>
        <w:rPr>
          <w:rFonts w:hint="cs"/>
          <w:rtl/>
        </w:rPr>
        <w:t>ال</w:t>
      </w:r>
      <w:r w:rsidRPr="00783D21">
        <w:rPr>
          <w:rFonts w:hint="cs"/>
          <w:rtl/>
        </w:rPr>
        <w:t>ملحق</w:t>
      </w:r>
      <w:r>
        <w:rPr>
          <w:rFonts w:hint="cs"/>
          <w:rtl/>
        </w:rPr>
        <w:t>ين</w:t>
      </w:r>
      <w:r w:rsidR="006D0613">
        <w:rPr>
          <w:rFonts w:hint="eastAsia"/>
          <w:rtl/>
        </w:rPr>
        <w:t> </w:t>
      </w:r>
      <w:r>
        <w:rPr>
          <w:rFonts w:hint="cs"/>
          <w:rtl/>
        </w:rPr>
        <w:t>1 و2</w:t>
      </w:r>
      <w:r w:rsidRPr="00783D21">
        <w:rPr>
          <w:rFonts w:hint="cs"/>
          <w:rtl/>
        </w:rPr>
        <w:t xml:space="preserve"> </w:t>
      </w:r>
      <w:r>
        <w:rPr>
          <w:rFonts w:hint="cs"/>
          <w:rtl/>
        </w:rPr>
        <w:t>للمرفق</w:t>
      </w:r>
      <w:r w:rsidR="006D0613">
        <w:rPr>
          <w:rFonts w:hint="eastAsia"/>
          <w:rtl/>
        </w:rPr>
        <w:t> </w:t>
      </w:r>
      <w:r>
        <w:rPr>
          <w:rFonts w:hint="cs"/>
          <w:rtl/>
        </w:rPr>
        <w:t xml:space="preserve">الأول). وبتحليل </w:t>
      </w:r>
      <w:proofErr w:type="gramStart"/>
      <w:r>
        <w:rPr>
          <w:rFonts w:hint="cs"/>
          <w:rtl/>
        </w:rPr>
        <w:t>بيانات</w:t>
      </w:r>
      <w:proofErr w:type="gramEnd"/>
      <w:r>
        <w:rPr>
          <w:rFonts w:hint="cs"/>
          <w:rtl/>
        </w:rPr>
        <w:t xml:space="preserve"> الملحق يتبين ما يلي:</w:t>
      </w:r>
    </w:p>
    <w:p w:rsidR="008126B6" w:rsidRDefault="008126B6" w:rsidP="000B10AA">
      <w:pPr>
        <w:pStyle w:val="NumberedParaAR"/>
        <w:numPr>
          <w:ilvl w:val="0"/>
          <w:numId w:val="23"/>
        </w:numPr>
        <w:tabs>
          <w:tab w:val="right" w:pos="5395"/>
        </w:tabs>
        <w:spacing w:after="0"/>
        <w:rPr>
          <w:rtl/>
        </w:rPr>
      </w:pPr>
      <w:r>
        <w:rPr>
          <w:rFonts w:hint="cs"/>
          <w:rtl/>
        </w:rPr>
        <w:t xml:space="preserve">يتلقى المكتب الأوروبي للبراءات بيانات منتظمة من </w:t>
      </w:r>
      <w:r w:rsidR="00AD3BBC">
        <w:rPr>
          <w:rFonts w:hint="cs"/>
          <w:rtl/>
        </w:rPr>
        <w:t>14</w:t>
      </w:r>
      <w:r w:rsidR="000B10AA">
        <w:rPr>
          <w:rFonts w:hint="cs"/>
          <w:rtl/>
        </w:rPr>
        <w:t xml:space="preserve"> إدارة</w:t>
      </w:r>
    </w:p>
    <w:p w:rsidR="008126B6" w:rsidRDefault="00156224" w:rsidP="00156224">
      <w:pPr>
        <w:pStyle w:val="NumberedParaAR"/>
        <w:numPr>
          <w:ilvl w:val="0"/>
          <w:numId w:val="23"/>
        </w:numPr>
        <w:tabs>
          <w:tab w:val="right" w:pos="5395"/>
        </w:tabs>
        <w:spacing w:after="0"/>
        <w:rPr>
          <w:rtl/>
        </w:rPr>
      </w:pPr>
      <w:r>
        <w:rPr>
          <w:rFonts w:hint="cs"/>
          <w:rtl/>
        </w:rPr>
        <w:t>هناك</w:t>
      </w:r>
      <w:r w:rsidR="000B10AA">
        <w:rPr>
          <w:rFonts w:hint="cs"/>
          <w:rtl/>
        </w:rPr>
        <w:t xml:space="preserve"> تحس</w:t>
      </w:r>
      <w:r>
        <w:rPr>
          <w:rFonts w:hint="cs"/>
          <w:rtl/>
        </w:rPr>
        <w:t>ّ</w:t>
      </w:r>
      <w:r w:rsidR="000B10AA">
        <w:rPr>
          <w:rFonts w:hint="cs"/>
          <w:rtl/>
        </w:rPr>
        <w:t>ن في التوقيت</w:t>
      </w:r>
      <w:r>
        <w:rPr>
          <w:rFonts w:hint="cs"/>
          <w:rtl/>
        </w:rPr>
        <w:t xml:space="preserve"> فيما يخص 4 إدارات </w:t>
      </w:r>
      <w:proofErr w:type="gramStart"/>
      <w:r>
        <w:rPr>
          <w:rFonts w:hint="cs"/>
          <w:rtl/>
        </w:rPr>
        <w:t>مقارنة</w:t>
      </w:r>
      <w:proofErr w:type="gramEnd"/>
      <w:r>
        <w:rPr>
          <w:rFonts w:hint="cs"/>
          <w:rtl/>
        </w:rPr>
        <w:t xml:space="preserve"> بعام 2014</w:t>
      </w:r>
    </w:p>
    <w:p w:rsidR="008126B6" w:rsidRDefault="008126B6" w:rsidP="00156224">
      <w:pPr>
        <w:pStyle w:val="NumberedParaAR"/>
        <w:numPr>
          <w:ilvl w:val="0"/>
          <w:numId w:val="23"/>
        </w:numPr>
        <w:tabs>
          <w:tab w:val="right" w:pos="5395"/>
        </w:tabs>
        <w:spacing w:after="0"/>
      </w:pPr>
      <w:r>
        <w:rPr>
          <w:rFonts w:hint="cs"/>
          <w:rtl/>
        </w:rPr>
        <w:t xml:space="preserve">يتلقى المكتب الأوروبي للبراءات من الويبو </w:t>
      </w:r>
      <w:r w:rsidR="00156224">
        <w:rPr>
          <w:rFonts w:hint="cs"/>
          <w:rtl/>
        </w:rPr>
        <w:t>بانتظام</w:t>
      </w:r>
      <w:r w:rsidRPr="003B632D">
        <w:rPr>
          <w:rFonts w:hint="cs"/>
          <w:rtl/>
        </w:rPr>
        <w:t xml:space="preserve"> 10 بيانات وطنية</w:t>
      </w:r>
    </w:p>
    <w:p w:rsidR="008126B6" w:rsidRDefault="008126B6" w:rsidP="00340D71">
      <w:pPr>
        <w:pStyle w:val="NumberedParaAR"/>
        <w:numPr>
          <w:ilvl w:val="0"/>
          <w:numId w:val="23"/>
        </w:numPr>
        <w:tabs>
          <w:tab w:val="right" w:pos="5395"/>
        </w:tabs>
        <w:spacing w:after="0"/>
        <w:rPr>
          <w:rtl/>
        </w:rPr>
      </w:pPr>
      <w:r>
        <w:rPr>
          <w:rFonts w:hint="cs"/>
          <w:rtl/>
        </w:rPr>
        <w:t xml:space="preserve">فيما يخص </w:t>
      </w:r>
      <w:r w:rsidR="00340D71">
        <w:rPr>
          <w:rFonts w:hint="cs"/>
          <w:rtl/>
        </w:rPr>
        <w:t>10</w:t>
      </w:r>
      <w:r>
        <w:rPr>
          <w:rFonts w:hint="cs"/>
          <w:rtl/>
        </w:rPr>
        <w:t xml:space="preserve"> إدارات، </w:t>
      </w:r>
      <w:r w:rsidR="00340D71">
        <w:rPr>
          <w:rFonts w:hint="cs"/>
          <w:rtl/>
        </w:rPr>
        <w:t>تُعد</w:t>
      </w:r>
      <w:r>
        <w:rPr>
          <w:rFonts w:hint="cs"/>
          <w:rtl/>
        </w:rPr>
        <w:t xml:space="preserve"> ا</w:t>
      </w:r>
      <w:r w:rsidR="00340D71">
        <w:rPr>
          <w:rFonts w:hint="cs"/>
          <w:rtl/>
        </w:rPr>
        <w:t>لبيانات الواردة من الويبو قديمة (يتجاوز عمرها سنتين)</w:t>
      </w:r>
      <w:r>
        <w:rPr>
          <w:rFonts w:hint="cs"/>
          <w:rtl/>
        </w:rPr>
        <w:t>.</w:t>
      </w:r>
    </w:p>
    <w:p w:rsidR="008126B6" w:rsidRDefault="008126B6" w:rsidP="00340D71">
      <w:pPr>
        <w:pStyle w:val="NumberedParaAR"/>
        <w:rPr>
          <w:rtl/>
        </w:rPr>
      </w:pPr>
      <w:r>
        <w:rPr>
          <w:rFonts w:hint="cs"/>
          <w:rtl/>
        </w:rPr>
        <w:t xml:space="preserve">وتتبادل الويبو والمكتب الأوروبي </w:t>
      </w:r>
      <w:r w:rsidRPr="0077549B">
        <w:rPr>
          <w:rFonts w:hint="cs"/>
          <w:rtl/>
        </w:rPr>
        <w:t xml:space="preserve">للبراءات </w:t>
      </w:r>
      <w:r w:rsidRPr="0077549B">
        <w:rPr>
          <w:rtl/>
        </w:rPr>
        <w:t>بيانات دخول الطلبات</w:t>
      </w:r>
      <w:r w:rsidRPr="0077549B">
        <w:rPr>
          <w:rFonts w:hint="cs"/>
          <w:rtl/>
        </w:rPr>
        <w:t xml:space="preserve"> الدولية</w:t>
      </w:r>
      <w:r w:rsidRPr="0077549B">
        <w:rPr>
          <w:rtl/>
        </w:rPr>
        <w:t xml:space="preserve"> </w:t>
      </w:r>
      <w:r w:rsidRPr="0077549B">
        <w:rPr>
          <w:rFonts w:hint="cs"/>
          <w:rtl/>
        </w:rPr>
        <w:t xml:space="preserve">في </w:t>
      </w:r>
      <w:r w:rsidRPr="0077549B">
        <w:rPr>
          <w:rtl/>
        </w:rPr>
        <w:t>المرحلة الوطنية بناء على معاهدة التعاون بشأن البراءات</w:t>
      </w:r>
      <w:r w:rsidRPr="0077549B">
        <w:rPr>
          <w:rFonts w:hint="cs"/>
          <w:rtl/>
        </w:rPr>
        <w:t xml:space="preserve"> وفقا لجدول زمني شهري. </w:t>
      </w:r>
      <w:r w:rsidRPr="001F1AD1">
        <w:rPr>
          <w:rFonts w:hint="cs"/>
          <w:rtl/>
        </w:rPr>
        <w:t xml:space="preserve">غير أن بعض البلدان تقدم البيانات </w:t>
      </w:r>
      <w:proofErr w:type="spellStart"/>
      <w:r w:rsidRPr="001F1AD1">
        <w:rPr>
          <w:rFonts w:hint="cs"/>
          <w:rtl/>
        </w:rPr>
        <w:t>للويبو</w:t>
      </w:r>
      <w:proofErr w:type="spellEnd"/>
      <w:r w:rsidRPr="001F1AD1">
        <w:rPr>
          <w:rFonts w:hint="cs"/>
          <w:rtl/>
        </w:rPr>
        <w:t xml:space="preserve"> بشرط عدم تعميمها. وقد اتصلت </w:t>
      </w:r>
      <w:r w:rsidRPr="001F1AD1">
        <w:rPr>
          <w:rFonts w:hint="cs"/>
          <w:rtl/>
        </w:rPr>
        <w:lastRenderedPageBreak/>
        <w:t>الويبو بجميع تلك البلدان للحصول عل</w:t>
      </w:r>
      <w:r w:rsidR="00340D71">
        <w:rPr>
          <w:rFonts w:hint="cs"/>
          <w:rtl/>
        </w:rPr>
        <w:t xml:space="preserve">ى موافقتها على تقديم البيانات إلى </w:t>
      </w:r>
      <w:r w:rsidRPr="001F1AD1">
        <w:rPr>
          <w:rFonts w:hint="cs"/>
          <w:rtl/>
        </w:rPr>
        <w:t xml:space="preserve">مكتب الأوروبي للبراءات. وفي الوقت الحالي، تنتمي البلدان التالية إلى </w:t>
      </w:r>
      <w:r w:rsidR="00340D71">
        <w:rPr>
          <w:rFonts w:hint="cs"/>
          <w:rtl/>
        </w:rPr>
        <w:t xml:space="preserve">تلك الفئة: </w:t>
      </w:r>
      <w:r w:rsidRPr="001F1AD1">
        <w:rPr>
          <w:rFonts w:hint="cs"/>
          <w:rtl/>
        </w:rPr>
        <w:t xml:space="preserve">كوبا </w:t>
      </w:r>
      <w:r>
        <w:rPr>
          <w:rFonts w:hint="cs"/>
          <w:rtl/>
        </w:rPr>
        <w:t>والهند</w:t>
      </w:r>
      <w:r w:rsidRPr="001F1AD1">
        <w:rPr>
          <w:rFonts w:hint="cs"/>
          <w:rtl/>
        </w:rPr>
        <w:t xml:space="preserve"> والفلبين وسنغافورة وتركيا </w:t>
      </w:r>
      <w:proofErr w:type="spellStart"/>
      <w:r w:rsidRPr="001F1AD1">
        <w:rPr>
          <w:rFonts w:hint="cs"/>
          <w:rtl/>
        </w:rPr>
        <w:t>و</w:t>
      </w:r>
      <w:r>
        <w:rPr>
          <w:rtl/>
        </w:rPr>
        <w:t>في</w:t>
      </w:r>
      <w:r>
        <w:rPr>
          <w:rFonts w:hint="cs"/>
          <w:rtl/>
        </w:rPr>
        <w:t>ي</w:t>
      </w:r>
      <w:r w:rsidRPr="001F1AD1">
        <w:rPr>
          <w:rtl/>
        </w:rPr>
        <w:t>ت</w:t>
      </w:r>
      <w:proofErr w:type="spellEnd"/>
      <w:r w:rsidRPr="001F1AD1">
        <w:rPr>
          <w:rFonts w:hint="cs"/>
          <w:rtl/>
        </w:rPr>
        <w:t> </w:t>
      </w:r>
      <w:r w:rsidRPr="001F1AD1">
        <w:rPr>
          <w:rtl/>
        </w:rPr>
        <w:t>نام</w:t>
      </w:r>
      <w:r>
        <w:rPr>
          <w:rFonts w:hint="cs"/>
          <w:rtl/>
        </w:rPr>
        <w:t>.</w:t>
      </w:r>
      <w:r w:rsidRPr="001F1AD1">
        <w:rPr>
          <w:rFonts w:hint="cs"/>
          <w:rtl/>
        </w:rPr>
        <w:t xml:space="preserve"> وتقتصر أغلبية البيانات المقدمة على معلومات بشأن </w:t>
      </w:r>
      <w:r w:rsidRPr="001F1AD1">
        <w:rPr>
          <w:rtl/>
        </w:rPr>
        <w:t>دخول الطلبات</w:t>
      </w:r>
      <w:r w:rsidRPr="001F1AD1">
        <w:rPr>
          <w:rFonts w:hint="cs"/>
          <w:rtl/>
        </w:rPr>
        <w:t xml:space="preserve"> الدولية</w:t>
      </w:r>
      <w:r w:rsidRPr="001F1AD1">
        <w:rPr>
          <w:rtl/>
        </w:rPr>
        <w:t xml:space="preserve"> </w:t>
      </w:r>
      <w:r w:rsidRPr="001F1AD1">
        <w:rPr>
          <w:rFonts w:hint="cs"/>
          <w:rtl/>
        </w:rPr>
        <w:t xml:space="preserve">في </w:t>
      </w:r>
      <w:r w:rsidRPr="001F1AD1">
        <w:rPr>
          <w:rtl/>
        </w:rPr>
        <w:t>المرحلة الوطنية بناء على معاهدة التعاون بشأن البراءات</w:t>
      </w:r>
      <w:r w:rsidRPr="001F1AD1">
        <w:rPr>
          <w:rFonts w:hint="cs"/>
          <w:rtl/>
        </w:rPr>
        <w:t>. وقلما تشمل ما يلي ذلك من أحداث مثل إعادة النشر الوطني لطلبات البراءات أو المنح الوطني. وتبحث الويبو في الوقت الحالي إمكانية إعادة إدراج تلك الأحداث في قواعد البيانات.</w:t>
      </w:r>
    </w:p>
    <w:p w:rsidR="008126B6" w:rsidRDefault="00786151" w:rsidP="00786151">
      <w:pPr>
        <w:pStyle w:val="NumberedParaAR"/>
      </w:pPr>
      <w:r>
        <w:rPr>
          <w:rFonts w:hint="cs"/>
          <w:rtl/>
        </w:rPr>
        <w:t xml:space="preserve">ولم يُحرز </w:t>
      </w:r>
      <w:r w:rsidRPr="0077549B">
        <w:rPr>
          <w:rFonts w:hint="cs"/>
          <w:rtl/>
        </w:rPr>
        <w:t xml:space="preserve">تقدم </w:t>
      </w:r>
      <w:proofErr w:type="gramStart"/>
      <w:r>
        <w:rPr>
          <w:rFonts w:hint="cs"/>
          <w:rtl/>
        </w:rPr>
        <w:t>ملحوظ</w:t>
      </w:r>
      <w:proofErr w:type="gramEnd"/>
      <w:r>
        <w:rPr>
          <w:rFonts w:hint="cs"/>
          <w:rtl/>
        </w:rPr>
        <w:t xml:space="preserve"> بشأن ال</w:t>
      </w:r>
      <w:r w:rsidR="008126B6" w:rsidRPr="0077549B">
        <w:rPr>
          <w:rFonts w:hint="cs"/>
          <w:rtl/>
        </w:rPr>
        <w:t xml:space="preserve">معلومات المتعلقة بعدم دخول </w:t>
      </w:r>
      <w:r w:rsidR="008126B6" w:rsidRPr="0077549B">
        <w:rPr>
          <w:rtl/>
        </w:rPr>
        <w:t>الطلبات في المرحلة الوطنية</w:t>
      </w:r>
      <w:r w:rsidR="008126B6" w:rsidRPr="0077549B">
        <w:rPr>
          <w:rFonts w:hint="cs"/>
          <w:rtl/>
        </w:rPr>
        <w:t xml:space="preserve">. وفي الوقت الحالي، لا يقدم هذا النوع من المعلومات بشكل موثوق سوى </w:t>
      </w:r>
      <w:r>
        <w:rPr>
          <w:rFonts w:hint="cs"/>
          <w:rtl/>
        </w:rPr>
        <w:t>ثلاثة مكاتب</w:t>
      </w:r>
      <w:r w:rsidR="008126B6" w:rsidRPr="0077549B">
        <w:rPr>
          <w:rFonts w:hint="cs"/>
          <w:rtl/>
        </w:rPr>
        <w:t xml:space="preserve"> </w:t>
      </w:r>
      <w:r w:rsidR="008126B6">
        <w:rPr>
          <w:rFonts w:hint="cs"/>
          <w:rtl/>
        </w:rPr>
        <w:t>ل</w:t>
      </w:r>
      <w:r w:rsidR="008126B6" w:rsidRPr="0077549B">
        <w:rPr>
          <w:rFonts w:hint="cs"/>
          <w:rtl/>
        </w:rPr>
        <w:t>لبراءات وه</w:t>
      </w:r>
      <w:r>
        <w:rPr>
          <w:rFonts w:hint="cs"/>
          <w:rtl/>
        </w:rPr>
        <w:t>ي</w:t>
      </w:r>
      <w:r w:rsidR="008126B6" w:rsidRPr="0077549B">
        <w:rPr>
          <w:rFonts w:hint="cs"/>
          <w:rtl/>
        </w:rPr>
        <w:t>: المكتب الأوروبي</w:t>
      </w:r>
      <w:r>
        <w:rPr>
          <w:rFonts w:hint="cs"/>
          <w:rtl/>
        </w:rPr>
        <w:t xml:space="preserve"> والمكتب الألماني والمكتب </w:t>
      </w:r>
      <w:r w:rsidR="008126B6" w:rsidRPr="0077549B">
        <w:rPr>
          <w:rFonts w:hint="cs"/>
          <w:rtl/>
        </w:rPr>
        <w:t xml:space="preserve">الياباني. </w:t>
      </w:r>
      <w:r w:rsidR="008126B6">
        <w:rPr>
          <w:rFonts w:hint="cs"/>
          <w:rtl/>
        </w:rPr>
        <w:t>و</w:t>
      </w:r>
      <w:r>
        <w:rPr>
          <w:rFonts w:hint="cs"/>
          <w:rtl/>
        </w:rPr>
        <w:t xml:space="preserve">كانت </w:t>
      </w:r>
      <w:r w:rsidRPr="0077549B">
        <w:rPr>
          <w:rFonts w:hint="cs"/>
          <w:rtl/>
        </w:rPr>
        <w:t xml:space="preserve">بلدان أخرى </w:t>
      </w:r>
      <w:r>
        <w:rPr>
          <w:rFonts w:hint="cs"/>
          <w:rtl/>
        </w:rPr>
        <w:t xml:space="preserve">تتيح </w:t>
      </w:r>
      <w:r w:rsidR="008126B6" w:rsidRPr="0077549B">
        <w:rPr>
          <w:rFonts w:hint="cs"/>
          <w:rtl/>
        </w:rPr>
        <w:t xml:space="preserve">هذا النوع من المعلومات </w:t>
      </w:r>
      <w:r>
        <w:rPr>
          <w:rFonts w:hint="cs"/>
          <w:rtl/>
        </w:rPr>
        <w:t xml:space="preserve">في الماضي </w:t>
      </w:r>
      <w:r w:rsidR="008126B6" w:rsidRPr="0077549B">
        <w:rPr>
          <w:rFonts w:hint="cs"/>
          <w:rtl/>
        </w:rPr>
        <w:t xml:space="preserve">(مثل كندا وجمهورية كوريا </w:t>
      </w:r>
      <w:r>
        <w:rPr>
          <w:rFonts w:hint="cs"/>
          <w:rtl/>
        </w:rPr>
        <w:t>وروسيا)، ولكن لا تتوافر بيانات حديثة من تلك البلدان.</w:t>
      </w:r>
    </w:p>
    <w:p w:rsidR="008126B6" w:rsidRPr="00927AE6" w:rsidRDefault="008126B6" w:rsidP="007605AA">
      <w:pPr>
        <w:pStyle w:val="Heading2"/>
        <w:rPr>
          <w:rtl/>
        </w:rPr>
      </w:pPr>
      <w:proofErr w:type="gramStart"/>
      <w:r w:rsidRPr="00927AE6">
        <w:rPr>
          <w:rFonts w:hint="cs"/>
          <w:rtl/>
        </w:rPr>
        <w:t>التخطيط</w:t>
      </w:r>
      <w:proofErr w:type="gramEnd"/>
      <w:r w:rsidRPr="00927AE6">
        <w:rPr>
          <w:rFonts w:hint="cs"/>
          <w:rtl/>
        </w:rPr>
        <w:t xml:space="preserve"> للمستقبل</w:t>
      </w:r>
    </w:p>
    <w:p w:rsidR="008126B6" w:rsidRDefault="007605AA" w:rsidP="00F91E77">
      <w:pPr>
        <w:pStyle w:val="NumberedParaAR"/>
      </w:pPr>
      <w:r>
        <w:rPr>
          <w:rFonts w:hint="cs"/>
          <w:rtl/>
        </w:rPr>
        <w:t xml:space="preserve">يبذل المكتب الأوروبي للبراءات جهودا مطردة لتحسين </w:t>
      </w:r>
      <w:r w:rsidR="008126B6" w:rsidRPr="0077549B">
        <w:rPr>
          <w:rFonts w:hint="cs"/>
          <w:rtl/>
        </w:rPr>
        <w:t>التغطية</w:t>
      </w:r>
      <w:r w:rsidR="008126B6">
        <w:rPr>
          <w:rFonts w:hint="cs"/>
          <w:rtl/>
        </w:rPr>
        <w:t xml:space="preserve"> </w:t>
      </w:r>
      <w:r>
        <w:rPr>
          <w:rFonts w:hint="cs"/>
          <w:rtl/>
        </w:rPr>
        <w:t>الجغرافية بال</w:t>
      </w:r>
      <w:r w:rsidR="008126B6" w:rsidRPr="0077549B">
        <w:rPr>
          <w:rFonts w:hint="cs"/>
          <w:rtl/>
        </w:rPr>
        <w:t>معلومات المتعلقة ب</w:t>
      </w:r>
      <w:r w:rsidR="008126B6" w:rsidRPr="0077549B">
        <w:rPr>
          <w:rtl/>
        </w:rPr>
        <w:t>دخول الطلبات</w:t>
      </w:r>
      <w:r w:rsidR="008126B6" w:rsidRPr="0077549B">
        <w:rPr>
          <w:rFonts w:hint="cs"/>
          <w:rtl/>
        </w:rPr>
        <w:t xml:space="preserve"> الدولية</w:t>
      </w:r>
      <w:r w:rsidR="008126B6" w:rsidRPr="0077549B">
        <w:rPr>
          <w:rtl/>
        </w:rPr>
        <w:t xml:space="preserve"> </w:t>
      </w:r>
      <w:r w:rsidR="008126B6" w:rsidRPr="0077549B">
        <w:rPr>
          <w:rFonts w:hint="cs"/>
          <w:rtl/>
        </w:rPr>
        <w:t xml:space="preserve">في </w:t>
      </w:r>
      <w:r w:rsidR="008126B6" w:rsidRPr="0077549B">
        <w:rPr>
          <w:rtl/>
        </w:rPr>
        <w:t>المرحلة الوطنية بناء على معاهدة التعاون بشأن البراءات</w:t>
      </w:r>
      <w:r>
        <w:rPr>
          <w:rFonts w:hint="cs"/>
          <w:rtl/>
        </w:rPr>
        <w:t>،</w:t>
      </w:r>
      <w:r w:rsidR="008126B6">
        <w:rPr>
          <w:rFonts w:hint="cs"/>
          <w:rtl/>
        </w:rPr>
        <w:t xml:space="preserve"> و</w:t>
      </w:r>
      <w:r>
        <w:rPr>
          <w:rFonts w:hint="cs"/>
          <w:rtl/>
        </w:rPr>
        <w:t xml:space="preserve">تحسين ملاءمتها </w:t>
      </w:r>
      <w:r w:rsidR="00F91E77">
        <w:rPr>
          <w:rFonts w:hint="cs"/>
          <w:rtl/>
        </w:rPr>
        <w:t xml:space="preserve">من حيث التوقيت </w:t>
      </w:r>
      <w:r w:rsidR="008126B6">
        <w:rPr>
          <w:rFonts w:hint="cs"/>
          <w:rtl/>
        </w:rPr>
        <w:t>واكتمالها</w:t>
      </w:r>
      <w:r w:rsidR="00F91E77">
        <w:rPr>
          <w:rFonts w:hint="cs"/>
          <w:rtl/>
        </w:rPr>
        <w:t>.</w:t>
      </w:r>
      <w:r w:rsidR="008126B6">
        <w:rPr>
          <w:rFonts w:hint="cs"/>
          <w:rtl/>
        </w:rPr>
        <w:t xml:space="preserve"> </w:t>
      </w:r>
      <w:proofErr w:type="gramStart"/>
      <w:r w:rsidR="00F91E77">
        <w:rPr>
          <w:rFonts w:hint="cs"/>
          <w:rtl/>
        </w:rPr>
        <w:t>ولكن</w:t>
      </w:r>
      <w:proofErr w:type="gramEnd"/>
      <w:r w:rsidR="00F91E77">
        <w:rPr>
          <w:rFonts w:hint="cs"/>
          <w:rtl/>
        </w:rPr>
        <w:t xml:space="preserve"> العامين الماضيين لم ي</w:t>
      </w:r>
      <w:r w:rsidR="008126B6">
        <w:rPr>
          <w:rFonts w:hint="cs"/>
          <w:rtl/>
        </w:rPr>
        <w:t>شهد</w:t>
      </w:r>
      <w:r w:rsidR="00F91E77">
        <w:rPr>
          <w:rFonts w:hint="cs"/>
          <w:rtl/>
        </w:rPr>
        <w:t>ا</w:t>
      </w:r>
      <w:r w:rsidR="008126B6">
        <w:rPr>
          <w:rFonts w:hint="cs"/>
          <w:rtl/>
        </w:rPr>
        <w:t xml:space="preserve"> </w:t>
      </w:r>
      <w:r w:rsidR="00F91E77">
        <w:rPr>
          <w:rFonts w:hint="cs"/>
          <w:rtl/>
        </w:rPr>
        <w:t xml:space="preserve">سوى بعض الإنجازات البسيطة. </w:t>
      </w:r>
      <w:proofErr w:type="gramStart"/>
      <w:r w:rsidR="00F91E77">
        <w:rPr>
          <w:rFonts w:hint="cs"/>
          <w:rtl/>
        </w:rPr>
        <w:t>لذا</w:t>
      </w:r>
      <w:proofErr w:type="gramEnd"/>
      <w:r w:rsidR="00F91E77">
        <w:rPr>
          <w:rFonts w:hint="cs"/>
          <w:rtl/>
        </w:rPr>
        <w:t xml:space="preserve"> يجب بذل المزيد من الجهود بخصوص اكتمال المعلومات بغرض استيعاب </w:t>
      </w:r>
      <w:r w:rsidR="008126B6" w:rsidRPr="00456DC7">
        <w:rPr>
          <w:rFonts w:hint="cs"/>
          <w:rtl/>
        </w:rPr>
        <w:t xml:space="preserve">الأحداث المهمة مثل حالات رفض دخول </w:t>
      </w:r>
      <w:r w:rsidR="008126B6" w:rsidRPr="00456DC7">
        <w:rPr>
          <w:rtl/>
        </w:rPr>
        <w:t>الطلبات في المرحلة الوطنية</w:t>
      </w:r>
      <w:r w:rsidR="008126B6" w:rsidRPr="00456DC7">
        <w:rPr>
          <w:rFonts w:hint="cs"/>
          <w:rtl/>
        </w:rPr>
        <w:t xml:space="preserve"> أو سحبه. </w:t>
      </w:r>
      <w:proofErr w:type="gramStart"/>
      <w:r w:rsidR="00F91E77">
        <w:rPr>
          <w:rFonts w:hint="cs"/>
          <w:rtl/>
        </w:rPr>
        <w:t>ولا</w:t>
      </w:r>
      <w:proofErr w:type="gramEnd"/>
      <w:r w:rsidR="008126B6">
        <w:rPr>
          <w:rFonts w:hint="cs"/>
          <w:rtl/>
        </w:rPr>
        <w:t xml:space="preserve"> ي</w:t>
      </w:r>
      <w:r w:rsidR="00F91E77">
        <w:rPr>
          <w:rFonts w:hint="cs"/>
          <w:rtl/>
        </w:rPr>
        <w:t>ُ</w:t>
      </w:r>
      <w:r w:rsidR="008126B6" w:rsidRPr="00456DC7">
        <w:rPr>
          <w:rFonts w:hint="cs"/>
          <w:rtl/>
        </w:rPr>
        <w:t xml:space="preserve">قدم </w:t>
      </w:r>
      <w:r w:rsidR="00F91E77">
        <w:rPr>
          <w:rFonts w:hint="cs"/>
          <w:rtl/>
        </w:rPr>
        <w:t>هذا النوع من المعلومات بعد في معظم الحالات</w:t>
      </w:r>
      <w:r w:rsidR="008126B6">
        <w:rPr>
          <w:rFonts w:hint="cs"/>
          <w:rtl/>
        </w:rPr>
        <w:t>.</w:t>
      </w:r>
    </w:p>
    <w:p w:rsidR="008126B6" w:rsidRDefault="00C87C0D" w:rsidP="00C87C0D">
      <w:pPr>
        <w:pStyle w:val="NumberedParaAR"/>
      </w:pPr>
      <w:r>
        <w:rPr>
          <w:rFonts w:hint="cs"/>
          <w:rtl/>
        </w:rPr>
        <w:t xml:space="preserve">ولا تزال الإدارات التي توفر المعلومات </w:t>
      </w:r>
      <w:r w:rsidR="008126B6">
        <w:rPr>
          <w:rFonts w:hint="cs"/>
          <w:rtl/>
        </w:rPr>
        <w:t xml:space="preserve">المتعلقة بعدم </w:t>
      </w:r>
      <w:r w:rsidR="008126B6" w:rsidRPr="0077549B">
        <w:rPr>
          <w:rFonts w:hint="cs"/>
          <w:rtl/>
        </w:rPr>
        <w:t xml:space="preserve">دخول </w:t>
      </w:r>
      <w:r w:rsidR="008126B6" w:rsidRPr="0077549B">
        <w:rPr>
          <w:rtl/>
        </w:rPr>
        <w:t>الطلبات في المرحلة الوطنية</w:t>
      </w:r>
      <w:r>
        <w:rPr>
          <w:rFonts w:hint="cs"/>
          <w:rtl/>
        </w:rPr>
        <w:t xml:space="preserve"> تمثّل حالات معزولة ويتواصل اتخاذ إجراءات من أجل </w:t>
      </w:r>
      <w:r w:rsidR="008126B6" w:rsidRPr="0077549B">
        <w:rPr>
          <w:rFonts w:hint="cs"/>
          <w:rtl/>
        </w:rPr>
        <w:t xml:space="preserve">إقناع </w:t>
      </w:r>
      <w:r>
        <w:rPr>
          <w:rFonts w:hint="cs"/>
          <w:rtl/>
        </w:rPr>
        <w:t>مزيد</w:t>
      </w:r>
      <w:r w:rsidR="008126B6" w:rsidRPr="0077549B">
        <w:rPr>
          <w:rFonts w:hint="cs"/>
          <w:rtl/>
        </w:rPr>
        <w:t xml:space="preserve"> من البلدان بتقديم تلك البيانات أو استئناف تقديمها. و</w:t>
      </w:r>
      <w:r>
        <w:rPr>
          <w:rFonts w:hint="cs"/>
          <w:rtl/>
        </w:rPr>
        <w:t>تكتسي تلك المعلومات أهمية بالغة بالنسبة للأوساط المعنية بالمعلومات المتعلقة بالبراءات، ولا</w:t>
      </w:r>
      <w:r>
        <w:rPr>
          <w:rFonts w:hint="eastAsia"/>
          <w:rtl/>
        </w:rPr>
        <w:t> </w:t>
      </w:r>
      <w:r>
        <w:rPr>
          <w:rFonts w:hint="cs"/>
          <w:rtl/>
        </w:rPr>
        <w:t>سيما بالنسية ل</w:t>
      </w:r>
      <w:r w:rsidR="008126B6" w:rsidRPr="0077549B">
        <w:rPr>
          <w:rFonts w:hint="cs"/>
          <w:rtl/>
        </w:rPr>
        <w:t xml:space="preserve">لبلدان التي تشهد نشاطا مكثفا </w:t>
      </w:r>
      <w:r>
        <w:rPr>
          <w:rFonts w:hint="cs"/>
          <w:rtl/>
        </w:rPr>
        <w:t>من حيث</w:t>
      </w:r>
      <w:r w:rsidR="008126B6" w:rsidRPr="0077549B">
        <w:rPr>
          <w:rFonts w:hint="cs"/>
          <w:rtl/>
        </w:rPr>
        <w:t xml:space="preserve"> </w:t>
      </w:r>
      <w:r>
        <w:rPr>
          <w:rFonts w:hint="cs"/>
          <w:rtl/>
        </w:rPr>
        <w:t>حالات</w:t>
      </w:r>
      <w:r w:rsidR="008126B6" w:rsidRPr="0077549B">
        <w:rPr>
          <w:rFonts w:hint="cs"/>
          <w:rtl/>
        </w:rPr>
        <w:t xml:space="preserve"> </w:t>
      </w:r>
      <w:r w:rsidR="008126B6" w:rsidRPr="0077549B">
        <w:rPr>
          <w:rtl/>
        </w:rPr>
        <w:t xml:space="preserve">دخول </w:t>
      </w:r>
      <w:r w:rsidR="00607E58">
        <w:rPr>
          <w:rFonts w:hint="cs"/>
          <w:rtl/>
        </w:rPr>
        <w:t xml:space="preserve">الطلبات الدولية في </w:t>
      </w:r>
      <w:r w:rsidR="008126B6" w:rsidRPr="0077549B">
        <w:rPr>
          <w:rtl/>
        </w:rPr>
        <w:t>المرحلة الوطنية بناء على معاهدة</w:t>
      </w:r>
      <w:r w:rsidR="008126B6" w:rsidRPr="0077549B">
        <w:rPr>
          <w:rFonts w:hint="cs"/>
          <w:rtl/>
        </w:rPr>
        <w:t xml:space="preserve"> </w:t>
      </w:r>
      <w:r w:rsidR="008126B6" w:rsidRPr="0077549B">
        <w:rPr>
          <w:rtl/>
        </w:rPr>
        <w:t>التعاون بشأن البراءات</w:t>
      </w:r>
      <w:r>
        <w:rPr>
          <w:rFonts w:hint="cs"/>
          <w:rtl/>
        </w:rPr>
        <w:t xml:space="preserve"> مقارنة بعدد التعيينات</w:t>
      </w:r>
      <w:r w:rsidR="008126B6" w:rsidRPr="0077549B">
        <w:rPr>
          <w:rFonts w:hint="cs"/>
          <w:rtl/>
        </w:rPr>
        <w:t>.</w:t>
      </w:r>
    </w:p>
    <w:p w:rsidR="008126B6" w:rsidRDefault="008126B6" w:rsidP="008126B6">
      <w:pPr>
        <w:pStyle w:val="EndofDocumentAR"/>
        <w:rPr>
          <w:rtl/>
        </w:rPr>
        <w:sectPr w:rsidR="008126B6" w:rsidSect="00EB7752">
          <w:headerReference w:type="default" r:id="rId8"/>
          <w:headerReference w:type="first" r:id="rId9"/>
          <w:pgSz w:w="11907" w:h="16840" w:code="9"/>
          <w:pgMar w:top="567" w:right="1418" w:bottom="1418" w:left="1134" w:header="510" w:footer="1021" w:gutter="0"/>
          <w:cols w:space="720"/>
          <w:titlePg/>
          <w:docGrid w:linePitch="299"/>
        </w:sectPr>
      </w:pPr>
      <w:r w:rsidRPr="0077549B">
        <w:rPr>
          <w:rFonts w:hint="cs"/>
          <w:rtl/>
        </w:rPr>
        <w:t>[يلي ذلك الملحق</w:t>
      </w:r>
      <w:r w:rsidR="00607736">
        <w:rPr>
          <w:rFonts w:hint="cs"/>
          <w:rtl/>
        </w:rPr>
        <w:t>ان</w:t>
      </w:r>
      <w:r w:rsidRPr="0077549B">
        <w:rPr>
          <w:rFonts w:hint="cs"/>
          <w:rtl/>
        </w:rPr>
        <w:t>]</w:t>
      </w:r>
    </w:p>
    <w:p w:rsidR="008126B6" w:rsidRDefault="008126B6" w:rsidP="005D18F0">
      <w:pPr>
        <w:pStyle w:val="Heading2"/>
        <w:rPr>
          <w:rtl/>
        </w:rPr>
      </w:pPr>
      <w:r>
        <w:rPr>
          <w:rFonts w:hint="cs"/>
          <w:rtl/>
        </w:rPr>
        <w:lastRenderedPageBreak/>
        <w:t>ال</w:t>
      </w:r>
      <w:r w:rsidRPr="00AD5F5D">
        <w:rPr>
          <w:rFonts w:hint="cs"/>
          <w:rtl/>
        </w:rPr>
        <w:t>ملحق</w:t>
      </w:r>
      <w:r>
        <w:rPr>
          <w:rFonts w:hint="cs"/>
          <w:rtl/>
        </w:rPr>
        <w:t xml:space="preserve"> 1</w:t>
      </w:r>
      <w:r w:rsidRPr="00AD5F5D">
        <w:rPr>
          <w:rFonts w:hint="cs"/>
          <w:rtl/>
        </w:rPr>
        <w:t xml:space="preserve">: </w:t>
      </w:r>
      <w:r>
        <w:rPr>
          <w:rFonts w:hint="cs"/>
          <w:rtl/>
        </w:rPr>
        <w:t>مضمون قاعدة البيانات العالمية بشأن الوضع القانوني</w:t>
      </w:r>
      <w:r w:rsidR="00607E58">
        <w:rPr>
          <w:rtl/>
        </w:rPr>
        <w:t>–</w:t>
      </w:r>
      <w:r w:rsidR="00607E58">
        <w:rPr>
          <w:rFonts w:hint="cs"/>
          <w:rtl/>
        </w:rPr>
        <w:t xml:space="preserve"> البيانات التي قدمتها الويبو عن دخول الطلبات الدولية </w:t>
      </w:r>
      <w:r w:rsidR="00345C7D">
        <w:rPr>
          <w:rFonts w:hint="cs"/>
          <w:rtl/>
        </w:rPr>
        <w:t>في المرحلة الوطنية بناء على معاهدة التعاون بشأن البراءات</w:t>
      </w:r>
    </w:p>
    <w:p w:rsidR="00345C7D" w:rsidRDefault="005D18F0" w:rsidP="005D18F0">
      <w:pPr>
        <w:pStyle w:val="NormalParaAR"/>
        <w:rPr>
          <w:rtl/>
          <w:lang w:val="fr-CH"/>
        </w:rPr>
      </w:pPr>
      <w:r>
        <w:rPr>
          <w:rFonts w:hint="cs"/>
          <w:rtl/>
          <w:lang w:val="fr-CH"/>
        </w:rPr>
        <w:t>ترد التحديثات المُدخلة على تقرير عام</w:t>
      </w:r>
      <w:r>
        <w:rPr>
          <w:rFonts w:hint="eastAsia"/>
          <w:rtl/>
          <w:lang w:val="fr-CH"/>
        </w:rPr>
        <w:t> </w:t>
      </w:r>
      <w:r>
        <w:rPr>
          <w:rFonts w:hint="cs"/>
          <w:rtl/>
          <w:lang w:val="fr-CH"/>
        </w:rPr>
        <w:t>2014 بخط مضخّم</w:t>
      </w:r>
    </w:p>
    <w:p w:rsidR="005D18F0" w:rsidRPr="00345C7D" w:rsidRDefault="005D18F0" w:rsidP="00EC6C8C">
      <w:pPr>
        <w:pStyle w:val="NormalParaAR"/>
        <w:rPr>
          <w:rtl/>
          <w:lang w:val="fr-CH"/>
        </w:rPr>
      </w:pPr>
      <w:r>
        <w:rPr>
          <w:rFonts w:hint="cs"/>
          <w:rtl/>
          <w:lang w:val="fr-CH"/>
        </w:rPr>
        <w:t xml:space="preserve">أزيلت بيانات ليتوانيا ولاتفيا وسلوفينيا من الجدول نتيجة غلق </w:t>
      </w:r>
      <w:r w:rsidR="004C3B84">
        <w:rPr>
          <w:rFonts w:hint="cs"/>
          <w:rtl/>
          <w:lang w:val="fr-CH"/>
        </w:rPr>
        <w:t xml:space="preserve">المسار المباشر لمعاهدة التعاون بشأن البراءات؛ والبيانات ذات الصلة متاحة عبر مسار </w:t>
      </w:r>
      <w:r w:rsidR="00EC6C8C">
        <w:rPr>
          <w:rFonts w:hint="cs"/>
          <w:rtl/>
          <w:lang w:val="fr-CH"/>
        </w:rPr>
        <w:t xml:space="preserve">البراءات </w:t>
      </w:r>
      <w:r w:rsidR="004C3B84">
        <w:rPr>
          <w:rFonts w:hint="cs"/>
          <w:rtl/>
          <w:lang w:val="fr-CH"/>
        </w:rPr>
        <w:t>الأوروبي.</w:t>
      </w:r>
    </w:p>
    <w:p w:rsidR="008126B6" w:rsidRDefault="008126B6" w:rsidP="004C3B84">
      <w:pPr>
        <w:pStyle w:val="NormalParaAR"/>
        <w:spacing w:after="0"/>
        <w:ind w:left="6825"/>
        <w:rPr>
          <w:rtl/>
        </w:rPr>
      </w:pPr>
      <w:r w:rsidRPr="00DC060B">
        <w:rPr>
          <w:rFonts w:hint="cs"/>
          <w:b/>
          <w:bCs/>
          <w:rtl/>
        </w:rPr>
        <w:t>الأسبوع</w:t>
      </w:r>
      <w:r w:rsidRPr="00AD5F5D">
        <w:rPr>
          <w:rFonts w:hint="cs"/>
          <w:rtl/>
        </w:rPr>
        <w:t>:</w:t>
      </w:r>
      <w:r>
        <w:rPr>
          <w:rFonts w:hint="cs"/>
          <w:rtl/>
        </w:rPr>
        <w:t xml:space="preserve"> </w:t>
      </w:r>
      <w:r w:rsidR="004C3B84">
        <w:rPr>
          <w:rFonts w:hint="cs"/>
          <w:rtl/>
        </w:rPr>
        <w:t>2016</w:t>
      </w:r>
      <w:r w:rsidRPr="007F62C2">
        <w:rPr>
          <w:rtl/>
        </w:rPr>
        <w:t>/</w:t>
      </w:r>
      <w:r w:rsidR="004C3B84">
        <w:rPr>
          <w:rFonts w:hint="cs"/>
          <w:rtl/>
        </w:rPr>
        <w:t>06</w:t>
      </w:r>
    </w:p>
    <w:p w:rsidR="008126B6" w:rsidRPr="007F62C2" w:rsidRDefault="008126B6" w:rsidP="004C3B84">
      <w:pPr>
        <w:pStyle w:val="NormalParaAR"/>
        <w:spacing w:after="120"/>
        <w:ind w:left="6827"/>
        <w:rPr>
          <w:rtl/>
        </w:rPr>
      </w:pPr>
      <w:r w:rsidRPr="00DC060B">
        <w:rPr>
          <w:rFonts w:hint="cs"/>
          <w:b/>
          <w:bCs/>
          <w:rtl/>
        </w:rPr>
        <w:t>الإصدار</w:t>
      </w:r>
      <w:r>
        <w:rPr>
          <w:rFonts w:hint="cs"/>
          <w:rtl/>
        </w:rPr>
        <w:t>:</w:t>
      </w:r>
      <w:r w:rsidRPr="007F62C2">
        <w:t xml:space="preserve"> </w:t>
      </w:r>
      <w:r w:rsidR="004C3B84">
        <w:rPr>
          <w:rFonts w:hint="cs"/>
          <w:rtl/>
        </w:rPr>
        <w:t>2016</w:t>
      </w:r>
      <w:r>
        <w:rPr>
          <w:rFonts w:hint="cs"/>
          <w:rtl/>
        </w:rPr>
        <w:t>.</w:t>
      </w:r>
      <w:r w:rsidR="004C3B84">
        <w:rPr>
          <w:rFonts w:hint="cs"/>
          <w:rtl/>
        </w:rPr>
        <w:t>02</w:t>
      </w:r>
      <w:r>
        <w:rPr>
          <w:rFonts w:hint="cs"/>
          <w:rtl/>
        </w:rPr>
        <w:t>.</w:t>
      </w:r>
      <w:r w:rsidR="004C3B84">
        <w:rPr>
          <w:rFonts w:hint="cs"/>
          <w:rtl/>
        </w:rPr>
        <w:t>05</w:t>
      </w:r>
    </w:p>
    <w:tbl>
      <w:tblPr>
        <w:bidiVisual/>
        <w:tblW w:w="4910" w:type="pct"/>
        <w:tblLayout w:type="fixed"/>
        <w:tblCellMar>
          <w:left w:w="28" w:type="dxa"/>
          <w:right w:w="28" w:type="dxa"/>
        </w:tblCellMar>
        <w:tblLook w:val="0000" w:firstRow="0" w:lastRow="0" w:firstColumn="0" w:lastColumn="0" w:noHBand="0" w:noVBand="0"/>
      </w:tblPr>
      <w:tblGrid>
        <w:gridCol w:w="594"/>
        <w:gridCol w:w="1985"/>
        <w:gridCol w:w="1135"/>
        <w:gridCol w:w="1275"/>
        <w:gridCol w:w="2272"/>
        <w:gridCol w:w="1981"/>
      </w:tblGrid>
      <w:tr w:rsidR="008126B6" w:rsidRPr="00CA4702" w:rsidTr="008126B6">
        <w:trPr>
          <w:cantSplit/>
          <w:trHeight w:hRule="exact" w:val="975"/>
          <w:tblHeader/>
        </w:trPr>
        <w:tc>
          <w:tcPr>
            <w:tcW w:w="321" w:type="pct"/>
            <w:tcBorders>
              <w:top w:val="single" w:sz="4" w:space="0" w:color="auto"/>
              <w:left w:val="single" w:sz="4" w:space="0" w:color="auto"/>
              <w:bottom w:val="single" w:sz="4" w:space="0" w:color="auto"/>
              <w:right w:val="single" w:sz="4" w:space="0" w:color="auto"/>
            </w:tcBorders>
            <w:shd w:val="pct15" w:color="auto" w:fill="FFFFFF"/>
            <w:noWrap/>
            <w:vAlign w:val="center"/>
          </w:tcPr>
          <w:p w:rsidR="008126B6" w:rsidRPr="00CA4702" w:rsidRDefault="008126B6" w:rsidP="008126B6">
            <w:pPr>
              <w:bidi/>
              <w:spacing w:beforeLines="20" w:before="48"/>
              <w:jc w:val="center"/>
              <w:rPr>
                <w:rFonts w:ascii="Arabic Typesetting" w:hAnsi="Arabic Typesetting" w:cs="Arabic Typesetting"/>
                <w:sz w:val="26"/>
                <w:szCs w:val="26"/>
              </w:rPr>
            </w:pPr>
            <w:r w:rsidRPr="00CA4702">
              <w:rPr>
                <w:rFonts w:ascii="Arabic Typesetting" w:hAnsi="Arabic Typesetting" w:cs="Arabic Typesetting"/>
                <w:b/>
                <w:bCs/>
                <w:sz w:val="26"/>
                <w:szCs w:val="26"/>
                <w:rtl/>
              </w:rPr>
              <w:t>رمز البلد</w:t>
            </w:r>
          </w:p>
        </w:tc>
        <w:tc>
          <w:tcPr>
            <w:tcW w:w="1074" w:type="pct"/>
            <w:tcBorders>
              <w:top w:val="single" w:sz="4" w:space="0" w:color="auto"/>
              <w:left w:val="nil"/>
              <w:bottom w:val="single" w:sz="4" w:space="0" w:color="auto"/>
              <w:right w:val="single" w:sz="4" w:space="0" w:color="auto"/>
            </w:tcBorders>
            <w:shd w:val="pct15" w:color="auto" w:fill="FFFFFF"/>
            <w:vAlign w:val="center"/>
          </w:tcPr>
          <w:p w:rsidR="008126B6" w:rsidRPr="00CA4702" w:rsidRDefault="008126B6" w:rsidP="008126B6">
            <w:pPr>
              <w:bidi/>
              <w:spacing w:beforeLines="20" w:before="48"/>
              <w:jc w:val="center"/>
              <w:rPr>
                <w:rFonts w:ascii="Arabic Typesetting" w:hAnsi="Arabic Typesetting" w:cs="Arabic Typesetting"/>
                <w:b/>
                <w:bCs/>
                <w:sz w:val="26"/>
                <w:szCs w:val="26"/>
              </w:rPr>
            </w:pPr>
            <w:r w:rsidRPr="00CA4702">
              <w:rPr>
                <w:rFonts w:ascii="Arabic Typesetting" w:hAnsi="Arabic Typesetting" w:cs="Arabic Typesetting"/>
                <w:b/>
                <w:bCs/>
                <w:sz w:val="26"/>
                <w:szCs w:val="26"/>
                <w:rtl/>
              </w:rPr>
              <w:t>البلد</w:t>
            </w:r>
          </w:p>
        </w:tc>
        <w:tc>
          <w:tcPr>
            <w:tcW w:w="614" w:type="pct"/>
            <w:tcBorders>
              <w:top w:val="single" w:sz="4" w:space="0" w:color="auto"/>
              <w:left w:val="nil"/>
              <w:bottom w:val="single" w:sz="4" w:space="0" w:color="auto"/>
              <w:right w:val="single" w:sz="4" w:space="0" w:color="auto"/>
            </w:tcBorders>
            <w:shd w:val="pct15" w:color="auto" w:fill="FFFFFF"/>
            <w:vAlign w:val="center"/>
          </w:tcPr>
          <w:p w:rsidR="008126B6" w:rsidRPr="00CA4702" w:rsidRDefault="008126B6" w:rsidP="008126B6">
            <w:pPr>
              <w:spacing w:beforeLines="20" w:before="48"/>
              <w:ind w:left="-57"/>
              <w:jc w:val="center"/>
              <w:rPr>
                <w:rFonts w:ascii="Arabic Typesetting" w:hAnsi="Arabic Typesetting" w:cs="Arabic Typesetting"/>
                <w:b/>
                <w:bCs/>
                <w:sz w:val="26"/>
                <w:szCs w:val="26"/>
              </w:rPr>
            </w:pPr>
            <w:r w:rsidRPr="00CA4702">
              <w:rPr>
                <w:rFonts w:ascii="Arabic Typesetting" w:hAnsi="Arabic Typesetting" w:cs="Arabic Typesetting" w:hint="cs"/>
                <w:b/>
                <w:bCs/>
                <w:sz w:val="26"/>
                <w:szCs w:val="26"/>
                <w:rtl/>
              </w:rPr>
              <w:t>من</w:t>
            </w:r>
          </w:p>
        </w:tc>
        <w:tc>
          <w:tcPr>
            <w:tcW w:w="690" w:type="pct"/>
            <w:tcBorders>
              <w:top w:val="single" w:sz="4" w:space="0" w:color="auto"/>
              <w:left w:val="nil"/>
              <w:bottom w:val="single" w:sz="4" w:space="0" w:color="auto"/>
              <w:right w:val="single" w:sz="4" w:space="0" w:color="auto"/>
            </w:tcBorders>
            <w:shd w:val="pct15" w:color="auto" w:fill="FFFFFF"/>
            <w:vAlign w:val="center"/>
          </w:tcPr>
          <w:p w:rsidR="008126B6" w:rsidRPr="00CA4702" w:rsidRDefault="008126B6" w:rsidP="008126B6">
            <w:pPr>
              <w:spacing w:beforeLines="20" w:before="48"/>
              <w:jc w:val="center"/>
              <w:rPr>
                <w:rFonts w:ascii="Arabic Typesetting" w:hAnsi="Arabic Typesetting" w:cs="Arabic Typesetting"/>
                <w:b/>
                <w:bCs/>
                <w:sz w:val="26"/>
                <w:szCs w:val="26"/>
              </w:rPr>
            </w:pPr>
            <w:r w:rsidRPr="00CA4702">
              <w:rPr>
                <w:rFonts w:ascii="Arabic Typesetting" w:hAnsi="Arabic Typesetting" w:cs="Arabic Typesetting" w:hint="cs"/>
                <w:b/>
                <w:bCs/>
                <w:sz w:val="26"/>
                <w:szCs w:val="26"/>
                <w:rtl/>
              </w:rPr>
              <w:t>إلى</w:t>
            </w:r>
          </w:p>
        </w:tc>
        <w:tc>
          <w:tcPr>
            <w:tcW w:w="1229" w:type="pct"/>
            <w:tcBorders>
              <w:top w:val="single" w:sz="4" w:space="0" w:color="auto"/>
              <w:left w:val="nil"/>
              <w:bottom w:val="single" w:sz="4" w:space="0" w:color="auto"/>
              <w:right w:val="single" w:sz="4" w:space="0" w:color="auto"/>
            </w:tcBorders>
            <w:shd w:val="pct15" w:color="auto" w:fill="FFFFFF"/>
            <w:vAlign w:val="center"/>
          </w:tcPr>
          <w:p w:rsidR="008126B6" w:rsidRPr="00CA4702" w:rsidRDefault="008126B6" w:rsidP="008126B6">
            <w:pPr>
              <w:spacing w:beforeLines="20" w:before="48"/>
              <w:jc w:val="center"/>
              <w:rPr>
                <w:rFonts w:ascii="Arabic Typesetting" w:hAnsi="Arabic Typesetting" w:cs="Arabic Typesetting"/>
                <w:b/>
                <w:bCs/>
                <w:sz w:val="26"/>
                <w:szCs w:val="26"/>
              </w:rPr>
            </w:pPr>
          </w:p>
        </w:tc>
        <w:tc>
          <w:tcPr>
            <w:tcW w:w="1072" w:type="pct"/>
            <w:tcBorders>
              <w:top w:val="single" w:sz="4" w:space="0" w:color="auto"/>
              <w:left w:val="single" w:sz="4" w:space="0" w:color="auto"/>
              <w:bottom w:val="single" w:sz="4" w:space="0" w:color="auto"/>
              <w:right w:val="single" w:sz="4" w:space="0" w:color="auto"/>
            </w:tcBorders>
            <w:shd w:val="pct15" w:color="auto" w:fill="FFFFFF"/>
            <w:vAlign w:val="center"/>
          </w:tcPr>
          <w:p w:rsidR="008126B6" w:rsidRPr="00CA4702" w:rsidRDefault="008126B6" w:rsidP="008126B6">
            <w:pPr>
              <w:bidi/>
              <w:spacing w:beforeLines="20" w:before="48"/>
              <w:jc w:val="center"/>
              <w:rPr>
                <w:rFonts w:ascii="Arabic Typesetting" w:hAnsi="Arabic Typesetting" w:cs="Arabic Typesetting"/>
                <w:b/>
                <w:bCs/>
                <w:sz w:val="26"/>
                <w:szCs w:val="26"/>
              </w:rPr>
            </w:pPr>
            <w:r w:rsidRPr="00CA4702">
              <w:rPr>
                <w:rFonts w:ascii="Arabic Typesetting" w:hAnsi="Arabic Typesetting" w:cs="Arabic Typesetting"/>
                <w:b/>
                <w:bCs/>
                <w:sz w:val="26"/>
                <w:szCs w:val="26"/>
                <w:rtl/>
              </w:rPr>
              <w:t xml:space="preserve">آخر </w:t>
            </w:r>
            <w:proofErr w:type="gramStart"/>
            <w:r w:rsidRPr="00CA4702">
              <w:rPr>
                <w:rFonts w:ascii="Arabic Typesetting" w:hAnsi="Arabic Typesetting" w:cs="Arabic Typesetting"/>
                <w:b/>
                <w:bCs/>
                <w:sz w:val="26"/>
                <w:szCs w:val="26"/>
                <w:rtl/>
              </w:rPr>
              <w:t>أسبوع</w:t>
            </w:r>
            <w:proofErr w:type="gramEnd"/>
            <w:r w:rsidRPr="00CA4702">
              <w:rPr>
                <w:rFonts w:ascii="Arabic Typesetting" w:hAnsi="Arabic Typesetting" w:cs="Arabic Typesetting"/>
                <w:b/>
                <w:bCs/>
                <w:sz w:val="26"/>
                <w:szCs w:val="26"/>
                <w:rtl/>
              </w:rPr>
              <w:t xml:space="preserve"> أُدخلت فيه البيانات</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AE</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proofErr w:type="gramStart"/>
            <w:r w:rsidRPr="00CA4702">
              <w:rPr>
                <w:rFonts w:ascii="Arabic Typesetting" w:hAnsi="Arabic Typesetting" w:cs="Arabic Typesetting"/>
                <w:sz w:val="26"/>
                <w:szCs w:val="26"/>
                <w:rtl/>
              </w:rPr>
              <w:t>الإمارات</w:t>
            </w:r>
            <w:proofErr w:type="gramEnd"/>
            <w:r w:rsidRPr="00CA4702">
              <w:rPr>
                <w:rFonts w:ascii="Arabic Typesetting" w:hAnsi="Arabic Typesetting" w:cs="Arabic Typesetting"/>
                <w:sz w:val="26"/>
                <w:szCs w:val="26"/>
                <w:rtl/>
              </w:rPr>
              <w:t xml:space="preserve"> العربية المتحدة</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30.09.2010</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AP</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proofErr w:type="spellStart"/>
            <w:r w:rsidRPr="00CA4702">
              <w:rPr>
                <w:rFonts w:ascii="Arabic Typesetting" w:hAnsi="Arabic Typesetting" w:cs="Arabic Typesetting"/>
                <w:sz w:val="26"/>
                <w:szCs w:val="26"/>
                <w:rtl/>
              </w:rPr>
              <w:t>الأريبو</w:t>
            </w:r>
            <w:proofErr w:type="spellEnd"/>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01.07.1996</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06.08.2008</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 xml:space="preserve">AT </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النمسا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01.02.1995</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30.11.2011</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 xml:space="preserve">AU </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أستراليا</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10.12.1998</w:t>
            </w:r>
          </w:p>
        </w:tc>
        <w:tc>
          <w:tcPr>
            <w:tcW w:w="690"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25.09.2012</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2012/42</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BG</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بلغاريا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02.01.2001</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19.12.2007</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BY</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بيلاروس</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15.06.2007</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28.02.2008</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BZ</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بليز</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27.08.2002</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23.03.2007</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2007/37</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CA</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كندا</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01.04.1993</w:t>
            </w:r>
          </w:p>
        </w:tc>
        <w:tc>
          <w:tcPr>
            <w:tcW w:w="690"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08.06.2012</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2012/34</w:t>
            </w:r>
          </w:p>
        </w:tc>
      </w:tr>
      <w:tr w:rsidR="008126B6" w:rsidRPr="00CA4702" w:rsidTr="008126B6">
        <w:trPr>
          <w:cantSplit/>
          <w:trHeight w:hRule="exact" w:val="1230"/>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CH</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سويسرا</w:t>
            </w:r>
            <w:r w:rsidRPr="00CA4702">
              <w:rPr>
                <w:rFonts w:ascii="Arabic Typesetting" w:hAnsi="Arabic Typesetting" w:cs="Arabic Typesetting"/>
                <w:sz w:val="26"/>
                <w:szCs w:val="26"/>
              </w:rPr>
              <w:t xml:space="preserve"> </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04.01.2001</w:t>
            </w:r>
          </w:p>
        </w:tc>
        <w:tc>
          <w:tcPr>
            <w:tcW w:w="690" w:type="pct"/>
            <w:tcBorders>
              <w:top w:val="single" w:sz="4" w:space="0" w:color="auto"/>
              <w:left w:val="nil"/>
              <w:bottom w:val="single" w:sz="4" w:space="0" w:color="auto"/>
              <w:right w:val="single" w:sz="4" w:space="0" w:color="auto"/>
            </w:tcBorders>
          </w:tcPr>
          <w:p w:rsidR="008126B6" w:rsidRPr="00881E9A" w:rsidRDefault="00881E9A" w:rsidP="00881E9A">
            <w:pPr>
              <w:jc w:val="center"/>
              <w:rPr>
                <w:rFonts w:ascii="Arabic Typesetting" w:hAnsi="Arabic Typesetting" w:cs="Arabic Typesetting"/>
                <w:b/>
                <w:bCs/>
                <w:sz w:val="26"/>
                <w:szCs w:val="26"/>
              </w:rPr>
            </w:pPr>
            <w:r w:rsidRPr="00881E9A">
              <w:rPr>
                <w:rFonts w:ascii="Arabic Typesetting" w:hAnsi="Arabic Typesetting" w:cs="Arabic Typesetting"/>
                <w:b/>
                <w:bCs/>
                <w:sz w:val="26"/>
                <w:szCs w:val="26"/>
              </w:rPr>
              <w:t>10</w:t>
            </w:r>
            <w:r w:rsidR="008126B6" w:rsidRPr="00881E9A">
              <w:rPr>
                <w:rFonts w:ascii="Arabic Typesetting" w:hAnsi="Arabic Typesetting" w:cs="Arabic Typesetting"/>
                <w:b/>
                <w:bCs/>
                <w:sz w:val="26"/>
                <w:szCs w:val="26"/>
              </w:rPr>
              <w:t>.</w:t>
            </w:r>
            <w:r w:rsidRPr="00881E9A">
              <w:rPr>
                <w:rFonts w:ascii="Arabic Typesetting" w:hAnsi="Arabic Typesetting" w:cs="Arabic Typesetting"/>
                <w:b/>
                <w:bCs/>
                <w:sz w:val="26"/>
                <w:szCs w:val="26"/>
              </w:rPr>
              <w:t>02</w:t>
            </w:r>
            <w:r w:rsidR="008126B6" w:rsidRPr="00881E9A">
              <w:rPr>
                <w:rFonts w:ascii="Arabic Typesetting" w:hAnsi="Arabic Typesetting" w:cs="Arabic Typesetting"/>
                <w:b/>
                <w:bCs/>
                <w:sz w:val="26"/>
                <w:szCs w:val="26"/>
              </w:rPr>
              <w:t>.</w:t>
            </w:r>
            <w:r w:rsidRPr="00881E9A">
              <w:rPr>
                <w:rFonts w:ascii="Arabic Typesetting" w:hAnsi="Arabic Typesetting" w:cs="Arabic Typesetting"/>
                <w:b/>
                <w:bCs/>
                <w:sz w:val="26"/>
                <w:szCs w:val="26"/>
              </w:rPr>
              <w:t>2015</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بيانات دخول الطلبات الدولية في المرحلة الوطنية بناء على معاهدة التعاون بشأن البراءات والأحداث القانونية الأخرى التي قدمتها الويبو</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881E9A" w:rsidRDefault="00881E9A" w:rsidP="00881E9A">
            <w:pPr>
              <w:jc w:val="center"/>
              <w:rPr>
                <w:rFonts w:ascii="Arabic Typesetting" w:hAnsi="Arabic Typesetting" w:cs="Arabic Typesetting"/>
                <w:b/>
                <w:bCs/>
                <w:sz w:val="26"/>
                <w:szCs w:val="26"/>
              </w:rPr>
            </w:pPr>
            <w:r w:rsidRPr="00881E9A">
              <w:rPr>
                <w:rFonts w:ascii="Arabic Typesetting" w:hAnsi="Arabic Typesetting" w:cs="Arabic Typesetting"/>
                <w:b/>
                <w:bCs/>
                <w:sz w:val="26"/>
                <w:szCs w:val="26"/>
              </w:rPr>
              <w:t>2015</w:t>
            </w:r>
            <w:r w:rsidR="008126B6" w:rsidRPr="00881E9A">
              <w:rPr>
                <w:rFonts w:ascii="Arabic Typesetting" w:hAnsi="Arabic Typesetting" w:cs="Arabic Typesetting"/>
                <w:b/>
                <w:bCs/>
                <w:sz w:val="26"/>
                <w:szCs w:val="26"/>
              </w:rPr>
              <w:t>/</w:t>
            </w:r>
            <w:r w:rsidRPr="00881E9A">
              <w:rPr>
                <w:rFonts w:ascii="Arabic Typesetting" w:hAnsi="Arabic Typesetting" w:cs="Arabic Typesetting"/>
                <w:b/>
                <w:bCs/>
                <w:sz w:val="26"/>
                <w:szCs w:val="26"/>
              </w:rPr>
              <w:t>49</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lastRenderedPageBreak/>
              <w:t>CN</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hint="cs"/>
                <w:sz w:val="26"/>
                <w:szCs w:val="26"/>
                <w:rtl/>
              </w:rPr>
              <w:t>الصين</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01.01.2002</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20.11.2008</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2009/43</w:t>
            </w:r>
          </w:p>
        </w:tc>
      </w:tr>
      <w:tr w:rsidR="008126B6" w:rsidRPr="00CA4702" w:rsidTr="008126B6">
        <w:trPr>
          <w:cantSplit/>
          <w:trHeight w:hRule="exact" w:val="1258"/>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CZ</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proofErr w:type="gramStart"/>
            <w:r w:rsidRPr="00CA4702">
              <w:rPr>
                <w:rFonts w:ascii="Arabic Typesetting" w:hAnsi="Arabic Typesetting" w:cs="Arabic Typesetting"/>
                <w:sz w:val="26"/>
                <w:szCs w:val="26"/>
                <w:rtl/>
              </w:rPr>
              <w:t>الجمهورية</w:t>
            </w:r>
            <w:proofErr w:type="gramEnd"/>
            <w:r w:rsidRPr="00CA4702">
              <w:rPr>
                <w:rFonts w:ascii="Arabic Typesetting" w:hAnsi="Arabic Typesetting" w:cs="Arabic Typesetting"/>
                <w:sz w:val="26"/>
                <w:szCs w:val="26"/>
                <w:rtl/>
              </w:rPr>
              <w:t xml:space="preserve"> التشيكية</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21.02.1995</w:t>
            </w:r>
          </w:p>
        </w:tc>
        <w:tc>
          <w:tcPr>
            <w:tcW w:w="690" w:type="pct"/>
            <w:tcBorders>
              <w:top w:val="single" w:sz="4" w:space="0" w:color="auto"/>
              <w:left w:val="nil"/>
              <w:bottom w:val="single" w:sz="4" w:space="0" w:color="auto"/>
              <w:right w:val="single" w:sz="4" w:space="0" w:color="auto"/>
            </w:tcBorders>
          </w:tcPr>
          <w:p w:rsidR="008126B6" w:rsidRPr="00881E9A" w:rsidRDefault="00881E9A" w:rsidP="00881E9A">
            <w:pPr>
              <w:jc w:val="center"/>
              <w:rPr>
                <w:rFonts w:ascii="Arabic Typesetting" w:hAnsi="Arabic Typesetting" w:cs="Arabic Typesetting"/>
                <w:b/>
                <w:bCs/>
                <w:sz w:val="26"/>
                <w:szCs w:val="26"/>
              </w:rPr>
            </w:pPr>
            <w:r w:rsidRPr="00881E9A">
              <w:rPr>
                <w:rFonts w:ascii="Arabic Typesetting" w:hAnsi="Arabic Typesetting" w:cs="Arabic Typesetting"/>
                <w:b/>
                <w:bCs/>
                <w:sz w:val="26"/>
                <w:szCs w:val="26"/>
              </w:rPr>
              <w:t>03</w:t>
            </w:r>
            <w:r w:rsidR="008126B6" w:rsidRPr="00881E9A">
              <w:rPr>
                <w:rFonts w:ascii="Arabic Typesetting" w:hAnsi="Arabic Typesetting" w:cs="Arabic Typesetting"/>
                <w:b/>
                <w:bCs/>
                <w:sz w:val="26"/>
                <w:szCs w:val="26"/>
              </w:rPr>
              <w:t>.</w:t>
            </w:r>
            <w:r w:rsidRPr="00881E9A">
              <w:rPr>
                <w:rFonts w:ascii="Arabic Typesetting" w:hAnsi="Arabic Typesetting" w:cs="Arabic Typesetting"/>
                <w:b/>
                <w:bCs/>
                <w:sz w:val="26"/>
                <w:szCs w:val="26"/>
              </w:rPr>
              <w:t>10</w:t>
            </w:r>
            <w:r w:rsidR="008126B6" w:rsidRPr="00881E9A">
              <w:rPr>
                <w:rFonts w:ascii="Arabic Typesetting" w:hAnsi="Arabic Typesetting" w:cs="Arabic Typesetting"/>
                <w:b/>
                <w:bCs/>
                <w:sz w:val="26"/>
                <w:szCs w:val="26"/>
              </w:rPr>
              <w:t>.</w:t>
            </w:r>
            <w:r w:rsidRPr="00881E9A">
              <w:rPr>
                <w:rFonts w:ascii="Arabic Typesetting" w:hAnsi="Arabic Typesetting" w:cs="Arabic Typesetting"/>
                <w:b/>
                <w:bCs/>
                <w:sz w:val="26"/>
                <w:szCs w:val="26"/>
              </w:rPr>
              <w:t>2014</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بيانات دخول الطلبات الدولية في المرحلة الوطنية بناء على معاهدة التعاون بشأن البراءات والأحداث القانونية الأخرى التي قدمتها الويبو</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3F798F" w:rsidRDefault="008126B6" w:rsidP="003F798F">
            <w:pPr>
              <w:jc w:val="center"/>
              <w:rPr>
                <w:rFonts w:ascii="Arabic Typesetting" w:hAnsi="Arabic Typesetting" w:cs="Arabic Typesetting"/>
                <w:b/>
                <w:bCs/>
                <w:sz w:val="26"/>
                <w:szCs w:val="26"/>
              </w:rPr>
            </w:pPr>
            <w:r w:rsidRPr="003F798F">
              <w:rPr>
                <w:rFonts w:ascii="Arabic Typesetting" w:hAnsi="Arabic Typesetting" w:cs="Arabic Typesetting"/>
                <w:b/>
                <w:bCs/>
                <w:sz w:val="26"/>
                <w:szCs w:val="26"/>
              </w:rPr>
              <w:t>2014/</w:t>
            </w:r>
            <w:r w:rsidR="003F798F" w:rsidRPr="003F798F">
              <w:rPr>
                <w:rFonts w:ascii="Arabic Typesetting" w:hAnsi="Arabic Typesetting" w:cs="Arabic Typesetting"/>
                <w:b/>
                <w:bCs/>
                <w:sz w:val="26"/>
                <w:szCs w:val="26"/>
              </w:rPr>
              <w:t>50</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DE</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ألمانيا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01.01.1993</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18.08.2011</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EA</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المنظمة الأوروبية الآسيوية للبراءات</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18.04.2007</w:t>
            </w:r>
          </w:p>
        </w:tc>
        <w:tc>
          <w:tcPr>
            <w:tcW w:w="690" w:type="pct"/>
            <w:tcBorders>
              <w:top w:val="single" w:sz="4" w:space="0" w:color="auto"/>
              <w:left w:val="nil"/>
              <w:right w:val="single" w:sz="4" w:space="0" w:color="auto"/>
            </w:tcBorders>
          </w:tcPr>
          <w:p w:rsidR="008126B6" w:rsidRPr="003F798F" w:rsidRDefault="008126B6" w:rsidP="003F798F">
            <w:pPr>
              <w:jc w:val="center"/>
              <w:rPr>
                <w:rFonts w:ascii="Arabic Typesetting" w:hAnsi="Arabic Typesetting" w:cs="Arabic Typesetting"/>
                <w:b/>
                <w:bCs/>
                <w:sz w:val="26"/>
                <w:szCs w:val="26"/>
              </w:rPr>
            </w:pPr>
            <w:r w:rsidRPr="003F798F">
              <w:rPr>
                <w:rFonts w:ascii="Arabic Typesetting" w:hAnsi="Arabic Typesetting" w:cs="Arabic Typesetting"/>
                <w:b/>
                <w:bCs/>
                <w:sz w:val="26"/>
                <w:szCs w:val="26"/>
              </w:rPr>
              <w:t>30.</w:t>
            </w:r>
            <w:r w:rsidR="003F798F" w:rsidRPr="003F798F">
              <w:rPr>
                <w:rFonts w:ascii="Arabic Typesetting" w:hAnsi="Arabic Typesetting" w:cs="Arabic Typesetting"/>
                <w:b/>
                <w:bCs/>
                <w:sz w:val="26"/>
                <w:szCs w:val="26"/>
              </w:rPr>
              <w:t>06</w:t>
            </w:r>
            <w:r w:rsidRPr="003F798F">
              <w:rPr>
                <w:rFonts w:ascii="Arabic Typesetting" w:hAnsi="Arabic Typesetting" w:cs="Arabic Typesetting"/>
                <w:b/>
                <w:bCs/>
                <w:sz w:val="26"/>
                <w:szCs w:val="26"/>
              </w:rPr>
              <w:t>.</w:t>
            </w:r>
            <w:r w:rsidR="003F798F" w:rsidRPr="003F798F">
              <w:rPr>
                <w:rFonts w:ascii="Arabic Typesetting" w:hAnsi="Arabic Typesetting" w:cs="Arabic Typesetting"/>
                <w:b/>
                <w:bCs/>
                <w:sz w:val="26"/>
                <w:szCs w:val="26"/>
              </w:rPr>
              <w:t>2014</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3F798F" w:rsidRDefault="003F798F" w:rsidP="003F798F">
            <w:pPr>
              <w:jc w:val="center"/>
              <w:rPr>
                <w:rFonts w:ascii="Arabic Typesetting" w:hAnsi="Arabic Typesetting" w:cs="Arabic Typesetting"/>
                <w:b/>
                <w:bCs/>
                <w:sz w:val="26"/>
                <w:szCs w:val="26"/>
              </w:rPr>
            </w:pPr>
            <w:r w:rsidRPr="003F798F">
              <w:rPr>
                <w:rFonts w:ascii="Arabic Typesetting" w:hAnsi="Arabic Typesetting" w:cs="Arabic Typesetting"/>
                <w:b/>
                <w:bCs/>
                <w:sz w:val="26"/>
                <w:szCs w:val="26"/>
              </w:rPr>
              <w:t>2014</w:t>
            </w:r>
            <w:r w:rsidR="008126B6" w:rsidRPr="003F798F">
              <w:rPr>
                <w:rFonts w:ascii="Arabic Typesetting" w:hAnsi="Arabic Typesetting" w:cs="Arabic Typesetting"/>
                <w:b/>
                <w:bCs/>
                <w:sz w:val="26"/>
                <w:szCs w:val="26"/>
              </w:rPr>
              <w:t>/</w:t>
            </w:r>
            <w:r w:rsidRPr="003F798F">
              <w:rPr>
                <w:rFonts w:ascii="Arabic Typesetting" w:hAnsi="Arabic Typesetting" w:cs="Arabic Typesetting"/>
                <w:b/>
                <w:bCs/>
                <w:sz w:val="26"/>
                <w:szCs w:val="26"/>
              </w:rPr>
              <w:t>31</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EG</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مصر</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03.08.2008</w:t>
            </w:r>
          </w:p>
        </w:tc>
        <w:tc>
          <w:tcPr>
            <w:tcW w:w="690"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28.02.2011</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2011/14</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ES</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إسبانيا</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30.05.1990</w:t>
            </w:r>
          </w:p>
        </w:tc>
        <w:tc>
          <w:tcPr>
            <w:tcW w:w="690"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30.06.2011</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2011/33</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FI</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فنلندا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19.05.1981</w:t>
            </w:r>
          </w:p>
        </w:tc>
        <w:tc>
          <w:tcPr>
            <w:tcW w:w="690" w:type="pct"/>
            <w:tcBorders>
              <w:top w:val="single" w:sz="4" w:space="0" w:color="auto"/>
              <w:left w:val="nil"/>
              <w:bottom w:val="single" w:sz="4" w:space="0" w:color="auto"/>
              <w:right w:val="single" w:sz="4" w:space="0" w:color="auto"/>
            </w:tcBorders>
          </w:tcPr>
          <w:p w:rsidR="008126B6" w:rsidRPr="003F798F" w:rsidRDefault="003F798F" w:rsidP="003F798F">
            <w:pPr>
              <w:jc w:val="center"/>
              <w:rPr>
                <w:rFonts w:ascii="Arabic Typesetting" w:hAnsi="Arabic Typesetting" w:cs="Arabic Typesetting"/>
                <w:b/>
                <w:bCs/>
                <w:sz w:val="26"/>
                <w:szCs w:val="26"/>
              </w:rPr>
            </w:pPr>
            <w:r w:rsidRPr="003F798F">
              <w:rPr>
                <w:rFonts w:ascii="Arabic Typesetting" w:hAnsi="Arabic Typesetting" w:cs="Arabic Typesetting"/>
                <w:b/>
                <w:bCs/>
                <w:sz w:val="26"/>
                <w:szCs w:val="26"/>
              </w:rPr>
              <w:t>31</w:t>
            </w:r>
            <w:r w:rsidR="008126B6" w:rsidRPr="003F798F">
              <w:rPr>
                <w:rFonts w:ascii="Arabic Typesetting" w:hAnsi="Arabic Typesetting" w:cs="Arabic Typesetting"/>
                <w:b/>
                <w:bCs/>
                <w:sz w:val="26"/>
                <w:szCs w:val="26"/>
              </w:rPr>
              <w:t>.</w:t>
            </w:r>
            <w:r w:rsidRPr="003F798F">
              <w:rPr>
                <w:rFonts w:ascii="Arabic Typesetting" w:hAnsi="Arabic Typesetting" w:cs="Arabic Typesetting"/>
                <w:b/>
                <w:bCs/>
                <w:sz w:val="26"/>
                <w:szCs w:val="26"/>
              </w:rPr>
              <w:t>12</w:t>
            </w:r>
            <w:r w:rsidR="008126B6" w:rsidRPr="003F798F">
              <w:rPr>
                <w:rFonts w:ascii="Arabic Typesetting" w:hAnsi="Arabic Typesetting" w:cs="Arabic Typesetting"/>
                <w:b/>
                <w:bCs/>
                <w:sz w:val="26"/>
                <w:szCs w:val="26"/>
              </w:rPr>
              <w:t>.2013</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3F798F" w:rsidRDefault="003F798F" w:rsidP="003F798F">
            <w:pPr>
              <w:jc w:val="center"/>
              <w:rPr>
                <w:rFonts w:ascii="Arabic Typesetting" w:hAnsi="Arabic Typesetting" w:cs="Arabic Typesetting"/>
                <w:b/>
                <w:bCs/>
                <w:sz w:val="26"/>
                <w:szCs w:val="26"/>
              </w:rPr>
            </w:pPr>
            <w:r w:rsidRPr="003F798F">
              <w:rPr>
                <w:rFonts w:ascii="Arabic Typesetting" w:hAnsi="Arabic Typesetting" w:cs="Arabic Typesetting"/>
                <w:b/>
                <w:bCs/>
                <w:sz w:val="26"/>
                <w:szCs w:val="26"/>
              </w:rPr>
              <w:t>2015</w:t>
            </w:r>
            <w:r w:rsidR="008126B6" w:rsidRPr="003F798F">
              <w:rPr>
                <w:rFonts w:ascii="Arabic Typesetting" w:hAnsi="Arabic Typesetting" w:cs="Arabic Typesetting"/>
                <w:b/>
                <w:bCs/>
                <w:sz w:val="26"/>
                <w:szCs w:val="26"/>
              </w:rPr>
              <w:t>/</w:t>
            </w:r>
            <w:r w:rsidRPr="003F798F">
              <w:rPr>
                <w:rFonts w:ascii="Arabic Typesetting" w:hAnsi="Arabic Typesetting" w:cs="Arabic Typesetting"/>
                <w:b/>
                <w:bCs/>
                <w:sz w:val="26"/>
                <w:szCs w:val="26"/>
              </w:rPr>
              <w:t>41</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GB</w:t>
            </w:r>
          </w:p>
        </w:tc>
        <w:tc>
          <w:tcPr>
            <w:tcW w:w="1074"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proofErr w:type="gramStart"/>
            <w:r w:rsidRPr="00CA4702">
              <w:rPr>
                <w:rFonts w:ascii="Arabic Typesetting" w:hAnsi="Arabic Typesetting" w:cs="Arabic Typesetting"/>
                <w:sz w:val="26"/>
                <w:szCs w:val="26"/>
                <w:rtl/>
              </w:rPr>
              <w:t>المملكة</w:t>
            </w:r>
            <w:proofErr w:type="gramEnd"/>
            <w:r w:rsidRPr="00CA4702">
              <w:rPr>
                <w:rFonts w:ascii="Arabic Typesetting" w:hAnsi="Arabic Typesetting" w:cs="Arabic Typesetting"/>
                <w:sz w:val="26"/>
                <w:szCs w:val="26"/>
                <w:rtl/>
              </w:rPr>
              <w:t xml:space="preserve"> المتحدة</w:t>
            </w:r>
          </w:p>
        </w:tc>
        <w:tc>
          <w:tcPr>
            <w:tcW w:w="614" w:type="pct"/>
            <w:tcBorders>
              <w:top w:val="single" w:sz="4" w:space="0" w:color="auto"/>
              <w:left w:val="single" w:sz="4" w:space="0" w:color="auto"/>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21.09.1989</w:t>
            </w:r>
          </w:p>
        </w:tc>
        <w:tc>
          <w:tcPr>
            <w:tcW w:w="690" w:type="pct"/>
            <w:tcBorders>
              <w:top w:val="single" w:sz="4" w:space="0" w:color="auto"/>
              <w:left w:val="single" w:sz="4" w:space="0" w:color="auto"/>
              <w:bottom w:val="single" w:sz="4" w:space="0" w:color="auto"/>
              <w:right w:val="single" w:sz="4" w:space="0" w:color="auto"/>
            </w:tcBorders>
          </w:tcPr>
          <w:p w:rsidR="008126B6" w:rsidRPr="003F798F" w:rsidRDefault="003F798F" w:rsidP="003F798F">
            <w:pPr>
              <w:jc w:val="center"/>
              <w:rPr>
                <w:rFonts w:ascii="Arabic Typesetting" w:hAnsi="Arabic Typesetting" w:cs="Arabic Typesetting"/>
                <w:b/>
                <w:bCs/>
                <w:sz w:val="26"/>
                <w:szCs w:val="26"/>
              </w:rPr>
            </w:pPr>
            <w:r w:rsidRPr="003F798F">
              <w:rPr>
                <w:rFonts w:ascii="Arabic Typesetting" w:hAnsi="Arabic Typesetting" w:cs="Arabic Typesetting"/>
                <w:b/>
                <w:bCs/>
                <w:sz w:val="26"/>
                <w:szCs w:val="26"/>
              </w:rPr>
              <w:t>30</w:t>
            </w:r>
            <w:r w:rsidR="008126B6" w:rsidRPr="003F798F">
              <w:rPr>
                <w:rFonts w:ascii="Arabic Typesetting" w:hAnsi="Arabic Typesetting" w:cs="Arabic Typesetting"/>
                <w:b/>
                <w:bCs/>
                <w:sz w:val="26"/>
                <w:szCs w:val="26"/>
              </w:rPr>
              <w:t>.10.</w:t>
            </w:r>
            <w:r w:rsidRPr="003F798F">
              <w:rPr>
                <w:rFonts w:ascii="Arabic Typesetting" w:hAnsi="Arabic Typesetting" w:cs="Arabic Typesetting"/>
                <w:b/>
                <w:bCs/>
                <w:sz w:val="26"/>
                <w:szCs w:val="26"/>
              </w:rPr>
              <w:t>2015</w:t>
            </w:r>
          </w:p>
        </w:tc>
        <w:tc>
          <w:tcPr>
            <w:tcW w:w="1229" w:type="pct"/>
            <w:tcBorders>
              <w:top w:val="single" w:sz="4" w:space="0" w:color="auto"/>
              <w:left w:val="single" w:sz="4" w:space="0" w:color="auto"/>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3F798F" w:rsidRDefault="003F798F" w:rsidP="003F798F">
            <w:pPr>
              <w:jc w:val="center"/>
              <w:rPr>
                <w:rFonts w:ascii="Arabic Typesetting" w:hAnsi="Arabic Typesetting" w:cs="Arabic Typesetting"/>
                <w:b/>
                <w:bCs/>
                <w:sz w:val="26"/>
                <w:szCs w:val="26"/>
              </w:rPr>
            </w:pPr>
            <w:r w:rsidRPr="003F798F">
              <w:rPr>
                <w:rFonts w:ascii="Arabic Typesetting" w:hAnsi="Arabic Typesetting" w:cs="Arabic Typesetting"/>
                <w:b/>
                <w:bCs/>
                <w:sz w:val="26"/>
                <w:szCs w:val="26"/>
              </w:rPr>
              <w:t>2015</w:t>
            </w:r>
            <w:r w:rsidR="008126B6" w:rsidRPr="003F798F">
              <w:rPr>
                <w:rFonts w:ascii="Arabic Typesetting" w:hAnsi="Arabic Typesetting" w:cs="Arabic Typesetting"/>
                <w:b/>
                <w:bCs/>
                <w:sz w:val="26"/>
                <w:szCs w:val="26"/>
              </w:rPr>
              <w:t>/</w:t>
            </w:r>
            <w:r w:rsidRPr="003F798F">
              <w:rPr>
                <w:rFonts w:ascii="Arabic Typesetting" w:hAnsi="Arabic Typesetting" w:cs="Arabic Typesetting"/>
                <w:b/>
                <w:bCs/>
                <w:sz w:val="26"/>
                <w:szCs w:val="26"/>
              </w:rPr>
              <w:t>51</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GE</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جورجيا</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02.07.2007</w:t>
            </w:r>
          </w:p>
        </w:tc>
        <w:tc>
          <w:tcPr>
            <w:tcW w:w="690" w:type="pct"/>
            <w:tcBorders>
              <w:top w:val="single" w:sz="4" w:space="0" w:color="auto"/>
              <w:left w:val="nil"/>
              <w:right w:val="single" w:sz="4" w:space="0" w:color="auto"/>
            </w:tcBorders>
          </w:tcPr>
          <w:p w:rsidR="008126B6" w:rsidRPr="0047334F" w:rsidRDefault="0047334F" w:rsidP="0047334F">
            <w:pPr>
              <w:jc w:val="center"/>
              <w:rPr>
                <w:rFonts w:ascii="Arabic Typesetting" w:hAnsi="Arabic Typesetting" w:cs="Arabic Typesetting"/>
                <w:b/>
                <w:bCs/>
                <w:sz w:val="26"/>
                <w:szCs w:val="26"/>
              </w:rPr>
            </w:pPr>
            <w:r w:rsidRPr="0047334F">
              <w:rPr>
                <w:rFonts w:ascii="Arabic Typesetting" w:hAnsi="Arabic Typesetting" w:cs="Arabic Typesetting"/>
                <w:b/>
                <w:bCs/>
                <w:sz w:val="26"/>
                <w:szCs w:val="26"/>
              </w:rPr>
              <w:t>23</w:t>
            </w:r>
            <w:r w:rsidR="008126B6" w:rsidRPr="0047334F">
              <w:rPr>
                <w:rFonts w:ascii="Arabic Typesetting" w:hAnsi="Arabic Typesetting" w:cs="Arabic Typesetting"/>
                <w:b/>
                <w:bCs/>
                <w:sz w:val="26"/>
                <w:szCs w:val="26"/>
              </w:rPr>
              <w:t>.</w:t>
            </w:r>
            <w:r w:rsidRPr="0047334F">
              <w:rPr>
                <w:rFonts w:ascii="Arabic Typesetting" w:hAnsi="Arabic Typesetting" w:cs="Arabic Typesetting"/>
                <w:b/>
                <w:bCs/>
                <w:sz w:val="26"/>
                <w:szCs w:val="26"/>
              </w:rPr>
              <w:t>10</w:t>
            </w:r>
            <w:r w:rsidR="008126B6" w:rsidRPr="0047334F">
              <w:rPr>
                <w:rFonts w:ascii="Arabic Typesetting" w:hAnsi="Arabic Typesetting" w:cs="Arabic Typesetting"/>
                <w:b/>
                <w:bCs/>
                <w:sz w:val="26"/>
                <w:szCs w:val="26"/>
              </w:rPr>
              <w:t>.</w:t>
            </w:r>
            <w:r w:rsidRPr="0047334F">
              <w:rPr>
                <w:rFonts w:ascii="Arabic Typesetting" w:hAnsi="Arabic Typesetting" w:cs="Arabic Typesetting"/>
                <w:b/>
                <w:bCs/>
                <w:sz w:val="26"/>
                <w:szCs w:val="26"/>
              </w:rPr>
              <w:t>2015</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47334F" w:rsidRDefault="0047334F" w:rsidP="0047334F">
            <w:pPr>
              <w:jc w:val="center"/>
              <w:rPr>
                <w:rFonts w:ascii="Arabic Typesetting" w:hAnsi="Arabic Typesetting" w:cs="Arabic Typesetting"/>
                <w:b/>
                <w:bCs/>
                <w:sz w:val="26"/>
                <w:szCs w:val="26"/>
              </w:rPr>
            </w:pPr>
            <w:r w:rsidRPr="0047334F">
              <w:rPr>
                <w:rFonts w:ascii="Arabic Typesetting" w:hAnsi="Arabic Typesetting" w:cs="Arabic Typesetting"/>
                <w:b/>
                <w:bCs/>
                <w:sz w:val="26"/>
                <w:szCs w:val="26"/>
              </w:rPr>
              <w:t>2015</w:t>
            </w:r>
            <w:r w:rsidR="008126B6" w:rsidRPr="0047334F">
              <w:rPr>
                <w:rFonts w:ascii="Arabic Typesetting" w:hAnsi="Arabic Typesetting" w:cs="Arabic Typesetting"/>
                <w:b/>
                <w:bCs/>
                <w:sz w:val="26"/>
                <w:szCs w:val="26"/>
              </w:rPr>
              <w:t>/</w:t>
            </w:r>
            <w:r w:rsidRPr="0047334F">
              <w:rPr>
                <w:rFonts w:ascii="Arabic Typesetting" w:hAnsi="Arabic Typesetting" w:cs="Arabic Typesetting"/>
                <w:b/>
                <w:bCs/>
                <w:sz w:val="26"/>
                <w:szCs w:val="26"/>
              </w:rPr>
              <w:t>51</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HR</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كرواتيا</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21.07.2000</w:t>
            </w:r>
          </w:p>
        </w:tc>
        <w:tc>
          <w:tcPr>
            <w:tcW w:w="690" w:type="pct"/>
            <w:tcBorders>
              <w:top w:val="single" w:sz="4" w:space="0" w:color="auto"/>
              <w:left w:val="nil"/>
              <w:right w:val="single" w:sz="4" w:space="0" w:color="auto"/>
            </w:tcBorders>
          </w:tcPr>
          <w:p w:rsidR="008126B6" w:rsidRPr="00611BBF" w:rsidRDefault="00611BBF" w:rsidP="00611BBF">
            <w:pPr>
              <w:jc w:val="center"/>
              <w:rPr>
                <w:rFonts w:ascii="Arabic Typesetting" w:hAnsi="Arabic Typesetting" w:cs="Arabic Typesetting"/>
                <w:b/>
                <w:bCs/>
                <w:sz w:val="26"/>
                <w:szCs w:val="26"/>
              </w:rPr>
            </w:pPr>
            <w:r w:rsidRPr="00611BBF">
              <w:rPr>
                <w:rFonts w:ascii="Arabic Typesetting" w:hAnsi="Arabic Typesetting" w:cs="Arabic Typesetting"/>
                <w:b/>
                <w:bCs/>
                <w:sz w:val="26"/>
                <w:szCs w:val="26"/>
              </w:rPr>
              <w:t>14</w:t>
            </w:r>
            <w:r w:rsidR="008126B6" w:rsidRPr="00611BBF">
              <w:rPr>
                <w:rFonts w:ascii="Arabic Typesetting" w:hAnsi="Arabic Typesetting" w:cs="Arabic Typesetting"/>
                <w:b/>
                <w:bCs/>
                <w:sz w:val="26"/>
                <w:szCs w:val="26"/>
              </w:rPr>
              <w:t>.</w:t>
            </w:r>
            <w:r w:rsidRPr="00611BBF">
              <w:rPr>
                <w:rFonts w:ascii="Arabic Typesetting" w:hAnsi="Arabic Typesetting" w:cs="Arabic Typesetting"/>
                <w:b/>
                <w:bCs/>
                <w:sz w:val="26"/>
                <w:szCs w:val="26"/>
              </w:rPr>
              <w:t>08</w:t>
            </w:r>
            <w:r w:rsidR="008126B6" w:rsidRPr="00611BBF">
              <w:rPr>
                <w:rFonts w:ascii="Arabic Typesetting" w:hAnsi="Arabic Typesetting" w:cs="Arabic Typesetting"/>
                <w:b/>
                <w:bCs/>
                <w:sz w:val="26"/>
                <w:szCs w:val="26"/>
              </w:rPr>
              <w:t>.</w:t>
            </w:r>
            <w:r w:rsidRPr="00611BBF">
              <w:rPr>
                <w:rFonts w:ascii="Arabic Typesetting" w:hAnsi="Arabic Typesetting" w:cs="Arabic Typesetting"/>
                <w:b/>
                <w:bCs/>
                <w:sz w:val="26"/>
                <w:szCs w:val="26"/>
              </w:rPr>
              <w:t>2015</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611BBF" w:rsidRDefault="00611BBF" w:rsidP="00611BBF">
            <w:pPr>
              <w:jc w:val="center"/>
              <w:rPr>
                <w:rFonts w:ascii="Arabic Typesetting" w:hAnsi="Arabic Typesetting" w:cs="Arabic Typesetting"/>
                <w:b/>
                <w:bCs/>
                <w:sz w:val="26"/>
                <w:szCs w:val="26"/>
              </w:rPr>
            </w:pPr>
            <w:r w:rsidRPr="00611BBF">
              <w:rPr>
                <w:rFonts w:ascii="Arabic Typesetting" w:hAnsi="Arabic Typesetting" w:cs="Arabic Typesetting"/>
                <w:b/>
                <w:bCs/>
                <w:sz w:val="26"/>
                <w:szCs w:val="26"/>
              </w:rPr>
              <w:t>2015</w:t>
            </w:r>
            <w:r w:rsidR="008126B6" w:rsidRPr="00611BBF">
              <w:rPr>
                <w:rFonts w:ascii="Arabic Typesetting" w:hAnsi="Arabic Typesetting" w:cs="Arabic Typesetting"/>
                <w:b/>
                <w:bCs/>
                <w:sz w:val="26"/>
                <w:szCs w:val="26"/>
              </w:rPr>
              <w:t>/</w:t>
            </w:r>
            <w:r w:rsidRPr="00611BBF">
              <w:rPr>
                <w:rFonts w:ascii="Arabic Typesetting" w:hAnsi="Arabic Typesetting" w:cs="Arabic Typesetting"/>
                <w:b/>
                <w:bCs/>
                <w:sz w:val="26"/>
                <w:szCs w:val="26"/>
              </w:rPr>
              <w:t>51</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HU</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هنغاريا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03.11.2006</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06.04.2011</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IL</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إسرائيل</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02.01.2013</w:t>
            </w:r>
          </w:p>
        </w:tc>
        <w:tc>
          <w:tcPr>
            <w:tcW w:w="690" w:type="pct"/>
            <w:tcBorders>
              <w:top w:val="single" w:sz="4" w:space="0" w:color="auto"/>
              <w:left w:val="nil"/>
              <w:bottom w:val="single" w:sz="4" w:space="0" w:color="auto"/>
              <w:right w:val="single" w:sz="4" w:space="0" w:color="auto"/>
            </w:tcBorders>
          </w:tcPr>
          <w:p w:rsidR="008126B6" w:rsidRPr="00042798" w:rsidRDefault="00042798" w:rsidP="00042798">
            <w:pPr>
              <w:jc w:val="center"/>
              <w:rPr>
                <w:rFonts w:ascii="Arabic Typesetting" w:hAnsi="Arabic Typesetting" w:cs="Arabic Typesetting"/>
                <w:b/>
                <w:bCs/>
                <w:sz w:val="26"/>
                <w:szCs w:val="26"/>
              </w:rPr>
            </w:pPr>
            <w:r w:rsidRPr="00042798">
              <w:rPr>
                <w:rFonts w:ascii="Arabic Typesetting" w:hAnsi="Arabic Typesetting" w:cs="Arabic Typesetting"/>
                <w:b/>
                <w:bCs/>
                <w:sz w:val="26"/>
                <w:szCs w:val="26"/>
              </w:rPr>
              <w:t>29</w:t>
            </w:r>
            <w:r w:rsidR="008126B6" w:rsidRPr="00042798">
              <w:rPr>
                <w:rFonts w:ascii="Arabic Typesetting" w:hAnsi="Arabic Typesetting" w:cs="Arabic Typesetting"/>
                <w:b/>
                <w:bCs/>
                <w:sz w:val="26"/>
                <w:szCs w:val="26"/>
              </w:rPr>
              <w:t>.</w:t>
            </w:r>
            <w:r w:rsidRPr="00042798">
              <w:rPr>
                <w:rFonts w:ascii="Arabic Typesetting" w:hAnsi="Arabic Typesetting" w:cs="Arabic Typesetting"/>
                <w:b/>
                <w:bCs/>
                <w:sz w:val="26"/>
                <w:szCs w:val="26"/>
              </w:rPr>
              <w:t>10</w:t>
            </w:r>
            <w:r w:rsidR="008126B6" w:rsidRPr="00042798">
              <w:rPr>
                <w:rFonts w:ascii="Arabic Typesetting" w:hAnsi="Arabic Typesetting" w:cs="Arabic Typesetting"/>
                <w:b/>
                <w:bCs/>
                <w:sz w:val="26"/>
                <w:szCs w:val="26"/>
              </w:rPr>
              <w:t>.</w:t>
            </w:r>
            <w:r w:rsidRPr="00042798">
              <w:rPr>
                <w:rFonts w:ascii="Arabic Typesetting" w:hAnsi="Arabic Typesetting" w:cs="Arabic Typesetting"/>
                <w:b/>
                <w:bCs/>
                <w:sz w:val="26"/>
                <w:szCs w:val="26"/>
              </w:rPr>
              <w:t>2015</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042798" w:rsidRDefault="00042798" w:rsidP="00042798">
            <w:pPr>
              <w:jc w:val="center"/>
              <w:rPr>
                <w:rFonts w:ascii="Arabic Typesetting" w:hAnsi="Arabic Typesetting" w:cs="Arabic Typesetting"/>
                <w:b/>
                <w:bCs/>
                <w:sz w:val="26"/>
                <w:szCs w:val="26"/>
              </w:rPr>
            </w:pPr>
            <w:r w:rsidRPr="00042798">
              <w:rPr>
                <w:rFonts w:ascii="Arabic Typesetting" w:hAnsi="Arabic Typesetting" w:cs="Arabic Typesetting"/>
                <w:b/>
                <w:bCs/>
                <w:sz w:val="26"/>
                <w:szCs w:val="26"/>
              </w:rPr>
              <w:t>2015</w:t>
            </w:r>
            <w:r w:rsidR="008126B6" w:rsidRPr="00042798">
              <w:rPr>
                <w:rFonts w:ascii="Arabic Typesetting" w:hAnsi="Arabic Typesetting" w:cs="Arabic Typesetting"/>
                <w:b/>
                <w:bCs/>
                <w:sz w:val="26"/>
                <w:szCs w:val="26"/>
              </w:rPr>
              <w:t>/</w:t>
            </w:r>
            <w:r w:rsidRPr="00042798">
              <w:rPr>
                <w:rFonts w:ascii="Arabic Typesetting" w:hAnsi="Arabic Typesetting" w:cs="Arabic Typesetting"/>
                <w:b/>
                <w:bCs/>
                <w:sz w:val="26"/>
                <w:szCs w:val="26"/>
              </w:rPr>
              <w:t>49</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lastRenderedPageBreak/>
              <w:t>JP</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اليابان</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01.01.2002</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31.01.2013</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2013/08</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KE</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كينيا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07.01.2004</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12.05.2006</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KR</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جمهورية كوريا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03.01.1997</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05.01.2010</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2007/44</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66191A" w:rsidRDefault="008126B6" w:rsidP="008126B6">
            <w:pPr>
              <w:bidi/>
              <w:rPr>
                <w:rFonts w:ascii="Arabic Typesetting" w:hAnsi="Arabic Typesetting" w:cs="Arabic Typesetting"/>
                <w:strike/>
                <w:sz w:val="26"/>
                <w:szCs w:val="26"/>
              </w:rPr>
            </w:pPr>
            <w:r w:rsidRPr="0066191A">
              <w:rPr>
                <w:rFonts w:ascii="Arabic Typesetting" w:hAnsi="Arabic Typesetting" w:cs="Arabic Typesetting"/>
                <w:strike/>
                <w:sz w:val="26"/>
                <w:szCs w:val="26"/>
              </w:rPr>
              <w:t>LT</w:t>
            </w:r>
          </w:p>
        </w:tc>
        <w:tc>
          <w:tcPr>
            <w:tcW w:w="1074" w:type="pct"/>
            <w:tcBorders>
              <w:top w:val="single" w:sz="4" w:space="0" w:color="auto"/>
              <w:left w:val="nil"/>
              <w:bottom w:val="single" w:sz="4" w:space="0" w:color="auto"/>
              <w:right w:val="single" w:sz="4" w:space="0" w:color="auto"/>
            </w:tcBorders>
            <w:noWrap/>
          </w:tcPr>
          <w:p w:rsidR="008126B6" w:rsidRPr="0066191A" w:rsidRDefault="008126B6" w:rsidP="008126B6">
            <w:pPr>
              <w:bidi/>
              <w:rPr>
                <w:rFonts w:ascii="Arabic Typesetting" w:hAnsi="Arabic Typesetting" w:cs="Arabic Typesetting"/>
                <w:strike/>
                <w:sz w:val="26"/>
                <w:szCs w:val="26"/>
              </w:rPr>
            </w:pPr>
            <w:proofErr w:type="gramStart"/>
            <w:r w:rsidRPr="0066191A">
              <w:rPr>
                <w:rFonts w:ascii="Arabic Typesetting" w:hAnsi="Arabic Typesetting" w:cs="Arabic Typesetting"/>
                <w:strike/>
                <w:sz w:val="26"/>
                <w:szCs w:val="26"/>
                <w:rtl/>
              </w:rPr>
              <w:t>ليتوانيا</w:t>
            </w:r>
            <w:proofErr w:type="gramEnd"/>
          </w:p>
        </w:tc>
        <w:tc>
          <w:tcPr>
            <w:tcW w:w="614" w:type="pct"/>
            <w:tcBorders>
              <w:top w:val="single" w:sz="4" w:space="0" w:color="auto"/>
              <w:left w:val="nil"/>
              <w:bottom w:val="single" w:sz="4" w:space="0" w:color="auto"/>
              <w:right w:val="single" w:sz="4" w:space="0" w:color="auto"/>
            </w:tcBorders>
          </w:tcPr>
          <w:p w:rsidR="008126B6" w:rsidRPr="0066191A" w:rsidRDefault="008126B6" w:rsidP="008126B6">
            <w:pPr>
              <w:jc w:val="center"/>
              <w:rPr>
                <w:rFonts w:ascii="Arabic Typesetting" w:hAnsi="Arabic Typesetting" w:cs="Arabic Typesetting"/>
                <w:strike/>
                <w:sz w:val="26"/>
                <w:szCs w:val="26"/>
              </w:rPr>
            </w:pPr>
            <w:r w:rsidRPr="0066191A">
              <w:rPr>
                <w:rFonts w:ascii="Arabic Typesetting" w:hAnsi="Arabic Typesetting" w:cs="Arabic Typesetting"/>
                <w:strike/>
                <w:sz w:val="26"/>
                <w:szCs w:val="26"/>
              </w:rPr>
              <w:t>12.04.1995</w:t>
            </w:r>
          </w:p>
        </w:tc>
        <w:tc>
          <w:tcPr>
            <w:tcW w:w="690" w:type="pct"/>
            <w:tcBorders>
              <w:top w:val="single" w:sz="4" w:space="0" w:color="auto"/>
              <w:left w:val="nil"/>
              <w:bottom w:val="single" w:sz="4" w:space="0" w:color="auto"/>
              <w:right w:val="single" w:sz="4" w:space="0" w:color="auto"/>
            </w:tcBorders>
          </w:tcPr>
          <w:p w:rsidR="008126B6" w:rsidRPr="0066191A" w:rsidRDefault="008126B6" w:rsidP="008126B6">
            <w:pPr>
              <w:jc w:val="center"/>
              <w:rPr>
                <w:rFonts w:ascii="Arabic Typesetting" w:hAnsi="Arabic Typesetting" w:cs="Arabic Typesetting"/>
                <w:strike/>
                <w:sz w:val="26"/>
                <w:szCs w:val="26"/>
              </w:rPr>
            </w:pPr>
            <w:r w:rsidRPr="0066191A">
              <w:rPr>
                <w:rFonts w:ascii="Arabic Typesetting" w:hAnsi="Arabic Typesetting" w:cs="Arabic Typesetting"/>
                <w:strike/>
                <w:sz w:val="26"/>
                <w:szCs w:val="26"/>
              </w:rPr>
              <w:t>08.03.2011</w:t>
            </w:r>
          </w:p>
        </w:tc>
        <w:tc>
          <w:tcPr>
            <w:tcW w:w="1229" w:type="pct"/>
            <w:tcBorders>
              <w:top w:val="single" w:sz="4" w:space="0" w:color="auto"/>
              <w:left w:val="nil"/>
              <w:bottom w:val="single" w:sz="4" w:space="0" w:color="auto"/>
              <w:right w:val="single" w:sz="4" w:space="0" w:color="auto"/>
            </w:tcBorders>
          </w:tcPr>
          <w:p w:rsidR="008126B6" w:rsidRPr="0066191A" w:rsidRDefault="008126B6" w:rsidP="008126B6">
            <w:pPr>
              <w:bidi/>
              <w:rPr>
                <w:rFonts w:ascii="Arabic Typesetting" w:hAnsi="Arabic Typesetting" w:cs="Arabic Typesetting"/>
                <w:strike/>
                <w:sz w:val="26"/>
                <w:szCs w:val="26"/>
              </w:rPr>
            </w:pPr>
            <w:r w:rsidRPr="0066191A">
              <w:rPr>
                <w:rFonts w:ascii="Arabic Typesetting" w:hAnsi="Arabic Typesetting" w:cs="Arabic Typesetting"/>
                <w:strike/>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66191A" w:rsidRDefault="008126B6" w:rsidP="008126B6">
            <w:pPr>
              <w:jc w:val="center"/>
              <w:rPr>
                <w:rFonts w:ascii="Arabic Typesetting" w:hAnsi="Arabic Typesetting" w:cs="Arabic Typesetting"/>
                <w:strike/>
                <w:sz w:val="26"/>
                <w:szCs w:val="26"/>
              </w:rPr>
            </w:pPr>
            <w:r w:rsidRPr="0066191A">
              <w:rPr>
                <w:rFonts w:ascii="Arabic Typesetting" w:hAnsi="Arabic Typesetting" w:cs="Arabic Typesetting"/>
                <w:strike/>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EF6A82" w:rsidRDefault="008126B6" w:rsidP="008126B6">
            <w:pPr>
              <w:bidi/>
              <w:rPr>
                <w:rFonts w:ascii="Arabic Typesetting" w:hAnsi="Arabic Typesetting" w:cs="Arabic Typesetting"/>
                <w:strike/>
                <w:sz w:val="26"/>
                <w:szCs w:val="26"/>
              </w:rPr>
            </w:pPr>
            <w:r w:rsidRPr="00EF6A82">
              <w:rPr>
                <w:rFonts w:ascii="Arabic Typesetting" w:hAnsi="Arabic Typesetting" w:cs="Arabic Typesetting"/>
                <w:strike/>
                <w:sz w:val="26"/>
                <w:szCs w:val="26"/>
              </w:rPr>
              <w:t>LV</w:t>
            </w:r>
          </w:p>
        </w:tc>
        <w:tc>
          <w:tcPr>
            <w:tcW w:w="1074" w:type="pct"/>
            <w:tcBorders>
              <w:top w:val="single" w:sz="4" w:space="0" w:color="auto"/>
              <w:left w:val="nil"/>
              <w:bottom w:val="single" w:sz="4" w:space="0" w:color="auto"/>
              <w:right w:val="single" w:sz="4" w:space="0" w:color="auto"/>
            </w:tcBorders>
            <w:noWrap/>
          </w:tcPr>
          <w:p w:rsidR="008126B6" w:rsidRPr="00EF6A82" w:rsidRDefault="008126B6" w:rsidP="008126B6">
            <w:pPr>
              <w:bidi/>
              <w:rPr>
                <w:rFonts w:ascii="Arabic Typesetting" w:hAnsi="Arabic Typesetting" w:cs="Arabic Typesetting"/>
                <w:strike/>
                <w:sz w:val="26"/>
                <w:szCs w:val="26"/>
              </w:rPr>
            </w:pPr>
            <w:r w:rsidRPr="00EF6A82">
              <w:rPr>
                <w:rFonts w:ascii="Arabic Typesetting" w:hAnsi="Arabic Typesetting" w:cs="Arabic Typesetting"/>
                <w:strike/>
                <w:sz w:val="26"/>
                <w:szCs w:val="26"/>
                <w:rtl/>
              </w:rPr>
              <w:t>لاتفيا</w:t>
            </w:r>
          </w:p>
        </w:tc>
        <w:tc>
          <w:tcPr>
            <w:tcW w:w="614" w:type="pct"/>
            <w:tcBorders>
              <w:top w:val="single" w:sz="4" w:space="0" w:color="auto"/>
              <w:left w:val="nil"/>
              <w:bottom w:val="single" w:sz="4" w:space="0" w:color="auto"/>
              <w:right w:val="single" w:sz="4" w:space="0" w:color="auto"/>
            </w:tcBorders>
          </w:tcPr>
          <w:p w:rsidR="008126B6" w:rsidRPr="00EF6A82" w:rsidRDefault="008126B6" w:rsidP="008126B6">
            <w:pPr>
              <w:jc w:val="center"/>
              <w:rPr>
                <w:rFonts w:ascii="Arabic Typesetting" w:hAnsi="Arabic Typesetting" w:cs="Arabic Typesetting"/>
                <w:strike/>
                <w:sz w:val="26"/>
                <w:szCs w:val="26"/>
              </w:rPr>
            </w:pPr>
            <w:r w:rsidRPr="00EF6A82">
              <w:rPr>
                <w:rFonts w:ascii="Arabic Typesetting" w:hAnsi="Arabic Typesetting" w:cs="Arabic Typesetting"/>
                <w:strike/>
                <w:sz w:val="26"/>
                <w:szCs w:val="26"/>
              </w:rPr>
              <w:t>22.11.2005</w:t>
            </w:r>
          </w:p>
        </w:tc>
        <w:tc>
          <w:tcPr>
            <w:tcW w:w="690" w:type="pct"/>
            <w:tcBorders>
              <w:top w:val="single" w:sz="4" w:space="0" w:color="auto"/>
              <w:left w:val="nil"/>
              <w:bottom w:val="single" w:sz="4" w:space="0" w:color="auto"/>
              <w:right w:val="single" w:sz="4" w:space="0" w:color="auto"/>
            </w:tcBorders>
          </w:tcPr>
          <w:p w:rsidR="008126B6" w:rsidRPr="00EF6A82" w:rsidRDefault="008126B6" w:rsidP="008126B6">
            <w:pPr>
              <w:jc w:val="center"/>
              <w:rPr>
                <w:rFonts w:ascii="Arabic Typesetting" w:hAnsi="Arabic Typesetting" w:cs="Arabic Typesetting"/>
                <w:strike/>
                <w:sz w:val="26"/>
                <w:szCs w:val="26"/>
              </w:rPr>
            </w:pPr>
            <w:r w:rsidRPr="00EF6A82">
              <w:rPr>
                <w:rFonts w:ascii="Arabic Typesetting" w:hAnsi="Arabic Typesetting" w:cs="Arabic Typesetting"/>
                <w:strike/>
                <w:sz w:val="26"/>
                <w:szCs w:val="26"/>
              </w:rPr>
              <w:t>10.06.2006</w:t>
            </w:r>
          </w:p>
        </w:tc>
        <w:tc>
          <w:tcPr>
            <w:tcW w:w="1229" w:type="pct"/>
            <w:tcBorders>
              <w:top w:val="single" w:sz="4" w:space="0" w:color="auto"/>
              <w:left w:val="nil"/>
              <w:bottom w:val="single" w:sz="4" w:space="0" w:color="auto"/>
              <w:right w:val="single" w:sz="4" w:space="0" w:color="auto"/>
            </w:tcBorders>
          </w:tcPr>
          <w:p w:rsidR="008126B6" w:rsidRPr="00EF6A82" w:rsidRDefault="008126B6" w:rsidP="008126B6">
            <w:pPr>
              <w:bidi/>
              <w:rPr>
                <w:rFonts w:ascii="Arabic Typesetting" w:hAnsi="Arabic Typesetting" w:cs="Arabic Typesetting"/>
                <w:strike/>
                <w:sz w:val="26"/>
                <w:szCs w:val="26"/>
              </w:rPr>
            </w:pPr>
            <w:r w:rsidRPr="00EF6A82">
              <w:rPr>
                <w:rFonts w:ascii="Arabic Typesetting" w:hAnsi="Arabic Typesetting" w:cs="Arabic Typesetting"/>
                <w:strike/>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EF6A82" w:rsidRDefault="008126B6" w:rsidP="008126B6">
            <w:pPr>
              <w:jc w:val="center"/>
              <w:rPr>
                <w:rFonts w:ascii="Arabic Typesetting" w:hAnsi="Arabic Typesetting" w:cs="Arabic Typesetting"/>
                <w:strike/>
                <w:sz w:val="26"/>
                <w:szCs w:val="26"/>
              </w:rPr>
            </w:pPr>
            <w:r w:rsidRPr="00EF6A82">
              <w:rPr>
                <w:rFonts w:ascii="Arabic Typesetting" w:hAnsi="Arabic Typesetting" w:cs="Arabic Typesetting"/>
                <w:strike/>
                <w:sz w:val="26"/>
                <w:szCs w:val="26"/>
              </w:rPr>
              <w:t>2007/44</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MD</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جمهورية مولدوفا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10.01.2008</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17.10.2008</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MX</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المكسيك</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21.12.2005</w:t>
            </w:r>
          </w:p>
        </w:tc>
        <w:tc>
          <w:tcPr>
            <w:tcW w:w="690"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09.12.2008</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MY</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ماليزيا</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09.03.2007</w:t>
            </w:r>
          </w:p>
        </w:tc>
        <w:tc>
          <w:tcPr>
            <w:tcW w:w="690"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30.09.2010</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2010/50</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NZ</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نيوزيلندا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01.05.2001</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30.11.2011</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PH</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الفلبين</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14.03.2002</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19.12.2008</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2009/43</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PL</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بولندا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22.12.2002</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31.05.2012</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2012/36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RO</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رومانيا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17.12.2004</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28.01.2008</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2009/43</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RU</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proofErr w:type="gramStart"/>
            <w:r w:rsidRPr="00CA4702">
              <w:rPr>
                <w:rFonts w:ascii="Arabic Typesetting" w:hAnsi="Arabic Typesetting" w:cs="Arabic Typesetting"/>
                <w:sz w:val="26"/>
                <w:szCs w:val="26"/>
                <w:rtl/>
              </w:rPr>
              <w:t>الاتحاد</w:t>
            </w:r>
            <w:proofErr w:type="gramEnd"/>
            <w:r w:rsidRPr="00CA4702">
              <w:rPr>
                <w:rFonts w:ascii="Arabic Typesetting" w:hAnsi="Arabic Typesetting" w:cs="Arabic Typesetting"/>
                <w:sz w:val="26"/>
                <w:szCs w:val="26"/>
                <w:rtl/>
              </w:rPr>
              <w:t xml:space="preserve"> الروسي</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24.03.2004</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31.10.2012</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2013/06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lastRenderedPageBreak/>
              <w:t>SE</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السويد</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18.08.1985</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07.07.2010</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5B7957" w:rsidRDefault="008126B6" w:rsidP="008126B6">
            <w:pPr>
              <w:bidi/>
              <w:rPr>
                <w:rFonts w:ascii="Arabic Typesetting" w:hAnsi="Arabic Typesetting" w:cs="Arabic Typesetting"/>
                <w:strike/>
                <w:sz w:val="26"/>
                <w:szCs w:val="26"/>
              </w:rPr>
            </w:pPr>
            <w:r w:rsidRPr="005B7957">
              <w:rPr>
                <w:rFonts w:ascii="Arabic Typesetting" w:hAnsi="Arabic Typesetting" w:cs="Arabic Typesetting"/>
                <w:strike/>
                <w:sz w:val="26"/>
                <w:szCs w:val="26"/>
              </w:rPr>
              <w:t>SI</w:t>
            </w:r>
          </w:p>
        </w:tc>
        <w:tc>
          <w:tcPr>
            <w:tcW w:w="1074" w:type="pct"/>
            <w:tcBorders>
              <w:top w:val="single" w:sz="4" w:space="0" w:color="auto"/>
              <w:left w:val="nil"/>
              <w:bottom w:val="single" w:sz="4" w:space="0" w:color="auto"/>
              <w:right w:val="single" w:sz="4" w:space="0" w:color="auto"/>
            </w:tcBorders>
            <w:noWrap/>
          </w:tcPr>
          <w:p w:rsidR="008126B6" w:rsidRPr="005B7957" w:rsidRDefault="008126B6" w:rsidP="008126B6">
            <w:pPr>
              <w:bidi/>
              <w:rPr>
                <w:rFonts w:ascii="Arabic Typesetting" w:hAnsi="Arabic Typesetting" w:cs="Arabic Typesetting"/>
                <w:strike/>
                <w:sz w:val="26"/>
                <w:szCs w:val="26"/>
              </w:rPr>
            </w:pPr>
            <w:r w:rsidRPr="005B7957">
              <w:rPr>
                <w:rFonts w:ascii="Arabic Typesetting" w:hAnsi="Arabic Typesetting" w:cs="Arabic Typesetting"/>
                <w:strike/>
                <w:sz w:val="26"/>
                <w:szCs w:val="26"/>
                <w:rtl/>
              </w:rPr>
              <w:t>سلوفينيا</w:t>
            </w:r>
          </w:p>
        </w:tc>
        <w:tc>
          <w:tcPr>
            <w:tcW w:w="614" w:type="pct"/>
            <w:tcBorders>
              <w:top w:val="single" w:sz="4" w:space="0" w:color="auto"/>
              <w:left w:val="nil"/>
              <w:bottom w:val="single" w:sz="4" w:space="0" w:color="auto"/>
              <w:right w:val="single" w:sz="4" w:space="0" w:color="auto"/>
            </w:tcBorders>
          </w:tcPr>
          <w:p w:rsidR="008126B6" w:rsidRPr="005B7957" w:rsidRDefault="008126B6" w:rsidP="008126B6">
            <w:pPr>
              <w:jc w:val="center"/>
              <w:rPr>
                <w:rFonts w:ascii="Arabic Typesetting" w:hAnsi="Arabic Typesetting" w:cs="Arabic Typesetting"/>
                <w:strike/>
                <w:sz w:val="26"/>
                <w:szCs w:val="26"/>
              </w:rPr>
            </w:pPr>
            <w:r w:rsidRPr="005B7957">
              <w:rPr>
                <w:rFonts w:ascii="Arabic Typesetting" w:hAnsi="Arabic Typesetting" w:cs="Arabic Typesetting"/>
                <w:strike/>
                <w:sz w:val="26"/>
                <w:szCs w:val="26"/>
              </w:rPr>
              <w:t>01.01.2001</w:t>
            </w:r>
          </w:p>
        </w:tc>
        <w:tc>
          <w:tcPr>
            <w:tcW w:w="690" w:type="pct"/>
            <w:tcBorders>
              <w:top w:val="single" w:sz="4" w:space="0" w:color="auto"/>
              <w:left w:val="nil"/>
              <w:bottom w:val="single" w:sz="4" w:space="0" w:color="auto"/>
              <w:right w:val="single" w:sz="4" w:space="0" w:color="auto"/>
            </w:tcBorders>
          </w:tcPr>
          <w:p w:rsidR="008126B6" w:rsidRPr="005B7957" w:rsidRDefault="008126B6" w:rsidP="008126B6">
            <w:pPr>
              <w:jc w:val="center"/>
              <w:rPr>
                <w:rFonts w:ascii="Arabic Typesetting" w:hAnsi="Arabic Typesetting" w:cs="Arabic Typesetting"/>
                <w:strike/>
                <w:sz w:val="26"/>
                <w:szCs w:val="26"/>
              </w:rPr>
            </w:pPr>
            <w:r w:rsidRPr="005B7957">
              <w:rPr>
                <w:rFonts w:ascii="Arabic Typesetting" w:hAnsi="Arabic Typesetting" w:cs="Arabic Typesetting"/>
                <w:strike/>
                <w:sz w:val="26"/>
                <w:szCs w:val="26"/>
              </w:rPr>
              <w:t>18.10.2011</w:t>
            </w:r>
          </w:p>
        </w:tc>
        <w:tc>
          <w:tcPr>
            <w:tcW w:w="1229" w:type="pct"/>
            <w:tcBorders>
              <w:top w:val="single" w:sz="4" w:space="0" w:color="auto"/>
              <w:left w:val="nil"/>
              <w:bottom w:val="single" w:sz="4" w:space="0" w:color="auto"/>
              <w:right w:val="single" w:sz="4" w:space="0" w:color="auto"/>
            </w:tcBorders>
          </w:tcPr>
          <w:p w:rsidR="008126B6" w:rsidRPr="005B7957" w:rsidRDefault="008126B6" w:rsidP="008126B6">
            <w:pPr>
              <w:bidi/>
              <w:rPr>
                <w:rFonts w:ascii="Arabic Typesetting" w:hAnsi="Arabic Typesetting" w:cs="Arabic Typesetting"/>
                <w:strike/>
                <w:sz w:val="26"/>
                <w:szCs w:val="26"/>
              </w:rPr>
            </w:pPr>
            <w:r w:rsidRPr="005B7957">
              <w:rPr>
                <w:rFonts w:ascii="Arabic Typesetting" w:hAnsi="Arabic Typesetting" w:cs="Arabic Typesetting"/>
                <w:strike/>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5B7957" w:rsidRDefault="008126B6" w:rsidP="008126B6">
            <w:pPr>
              <w:jc w:val="center"/>
              <w:rPr>
                <w:rFonts w:ascii="Arabic Typesetting" w:hAnsi="Arabic Typesetting" w:cs="Arabic Typesetting"/>
                <w:strike/>
                <w:sz w:val="26"/>
                <w:szCs w:val="26"/>
              </w:rPr>
            </w:pPr>
            <w:r w:rsidRPr="005B7957">
              <w:rPr>
                <w:rFonts w:ascii="Arabic Typesetting" w:hAnsi="Arabic Typesetting" w:cs="Arabic Typesetting"/>
                <w:strike/>
                <w:sz w:val="26"/>
                <w:szCs w:val="26"/>
              </w:rPr>
              <w:t>2012/08</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SK</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سلوفاكيا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10.09.2008</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09.06.2011</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TH</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تايلند</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01.09.2010</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27.01.2014</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2014/02</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UA</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أوكرانيا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20.07.2005</w:t>
            </w:r>
          </w:p>
        </w:tc>
        <w:tc>
          <w:tcPr>
            <w:tcW w:w="690" w:type="pct"/>
            <w:tcBorders>
              <w:top w:val="single" w:sz="4" w:space="0" w:color="auto"/>
              <w:left w:val="nil"/>
              <w:bottom w:val="single" w:sz="4" w:space="0" w:color="auto"/>
              <w:right w:val="single" w:sz="4" w:space="0" w:color="auto"/>
            </w:tcBorders>
          </w:tcPr>
          <w:p w:rsidR="008126B6" w:rsidRPr="005B7957" w:rsidRDefault="005B7957" w:rsidP="005B7957">
            <w:pPr>
              <w:jc w:val="center"/>
              <w:rPr>
                <w:rFonts w:ascii="Arabic Typesetting" w:hAnsi="Arabic Typesetting" w:cs="Arabic Typesetting"/>
                <w:b/>
                <w:bCs/>
                <w:sz w:val="26"/>
                <w:szCs w:val="26"/>
              </w:rPr>
            </w:pPr>
            <w:r w:rsidRPr="005B7957">
              <w:rPr>
                <w:rFonts w:ascii="Arabic Typesetting" w:hAnsi="Arabic Typesetting" w:cs="Arabic Typesetting"/>
                <w:b/>
                <w:bCs/>
                <w:sz w:val="26"/>
                <w:szCs w:val="26"/>
              </w:rPr>
              <w:t>21</w:t>
            </w:r>
            <w:r w:rsidR="008126B6" w:rsidRPr="005B7957">
              <w:rPr>
                <w:rFonts w:ascii="Arabic Typesetting" w:hAnsi="Arabic Typesetting" w:cs="Arabic Typesetting"/>
                <w:b/>
                <w:bCs/>
                <w:sz w:val="26"/>
                <w:szCs w:val="26"/>
              </w:rPr>
              <w:t>.</w:t>
            </w:r>
            <w:r w:rsidRPr="005B7957">
              <w:rPr>
                <w:rFonts w:ascii="Arabic Typesetting" w:hAnsi="Arabic Typesetting" w:cs="Arabic Typesetting"/>
                <w:b/>
                <w:bCs/>
                <w:sz w:val="26"/>
                <w:szCs w:val="26"/>
              </w:rPr>
              <w:t>08</w:t>
            </w:r>
            <w:r w:rsidR="008126B6" w:rsidRPr="005B7957">
              <w:rPr>
                <w:rFonts w:ascii="Arabic Typesetting" w:hAnsi="Arabic Typesetting" w:cs="Arabic Typesetting"/>
                <w:b/>
                <w:bCs/>
                <w:sz w:val="26"/>
                <w:szCs w:val="26"/>
              </w:rPr>
              <w:t>.</w:t>
            </w:r>
            <w:r w:rsidRPr="005B7957">
              <w:rPr>
                <w:rFonts w:ascii="Arabic Typesetting" w:hAnsi="Arabic Typesetting" w:cs="Arabic Typesetting"/>
                <w:b/>
                <w:bCs/>
                <w:sz w:val="26"/>
                <w:szCs w:val="26"/>
              </w:rPr>
              <w:t>2014</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5B7957" w:rsidRDefault="008126B6" w:rsidP="005B7957">
            <w:pPr>
              <w:jc w:val="center"/>
              <w:rPr>
                <w:rFonts w:ascii="Arabic Typesetting" w:hAnsi="Arabic Typesetting" w:cs="Arabic Typesetting"/>
                <w:b/>
                <w:bCs/>
                <w:sz w:val="26"/>
                <w:szCs w:val="26"/>
              </w:rPr>
            </w:pPr>
            <w:r w:rsidRPr="005B7957">
              <w:rPr>
                <w:rFonts w:ascii="Arabic Typesetting" w:hAnsi="Arabic Typesetting" w:cs="Arabic Typesetting"/>
                <w:b/>
                <w:bCs/>
                <w:sz w:val="26"/>
                <w:szCs w:val="26"/>
              </w:rPr>
              <w:t>2014/</w:t>
            </w:r>
            <w:r w:rsidR="005B7957" w:rsidRPr="005B7957">
              <w:rPr>
                <w:rFonts w:ascii="Arabic Typesetting" w:hAnsi="Arabic Typesetting" w:cs="Arabic Typesetting"/>
                <w:b/>
                <w:bCs/>
                <w:sz w:val="26"/>
                <w:szCs w:val="26"/>
              </w:rPr>
              <w:t>42</w:t>
            </w:r>
          </w:p>
        </w:tc>
      </w:tr>
      <w:tr w:rsidR="008126B6" w:rsidRPr="00CA4702" w:rsidTr="008126B6">
        <w:trPr>
          <w:cantSplit/>
          <w:trHeight w:hRule="exact" w:val="975"/>
        </w:trPr>
        <w:tc>
          <w:tcPr>
            <w:tcW w:w="321" w:type="pct"/>
            <w:tcBorders>
              <w:top w:val="single" w:sz="4" w:space="0" w:color="auto"/>
              <w:left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 xml:space="preserve">US </w:t>
            </w:r>
          </w:p>
        </w:tc>
        <w:tc>
          <w:tcPr>
            <w:tcW w:w="1074" w:type="pct"/>
            <w:tcBorders>
              <w:top w:val="single" w:sz="4" w:space="0" w:color="auto"/>
              <w:left w:val="nil"/>
              <w:right w:val="single" w:sz="4" w:space="0" w:color="auto"/>
            </w:tcBorders>
            <w:noWrap/>
          </w:tcPr>
          <w:p w:rsidR="008126B6" w:rsidRPr="00CA4702" w:rsidRDefault="008126B6" w:rsidP="008126B6">
            <w:pPr>
              <w:bidi/>
              <w:rPr>
                <w:rFonts w:ascii="Arabic Typesetting" w:hAnsi="Arabic Typesetting" w:cs="Arabic Typesetting"/>
                <w:sz w:val="26"/>
                <w:szCs w:val="26"/>
              </w:rPr>
            </w:pPr>
            <w:proofErr w:type="gramStart"/>
            <w:r w:rsidRPr="00CA4702">
              <w:rPr>
                <w:rFonts w:ascii="Arabic Typesetting" w:hAnsi="Arabic Typesetting" w:cs="Arabic Typesetting"/>
                <w:sz w:val="26"/>
                <w:szCs w:val="26"/>
                <w:rtl/>
              </w:rPr>
              <w:t>الولايات</w:t>
            </w:r>
            <w:proofErr w:type="gramEnd"/>
            <w:r w:rsidRPr="00CA4702">
              <w:rPr>
                <w:rFonts w:ascii="Arabic Typesetting" w:hAnsi="Arabic Typesetting" w:cs="Arabic Typesetting"/>
                <w:sz w:val="26"/>
                <w:szCs w:val="26"/>
                <w:rtl/>
              </w:rPr>
              <w:t xml:space="preserve"> المتحدة الأمريكية</w:t>
            </w:r>
          </w:p>
        </w:tc>
        <w:tc>
          <w:tcPr>
            <w:tcW w:w="614" w:type="pct"/>
            <w:tcBorders>
              <w:top w:val="single" w:sz="4" w:space="0" w:color="auto"/>
              <w:left w:val="nil"/>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14.07.1992</w:t>
            </w:r>
          </w:p>
        </w:tc>
        <w:tc>
          <w:tcPr>
            <w:tcW w:w="690" w:type="pct"/>
            <w:tcBorders>
              <w:top w:val="single" w:sz="4" w:space="0" w:color="auto"/>
              <w:left w:val="nil"/>
              <w:right w:val="single" w:sz="4" w:space="0" w:color="auto"/>
            </w:tcBorders>
          </w:tcPr>
          <w:p w:rsidR="008126B6" w:rsidRPr="009546A3" w:rsidRDefault="009546A3" w:rsidP="009546A3">
            <w:pPr>
              <w:jc w:val="center"/>
              <w:rPr>
                <w:rFonts w:ascii="Arabic Typesetting" w:hAnsi="Arabic Typesetting" w:cs="Arabic Typesetting"/>
                <w:b/>
                <w:bCs/>
                <w:sz w:val="26"/>
                <w:szCs w:val="26"/>
              </w:rPr>
            </w:pPr>
            <w:r w:rsidRPr="009546A3">
              <w:rPr>
                <w:rFonts w:ascii="Arabic Typesetting" w:hAnsi="Arabic Typesetting" w:cs="Arabic Typesetting"/>
                <w:b/>
                <w:bCs/>
                <w:sz w:val="26"/>
                <w:szCs w:val="26"/>
              </w:rPr>
              <w:t>28</w:t>
            </w:r>
            <w:r w:rsidR="008126B6" w:rsidRPr="009546A3">
              <w:rPr>
                <w:rFonts w:ascii="Arabic Typesetting" w:hAnsi="Arabic Typesetting" w:cs="Arabic Typesetting"/>
                <w:b/>
                <w:bCs/>
                <w:sz w:val="26"/>
                <w:szCs w:val="26"/>
              </w:rPr>
              <w:t>.</w:t>
            </w:r>
            <w:r w:rsidRPr="009546A3">
              <w:rPr>
                <w:rFonts w:ascii="Arabic Typesetting" w:hAnsi="Arabic Typesetting" w:cs="Arabic Typesetting"/>
                <w:b/>
                <w:bCs/>
                <w:sz w:val="26"/>
                <w:szCs w:val="26"/>
              </w:rPr>
              <w:t>08</w:t>
            </w:r>
            <w:r w:rsidR="008126B6" w:rsidRPr="009546A3">
              <w:rPr>
                <w:rFonts w:ascii="Arabic Typesetting" w:hAnsi="Arabic Typesetting" w:cs="Arabic Typesetting"/>
                <w:b/>
                <w:bCs/>
                <w:sz w:val="26"/>
                <w:szCs w:val="26"/>
              </w:rPr>
              <w:t>.</w:t>
            </w:r>
            <w:r w:rsidRPr="009546A3">
              <w:rPr>
                <w:rFonts w:ascii="Arabic Typesetting" w:hAnsi="Arabic Typesetting" w:cs="Arabic Typesetting"/>
                <w:b/>
                <w:bCs/>
                <w:sz w:val="26"/>
                <w:szCs w:val="26"/>
              </w:rPr>
              <w:t>2015</w:t>
            </w:r>
          </w:p>
        </w:tc>
        <w:tc>
          <w:tcPr>
            <w:tcW w:w="1229" w:type="pct"/>
            <w:tcBorders>
              <w:top w:val="single" w:sz="4" w:space="0" w:color="auto"/>
              <w:left w:val="nil"/>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9546A3" w:rsidRDefault="009546A3" w:rsidP="009546A3">
            <w:pPr>
              <w:jc w:val="center"/>
              <w:rPr>
                <w:rFonts w:ascii="Arabic Typesetting" w:hAnsi="Arabic Typesetting" w:cs="Arabic Typesetting"/>
                <w:b/>
                <w:bCs/>
                <w:sz w:val="26"/>
                <w:szCs w:val="26"/>
              </w:rPr>
            </w:pPr>
            <w:r w:rsidRPr="009546A3">
              <w:rPr>
                <w:rFonts w:ascii="Arabic Typesetting" w:hAnsi="Arabic Typesetting" w:cs="Arabic Typesetting"/>
                <w:b/>
                <w:bCs/>
                <w:sz w:val="26"/>
                <w:szCs w:val="26"/>
              </w:rPr>
              <w:t>2015</w:t>
            </w:r>
            <w:r w:rsidR="008126B6" w:rsidRPr="009546A3">
              <w:rPr>
                <w:rFonts w:ascii="Arabic Typesetting" w:hAnsi="Arabic Typesetting" w:cs="Arabic Typesetting"/>
                <w:b/>
                <w:bCs/>
                <w:sz w:val="26"/>
                <w:szCs w:val="26"/>
              </w:rPr>
              <w:t>/</w:t>
            </w:r>
            <w:r w:rsidRPr="009546A3">
              <w:rPr>
                <w:rFonts w:ascii="Arabic Typesetting" w:hAnsi="Arabic Typesetting" w:cs="Arabic Typesetting"/>
                <w:b/>
                <w:bCs/>
                <w:sz w:val="26"/>
                <w:szCs w:val="26"/>
              </w:rPr>
              <w:t>51</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UZ</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أوزبكستان</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02.01.2001</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23.06.2006</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2006/37</w:t>
            </w:r>
          </w:p>
        </w:tc>
      </w:tr>
      <w:tr w:rsidR="008126B6" w:rsidRPr="00CA4702" w:rsidTr="008126B6">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Pr>
              <w:t>ZA</w:t>
            </w:r>
          </w:p>
        </w:tc>
        <w:tc>
          <w:tcPr>
            <w:tcW w:w="1074" w:type="pct"/>
            <w:tcBorders>
              <w:top w:val="single" w:sz="4" w:space="0" w:color="auto"/>
              <w:left w:val="nil"/>
              <w:bottom w:val="single" w:sz="4" w:space="0" w:color="auto"/>
              <w:right w:val="single" w:sz="4" w:space="0" w:color="auto"/>
            </w:tcBorders>
            <w:noWrap/>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جنوب أفريقيا</w:t>
            </w:r>
          </w:p>
        </w:tc>
        <w:tc>
          <w:tcPr>
            <w:tcW w:w="614"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21.12.1999</w:t>
            </w:r>
          </w:p>
        </w:tc>
        <w:tc>
          <w:tcPr>
            <w:tcW w:w="690" w:type="pct"/>
            <w:tcBorders>
              <w:top w:val="single" w:sz="4" w:space="0" w:color="auto"/>
              <w:left w:val="nil"/>
              <w:bottom w:val="single" w:sz="4" w:space="0" w:color="auto"/>
              <w:right w:val="single" w:sz="4" w:space="0" w:color="auto"/>
            </w:tcBorders>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07.02.2008</w:t>
            </w:r>
          </w:p>
        </w:tc>
        <w:tc>
          <w:tcPr>
            <w:tcW w:w="1229" w:type="pct"/>
            <w:tcBorders>
              <w:top w:val="single" w:sz="4" w:space="0" w:color="auto"/>
              <w:left w:val="nil"/>
              <w:bottom w:val="single" w:sz="4" w:space="0" w:color="auto"/>
              <w:right w:val="single" w:sz="4" w:space="0" w:color="auto"/>
            </w:tcBorders>
          </w:tcPr>
          <w:p w:rsidR="008126B6" w:rsidRPr="00CA4702" w:rsidRDefault="008126B6" w:rsidP="008126B6">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A4702" w:rsidRDefault="008126B6" w:rsidP="008126B6">
            <w:pPr>
              <w:jc w:val="center"/>
              <w:rPr>
                <w:rFonts w:ascii="Arabic Typesetting" w:hAnsi="Arabic Typesetting" w:cs="Arabic Typesetting"/>
                <w:sz w:val="26"/>
                <w:szCs w:val="26"/>
              </w:rPr>
            </w:pPr>
            <w:r w:rsidRPr="00CA4702">
              <w:rPr>
                <w:rFonts w:ascii="Arabic Typesetting" w:hAnsi="Arabic Typesetting" w:cs="Arabic Typesetting"/>
                <w:sz w:val="26"/>
                <w:szCs w:val="26"/>
              </w:rPr>
              <w:t>2009/43</w:t>
            </w:r>
          </w:p>
        </w:tc>
      </w:tr>
    </w:tbl>
    <w:p w:rsidR="008126B6" w:rsidRDefault="008126B6" w:rsidP="008126B6">
      <w:pPr>
        <w:pStyle w:val="NormalParaAR"/>
        <w:keepNext/>
        <w:rPr>
          <w:sz w:val="40"/>
          <w:szCs w:val="40"/>
          <w:rtl/>
        </w:rPr>
      </w:pPr>
    </w:p>
    <w:p w:rsidR="008126B6" w:rsidRDefault="008126B6" w:rsidP="008126B6">
      <w:pPr>
        <w:pStyle w:val="EndofDocumentAR"/>
        <w:rPr>
          <w:rtl/>
        </w:rPr>
        <w:sectPr w:rsidR="008126B6" w:rsidSect="00607736">
          <w:headerReference w:type="default" r:id="rId10"/>
          <w:headerReference w:type="first" r:id="rId11"/>
          <w:pgSz w:w="11907" w:h="16840" w:code="9"/>
          <w:pgMar w:top="567" w:right="1418" w:bottom="1418" w:left="1134" w:header="510" w:footer="1021" w:gutter="0"/>
          <w:cols w:space="720"/>
          <w:titlePg/>
          <w:docGrid w:linePitch="299"/>
        </w:sectPr>
      </w:pPr>
    </w:p>
    <w:p w:rsidR="008126B6" w:rsidRDefault="008126B6" w:rsidP="00EC6C8C">
      <w:pPr>
        <w:pStyle w:val="Heading2"/>
        <w:rPr>
          <w:rtl/>
        </w:rPr>
      </w:pPr>
      <w:r>
        <w:rPr>
          <w:rFonts w:hint="cs"/>
          <w:rtl/>
        </w:rPr>
        <w:lastRenderedPageBreak/>
        <w:t>ال</w:t>
      </w:r>
      <w:r w:rsidRPr="00AD5F5D">
        <w:rPr>
          <w:rFonts w:hint="cs"/>
          <w:rtl/>
        </w:rPr>
        <w:t>ملحق</w:t>
      </w:r>
      <w:r>
        <w:rPr>
          <w:rFonts w:hint="cs"/>
          <w:rtl/>
        </w:rPr>
        <w:t xml:space="preserve"> 2</w:t>
      </w:r>
      <w:r w:rsidRPr="00AD5F5D">
        <w:rPr>
          <w:rFonts w:hint="cs"/>
          <w:rtl/>
        </w:rPr>
        <w:t xml:space="preserve">: </w:t>
      </w:r>
      <w:r>
        <w:rPr>
          <w:rFonts w:hint="cs"/>
          <w:rtl/>
        </w:rPr>
        <w:t xml:space="preserve">مضمون قاعدة البيانات العالمية بشأن الوضع القانوني - </w:t>
      </w:r>
      <w:r w:rsidR="00EC6C8C" w:rsidRPr="00EC6C8C">
        <w:rPr>
          <w:rFonts w:hint="cs"/>
          <w:rtl/>
        </w:rPr>
        <w:t xml:space="preserve">البيانات </w:t>
      </w:r>
      <w:r w:rsidR="00EC6C8C">
        <w:rPr>
          <w:rFonts w:hint="cs"/>
          <w:rtl/>
        </w:rPr>
        <w:t xml:space="preserve">التي أدرجها مباشرة المكتب الأوروبي للبراءات </w:t>
      </w:r>
      <w:r w:rsidR="00EC6C8C" w:rsidRPr="00EC6C8C">
        <w:rPr>
          <w:rFonts w:hint="cs"/>
          <w:rtl/>
        </w:rPr>
        <w:t>عن دخول الطلبات الدولية في المرحلة الوطنية بناء على معاهدة التعاون بشأن البراءات</w:t>
      </w:r>
    </w:p>
    <w:p w:rsidR="0038510F" w:rsidRDefault="0038510F" w:rsidP="0038510F">
      <w:pPr>
        <w:pStyle w:val="NormalParaAR"/>
        <w:rPr>
          <w:rtl/>
          <w:lang w:val="fr-CH"/>
        </w:rPr>
      </w:pPr>
      <w:r>
        <w:rPr>
          <w:rFonts w:hint="cs"/>
          <w:rtl/>
          <w:lang w:val="fr-CH"/>
        </w:rPr>
        <w:t>ترد التحديثات المُدخلة على تقرير عام</w:t>
      </w:r>
      <w:r>
        <w:rPr>
          <w:rFonts w:hint="eastAsia"/>
          <w:rtl/>
          <w:lang w:val="fr-CH"/>
        </w:rPr>
        <w:t> </w:t>
      </w:r>
      <w:r>
        <w:rPr>
          <w:rFonts w:hint="cs"/>
          <w:rtl/>
          <w:lang w:val="fr-CH"/>
        </w:rPr>
        <w:t>2014 بخط مضخّم</w:t>
      </w:r>
    </w:p>
    <w:p w:rsidR="00EC6C8C" w:rsidRPr="00345C7D" w:rsidRDefault="00EC6C8C" w:rsidP="00EC6C8C">
      <w:pPr>
        <w:pStyle w:val="NormalParaAR"/>
        <w:rPr>
          <w:rtl/>
          <w:lang w:val="fr-CH"/>
        </w:rPr>
      </w:pPr>
      <w:r>
        <w:rPr>
          <w:rFonts w:hint="cs"/>
          <w:rtl/>
          <w:lang w:val="fr-CH"/>
        </w:rPr>
        <w:t>أزيلت بيانات ليتوانيا ولاتفيا وسلوفينيا من الجدول نتيجة غلق المسار المباشر لمعاهدة التعاون بشأن البراءات؛ والبيانات ذات الصلة متاحة عبر مسار البراءات الأوروبي. وأزيلت بيانات الولايات المتحدة ونيوزيلندا من الجدول لأن تلك البيانات تُقدم إلى المكتب الأوروبي للبراءات من الويبو.</w:t>
      </w:r>
    </w:p>
    <w:p w:rsidR="008126B6" w:rsidRDefault="008126B6" w:rsidP="001C3A2B">
      <w:pPr>
        <w:pStyle w:val="NormalParaAR"/>
        <w:spacing w:after="0"/>
        <w:ind w:left="6825"/>
        <w:rPr>
          <w:rtl/>
        </w:rPr>
      </w:pPr>
      <w:r w:rsidRPr="00DC060B">
        <w:rPr>
          <w:rFonts w:hint="cs"/>
          <w:b/>
          <w:bCs/>
          <w:rtl/>
        </w:rPr>
        <w:t>الأسبوع</w:t>
      </w:r>
      <w:r w:rsidRPr="00AD5F5D">
        <w:rPr>
          <w:rFonts w:hint="cs"/>
          <w:rtl/>
        </w:rPr>
        <w:t>:</w:t>
      </w:r>
      <w:r>
        <w:rPr>
          <w:rFonts w:hint="cs"/>
          <w:rtl/>
        </w:rPr>
        <w:t xml:space="preserve"> </w:t>
      </w:r>
      <w:r w:rsidR="001C3A2B">
        <w:rPr>
          <w:rFonts w:hint="cs"/>
          <w:rtl/>
        </w:rPr>
        <w:t>2016</w:t>
      </w:r>
      <w:r w:rsidRPr="007F62C2">
        <w:rPr>
          <w:rtl/>
        </w:rPr>
        <w:t>/</w:t>
      </w:r>
      <w:r w:rsidR="001C3A2B">
        <w:rPr>
          <w:rFonts w:hint="cs"/>
          <w:rtl/>
        </w:rPr>
        <w:t>05</w:t>
      </w:r>
    </w:p>
    <w:p w:rsidR="008126B6" w:rsidRPr="007F62C2" w:rsidRDefault="008126B6" w:rsidP="001C3A2B">
      <w:pPr>
        <w:pStyle w:val="NormalParaAR"/>
        <w:spacing w:after="120"/>
        <w:ind w:left="6827"/>
        <w:rPr>
          <w:rtl/>
        </w:rPr>
      </w:pPr>
      <w:r w:rsidRPr="00DC060B">
        <w:rPr>
          <w:rFonts w:hint="cs"/>
          <w:b/>
          <w:bCs/>
          <w:rtl/>
        </w:rPr>
        <w:t>الإصدار</w:t>
      </w:r>
      <w:r>
        <w:rPr>
          <w:rFonts w:hint="cs"/>
          <w:rtl/>
        </w:rPr>
        <w:t>:</w:t>
      </w:r>
      <w:r w:rsidRPr="007F62C2">
        <w:t xml:space="preserve"> </w:t>
      </w:r>
      <w:r w:rsidR="001C3A2B">
        <w:rPr>
          <w:rFonts w:hint="cs"/>
          <w:rtl/>
        </w:rPr>
        <w:t>2016</w:t>
      </w:r>
      <w:r>
        <w:rPr>
          <w:rFonts w:hint="cs"/>
          <w:rtl/>
        </w:rPr>
        <w:t>.</w:t>
      </w:r>
      <w:r w:rsidR="001C3A2B">
        <w:rPr>
          <w:rFonts w:hint="cs"/>
          <w:rtl/>
        </w:rPr>
        <w:t>02</w:t>
      </w:r>
      <w:r>
        <w:rPr>
          <w:rFonts w:hint="cs"/>
          <w:rtl/>
        </w:rPr>
        <w:t>.</w:t>
      </w:r>
      <w:r w:rsidR="001C3A2B">
        <w:rPr>
          <w:rFonts w:hint="cs"/>
          <w:rtl/>
        </w:rPr>
        <w:t>05</w:t>
      </w:r>
    </w:p>
    <w:tbl>
      <w:tblPr>
        <w:bidiVisual/>
        <w:tblW w:w="4910" w:type="pct"/>
        <w:tblLayout w:type="fixed"/>
        <w:tblCellMar>
          <w:left w:w="28" w:type="dxa"/>
          <w:right w:w="28" w:type="dxa"/>
        </w:tblCellMar>
        <w:tblLook w:val="0000" w:firstRow="0" w:lastRow="0" w:firstColumn="0" w:lastColumn="0" w:noHBand="0" w:noVBand="0"/>
      </w:tblPr>
      <w:tblGrid>
        <w:gridCol w:w="594"/>
        <w:gridCol w:w="1985"/>
        <w:gridCol w:w="1135"/>
        <w:gridCol w:w="1275"/>
        <w:gridCol w:w="2272"/>
        <w:gridCol w:w="1981"/>
      </w:tblGrid>
      <w:tr w:rsidR="008126B6" w:rsidRPr="005F7F2F" w:rsidTr="008126B6">
        <w:trPr>
          <w:cantSplit/>
          <w:trHeight w:val="525"/>
          <w:tblHeader/>
        </w:trPr>
        <w:tc>
          <w:tcPr>
            <w:tcW w:w="321" w:type="pct"/>
            <w:tcBorders>
              <w:top w:val="single" w:sz="4" w:space="0" w:color="auto"/>
              <w:left w:val="single" w:sz="4" w:space="0" w:color="auto"/>
              <w:bottom w:val="single" w:sz="4" w:space="0" w:color="auto"/>
              <w:right w:val="single" w:sz="4" w:space="0" w:color="auto"/>
            </w:tcBorders>
            <w:shd w:val="pct15" w:color="auto" w:fill="FFFFFF"/>
            <w:noWrap/>
            <w:vAlign w:val="center"/>
          </w:tcPr>
          <w:p w:rsidR="008126B6" w:rsidRPr="005F7F2F" w:rsidRDefault="008126B6" w:rsidP="008126B6">
            <w:pPr>
              <w:bidi/>
              <w:spacing w:beforeLines="20" w:before="48" w:afterLines="20" w:after="48"/>
              <w:jc w:val="center"/>
              <w:rPr>
                <w:rFonts w:ascii="Arabic Typesetting" w:hAnsi="Arabic Typesetting" w:cs="Arabic Typesetting"/>
                <w:b/>
                <w:bCs/>
                <w:sz w:val="26"/>
                <w:szCs w:val="26"/>
              </w:rPr>
            </w:pPr>
            <w:r w:rsidRPr="001A348E">
              <w:rPr>
                <w:rFonts w:ascii="Arabic Typesetting" w:hAnsi="Arabic Typesetting" w:cs="Arabic Typesetting"/>
                <w:b/>
                <w:bCs/>
                <w:sz w:val="26"/>
                <w:szCs w:val="26"/>
                <w:rtl/>
              </w:rPr>
              <w:t>رمز البلد</w:t>
            </w:r>
          </w:p>
        </w:tc>
        <w:tc>
          <w:tcPr>
            <w:tcW w:w="1074" w:type="pct"/>
            <w:tcBorders>
              <w:top w:val="single" w:sz="4" w:space="0" w:color="auto"/>
              <w:left w:val="nil"/>
              <w:bottom w:val="single" w:sz="4" w:space="0" w:color="auto"/>
              <w:right w:val="single" w:sz="4" w:space="0" w:color="auto"/>
            </w:tcBorders>
            <w:shd w:val="pct15" w:color="auto" w:fill="FFFFFF"/>
            <w:vAlign w:val="center"/>
          </w:tcPr>
          <w:p w:rsidR="008126B6" w:rsidRPr="005F7F2F" w:rsidRDefault="008126B6" w:rsidP="008126B6">
            <w:pPr>
              <w:bidi/>
              <w:spacing w:beforeLines="20" w:before="48" w:afterLines="20" w:after="48"/>
              <w:jc w:val="center"/>
              <w:rPr>
                <w:rFonts w:ascii="Arabic Typesetting" w:hAnsi="Arabic Typesetting" w:cs="Arabic Typesetting"/>
                <w:b/>
                <w:bCs/>
                <w:sz w:val="26"/>
                <w:szCs w:val="26"/>
              </w:rPr>
            </w:pPr>
            <w:r w:rsidRPr="001A348E">
              <w:rPr>
                <w:rFonts w:ascii="Arabic Typesetting" w:hAnsi="Arabic Typesetting" w:cs="Arabic Typesetting"/>
                <w:b/>
                <w:bCs/>
                <w:sz w:val="26"/>
                <w:szCs w:val="26"/>
                <w:rtl/>
              </w:rPr>
              <w:t>البلد</w:t>
            </w:r>
          </w:p>
        </w:tc>
        <w:tc>
          <w:tcPr>
            <w:tcW w:w="614" w:type="pct"/>
            <w:tcBorders>
              <w:top w:val="single" w:sz="4" w:space="0" w:color="auto"/>
              <w:left w:val="nil"/>
              <w:bottom w:val="single" w:sz="4" w:space="0" w:color="auto"/>
              <w:right w:val="single" w:sz="4" w:space="0" w:color="auto"/>
            </w:tcBorders>
            <w:shd w:val="pct15" w:color="auto" w:fill="FFFFFF"/>
            <w:vAlign w:val="center"/>
          </w:tcPr>
          <w:p w:rsidR="008126B6" w:rsidRPr="005F7F2F" w:rsidRDefault="008126B6" w:rsidP="008126B6">
            <w:pPr>
              <w:bidi/>
              <w:spacing w:beforeLines="20" w:before="48" w:afterLines="20" w:after="48"/>
              <w:ind w:left="-57"/>
              <w:jc w:val="center"/>
              <w:rPr>
                <w:rFonts w:ascii="Arabic Typesetting" w:hAnsi="Arabic Typesetting" w:cs="Arabic Typesetting"/>
                <w:b/>
                <w:bCs/>
                <w:sz w:val="26"/>
                <w:szCs w:val="26"/>
              </w:rPr>
            </w:pPr>
            <w:r>
              <w:rPr>
                <w:rFonts w:ascii="Arabic Typesetting" w:hAnsi="Arabic Typesetting" w:cs="Arabic Typesetting" w:hint="cs"/>
                <w:b/>
                <w:bCs/>
                <w:sz w:val="26"/>
                <w:szCs w:val="26"/>
                <w:rtl/>
              </w:rPr>
              <w:t>من</w:t>
            </w:r>
          </w:p>
        </w:tc>
        <w:tc>
          <w:tcPr>
            <w:tcW w:w="690" w:type="pct"/>
            <w:tcBorders>
              <w:top w:val="single" w:sz="4" w:space="0" w:color="auto"/>
              <w:left w:val="nil"/>
              <w:bottom w:val="single" w:sz="4" w:space="0" w:color="auto"/>
              <w:right w:val="single" w:sz="4" w:space="0" w:color="auto"/>
            </w:tcBorders>
            <w:shd w:val="pct15" w:color="auto" w:fill="FFFFFF"/>
            <w:vAlign w:val="center"/>
          </w:tcPr>
          <w:p w:rsidR="008126B6" w:rsidRPr="005F7F2F" w:rsidRDefault="008126B6" w:rsidP="008126B6">
            <w:pPr>
              <w:bidi/>
              <w:spacing w:beforeLines="20" w:before="48" w:afterLines="20" w:after="48"/>
              <w:jc w:val="center"/>
              <w:rPr>
                <w:rFonts w:ascii="Arabic Typesetting" w:hAnsi="Arabic Typesetting" w:cs="Arabic Typesetting"/>
                <w:b/>
                <w:bCs/>
                <w:sz w:val="26"/>
                <w:szCs w:val="26"/>
              </w:rPr>
            </w:pPr>
            <w:r>
              <w:rPr>
                <w:rFonts w:ascii="Arabic Typesetting" w:hAnsi="Arabic Typesetting" w:cs="Arabic Typesetting" w:hint="cs"/>
                <w:b/>
                <w:bCs/>
                <w:sz w:val="26"/>
                <w:szCs w:val="26"/>
                <w:rtl/>
              </w:rPr>
              <w:t>إلى</w:t>
            </w:r>
          </w:p>
        </w:tc>
        <w:tc>
          <w:tcPr>
            <w:tcW w:w="1229" w:type="pct"/>
            <w:tcBorders>
              <w:top w:val="single" w:sz="4" w:space="0" w:color="auto"/>
              <w:left w:val="nil"/>
              <w:bottom w:val="single" w:sz="4" w:space="0" w:color="auto"/>
              <w:right w:val="single" w:sz="4" w:space="0" w:color="auto"/>
            </w:tcBorders>
            <w:shd w:val="pct15" w:color="auto" w:fill="FFFFFF"/>
            <w:vAlign w:val="center"/>
          </w:tcPr>
          <w:p w:rsidR="008126B6" w:rsidRPr="005F7F2F" w:rsidRDefault="008126B6" w:rsidP="008126B6">
            <w:pPr>
              <w:bidi/>
              <w:spacing w:beforeLines="20" w:before="48" w:afterLines="20" w:after="48"/>
              <w:jc w:val="center"/>
              <w:rPr>
                <w:rFonts w:ascii="Arabic Typesetting" w:hAnsi="Arabic Typesetting" w:cs="Arabic Typesetting"/>
                <w:b/>
                <w:bCs/>
                <w:sz w:val="26"/>
                <w:szCs w:val="26"/>
              </w:rPr>
            </w:pPr>
          </w:p>
        </w:tc>
        <w:tc>
          <w:tcPr>
            <w:tcW w:w="1072" w:type="pct"/>
            <w:tcBorders>
              <w:top w:val="single" w:sz="4" w:space="0" w:color="auto"/>
              <w:left w:val="single" w:sz="4" w:space="0" w:color="auto"/>
              <w:bottom w:val="single" w:sz="4" w:space="0" w:color="auto"/>
              <w:right w:val="single" w:sz="4" w:space="0" w:color="auto"/>
            </w:tcBorders>
            <w:shd w:val="pct15" w:color="auto" w:fill="FFFFFF"/>
            <w:vAlign w:val="center"/>
          </w:tcPr>
          <w:p w:rsidR="008126B6" w:rsidRPr="005F7F2F" w:rsidRDefault="008126B6" w:rsidP="008126B6">
            <w:pPr>
              <w:bidi/>
              <w:spacing w:beforeLines="20" w:before="48" w:afterLines="20" w:after="48"/>
              <w:jc w:val="center"/>
              <w:rPr>
                <w:rFonts w:ascii="Arabic Typesetting" w:hAnsi="Arabic Typesetting" w:cs="Arabic Typesetting"/>
                <w:b/>
                <w:bCs/>
                <w:sz w:val="26"/>
                <w:szCs w:val="26"/>
              </w:rPr>
            </w:pPr>
            <w:r>
              <w:rPr>
                <w:rFonts w:ascii="Arabic Typesetting" w:hAnsi="Arabic Typesetting" w:cs="Arabic Typesetting" w:hint="cs"/>
                <w:b/>
                <w:bCs/>
                <w:sz w:val="26"/>
                <w:szCs w:val="26"/>
                <w:rtl/>
              </w:rPr>
              <w:t xml:space="preserve">آخر </w:t>
            </w:r>
            <w:proofErr w:type="gramStart"/>
            <w:r>
              <w:rPr>
                <w:rFonts w:ascii="Arabic Typesetting" w:hAnsi="Arabic Typesetting" w:cs="Arabic Typesetting" w:hint="cs"/>
                <w:b/>
                <w:bCs/>
                <w:sz w:val="26"/>
                <w:szCs w:val="26"/>
                <w:rtl/>
              </w:rPr>
              <w:t>أسبوع</w:t>
            </w:r>
            <w:proofErr w:type="gramEnd"/>
            <w:r>
              <w:rPr>
                <w:rFonts w:ascii="Arabic Typesetting" w:hAnsi="Arabic Typesetting" w:cs="Arabic Typesetting" w:hint="cs"/>
                <w:b/>
                <w:bCs/>
                <w:sz w:val="26"/>
                <w:szCs w:val="26"/>
                <w:rtl/>
              </w:rPr>
              <w:t xml:space="preserve"> أدخلت فيه البيانات</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5F7F2F">
              <w:rPr>
                <w:rFonts w:ascii="Arabic Typesetting" w:hAnsi="Arabic Typesetting" w:cs="Arabic Typesetting"/>
                <w:sz w:val="26"/>
                <w:szCs w:val="26"/>
              </w:rPr>
              <w:t>AT</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النمسا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01.02.1995</w:t>
            </w:r>
          </w:p>
        </w:tc>
        <w:tc>
          <w:tcPr>
            <w:tcW w:w="690" w:type="pct"/>
            <w:tcBorders>
              <w:top w:val="single" w:sz="4" w:space="0" w:color="auto"/>
              <w:left w:val="nil"/>
              <w:bottom w:val="single" w:sz="4" w:space="0" w:color="auto"/>
              <w:right w:val="single" w:sz="4" w:space="0" w:color="auto"/>
            </w:tcBorders>
          </w:tcPr>
          <w:p w:rsidR="008126B6" w:rsidRPr="0038510F" w:rsidRDefault="0038510F" w:rsidP="0038510F">
            <w:pPr>
              <w:bidi/>
              <w:jc w:val="center"/>
              <w:rPr>
                <w:rFonts w:ascii="Arabic Typesetting" w:hAnsi="Arabic Typesetting" w:cs="Arabic Typesetting"/>
                <w:b/>
                <w:bCs/>
                <w:sz w:val="26"/>
                <w:szCs w:val="26"/>
              </w:rPr>
            </w:pPr>
            <w:r w:rsidRPr="0038510F">
              <w:rPr>
                <w:rFonts w:ascii="Arabic Typesetting" w:hAnsi="Arabic Typesetting" w:cs="Arabic Typesetting"/>
                <w:b/>
                <w:bCs/>
                <w:sz w:val="26"/>
                <w:szCs w:val="26"/>
              </w:rPr>
              <w:t>13</w:t>
            </w:r>
            <w:r w:rsidR="008126B6" w:rsidRPr="0038510F">
              <w:rPr>
                <w:rFonts w:ascii="Arabic Typesetting" w:hAnsi="Arabic Typesetting" w:cs="Arabic Typesetting"/>
                <w:b/>
                <w:bCs/>
                <w:sz w:val="26"/>
                <w:szCs w:val="26"/>
              </w:rPr>
              <w:t>.</w:t>
            </w:r>
            <w:r w:rsidRPr="0038510F">
              <w:rPr>
                <w:rFonts w:ascii="Arabic Typesetting" w:hAnsi="Arabic Typesetting" w:cs="Arabic Typesetting"/>
                <w:b/>
                <w:bCs/>
                <w:sz w:val="26"/>
                <w:szCs w:val="26"/>
              </w:rPr>
              <w:t>08</w:t>
            </w:r>
            <w:r w:rsidR="008126B6" w:rsidRPr="0038510F">
              <w:rPr>
                <w:rFonts w:ascii="Arabic Typesetting" w:hAnsi="Arabic Typesetting" w:cs="Arabic Typesetting"/>
                <w:b/>
                <w:bCs/>
                <w:sz w:val="26"/>
                <w:szCs w:val="26"/>
              </w:rPr>
              <w:t>.</w:t>
            </w:r>
            <w:r w:rsidRPr="0038510F">
              <w:rPr>
                <w:rFonts w:ascii="Arabic Typesetting" w:hAnsi="Arabic Typesetting" w:cs="Arabic Typesetting"/>
                <w:b/>
                <w:bCs/>
                <w:sz w:val="26"/>
                <w:szCs w:val="26"/>
              </w:rPr>
              <w:t>2014</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38510F" w:rsidRDefault="0038510F" w:rsidP="0038510F">
            <w:pPr>
              <w:bidi/>
              <w:jc w:val="center"/>
              <w:rPr>
                <w:rFonts w:ascii="Arabic Typesetting" w:hAnsi="Arabic Typesetting" w:cs="Arabic Typesetting"/>
                <w:b/>
                <w:bCs/>
                <w:sz w:val="26"/>
                <w:szCs w:val="26"/>
              </w:rPr>
            </w:pPr>
            <w:r w:rsidRPr="0038510F">
              <w:rPr>
                <w:rFonts w:ascii="Arabic Typesetting" w:hAnsi="Arabic Typesetting" w:cs="Arabic Typesetting"/>
                <w:b/>
                <w:bCs/>
                <w:sz w:val="26"/>
                <w:szCs w:val="26"/>
              </w:rPr>
              <w:t>2014</w:t>
            </w:r>
            <w:r w:rsidR="008126B6" w:rsidRPr="0038510F">
              <w:rPr>
                <w:rFonts w:ascii="Arabic Typesetting" w:hAnsi="Arabic Typesetting" w:cs="Arabic Typesetting"/>
                <w:b/>
                <w:bCs/>
                <w:sz w:val="26"/>
                <w:szCs w:val="26"/>
              </w:rPr>
              <w:t>/</w:t>
            </w:r>
            <w:r w:rsidRPr="0038510F">
              <w:rPr>
                <w:rFonts w:ascii="Arabic Typesetting" w:hAnsi="Arabic Typesetting" w:cs="Arabic Typesetting"/>
                <w:b/>
                <w:bCs/>
                <w:sz w:val="26"/>
                <w:szCs w:val="26"/>
              </w:rPr>
              <w:t>37</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AU</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أستراليا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28.11.2002</w:t>
            </w:r>
          </w:p>
        </w:tc>
        <w:tc>
          <w:tcPr>
            <w:tcW w:w="690" w:type="pct"/>
            <w:tcBorders>
              <w:top w:val="single" w:sz="4" w:space="0" w:color="auto"/>
              <w:left w:val="nil"/>
              <w:bottom w:val="single" w:sz="4" w:space="0" w:color="auto"/>
              <w:right w:val="single" w:sz="4" w:space="0" w:color="auto"/>
            </w:tcBorders>
          </w:tcPr>
          <w:p w:rsidR="008126B6" w:rsidRPr="0038510F" w:rsidRDefault="0038510F" w:rsidP="0038510F">
            <w:pPr>
              <w:bidi/>
              <w:jc w:val="center"/>
              <w:rPr>
                <w:rFonts w:ascii="Arabic Typesetting" w:hAnsi="Arabic Typesetting" w:cs="Arabic Typesetting"/>
                <w:b/>
                <w:bCs/>
                <w:sz w:val="26"/>
                <w:szCs w:val="26"/>
              </w:rPr>
            </w:pPr>
            <w:r w:rsidRPr="0038510F">
              <w:rPr>
                <w:rFonts w:ascii="Arabic Typesetting" w:hAnsi="Arabic Typesetting" w:cs="Arabic Typesetting"/>
                <w:b/>
                <w:bCs/>
                <w:sz w:val="26"/>
                <w:szCs w:val="26"/>
              </w:rPr>
              <w:t>04</w:t>
            </w:r>
            <w:r w:rsidR="008126B6" w:rsidRPr="0038510F">
              <w:rPr>
                <w:rFonts w:ascii="Arabic Typesetting" w:hAnsi="Arabic Typesetting" w:cs="Arabic Typesetting"/>
                <w:b/>
                <w:bCs/>
                <w:sz w:val="26"/>
                <w:szCs w:val="26"/>
              </w:rPr>
              <w:t>.</w:t>
            </w:r>
            <w:r w:rsidRPr="0038510F">
              <w:rPr>
                <w:rFonts w:ascii="Arabic Typesetting" w:hAnsi="Arabic Typesetting" w:cs="Arabic Typesetting"/>
                <w:b/>
                <w:bCs/>
                <w:sz w:val="26"/>
                <w:szCs w:val="26"/>
              </w:rPr>
              <w:t>02</w:t>
            </w:r>
            <w:r w:rsidR="008126B6" w:rsidRPr="0038510F">
              <w:rPr>
                <w:rFonts w:ascii="Arabic Typesetting" w:hAnsi="Arabic Typesetting" w:cs="Arabic Typesetting"/>
                <w:b/>
                <w:bCs/>
                <w:sz w:val="26"/>
                <w:szCs w:val="26"/>
              </w:rPr>
              <w:t>.</w:t>
            </w:r>
            <w:r w:rsidRPr="0038510F">
              <w:rPr>
                <w:rFonts w:ascii="Arabic Typesetting" w:hAnsi="Arabic Typesetting" w:cs="Arabic Typesetting"/>
                <w:b/>
                <w:bCs/>
                <w:sz w:val="26"/>
                <w:szCs w:val="26"/>
              </w:rPr>
              <w:t>2016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r w:rsidRPr="001A348E">
              <w:rPr>
                <w:rFonts w:ascii="Arabic Typesetting" w:hAnsi="Arabic Typesetting" w:cs="Arabic Typesetting"/>
                <w:color w:val="000000"/>
                <w:sz w:val="26"/>
                <w:szCs w:val="26"/>
                <w:rtl/>
              </w:rPr>
              <w:t xml:space="preserve"> - عبر الجريدة</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38510F" w:rsidRDefault="0038510F" w:rsidP="0038510F">
            <w:pPr>
              <w:bidi/>
              <w:jc w:val="center"/>
              <w:rPr>
                <w:rFonts w:ascii="Arabic Typesetting" w:hAnsi="Arabic Typesetting" w:cs="Arabic Typesetting"/>
                <w:b/>
                <w:bCs/>
                <w:sz w:val="26"/>
                <w:szCs w:val="26"/>
              </w:rPr>
            </w:pPr>
            <w:r w:rsidRPr="0038510F">
              <w:rPr>
                <w:rFonts w:ascii="Arabic Typesetting" w:hAnsi="Arabic Typesetting" w:cs="Arabic Typesetting"/>
                <w:b/>
                <w:bCs/>
                <w:sz w:val="26"/>
                <w:szCs w:val="26"/>
              </w:rPr>
              <w:t>2016</w:t>
            </w:r>
            <w:r w:rsidR="008126B6" w:rsidRPr="0038510F">
              <w:rPr>
                <w:rFonts w:ascii="Arabic Typesetting" w:hAnsi="Arabic Typesetting" w:cs="Arabic Typesetting"/>
                <w:b/>
                <w:bCs/>
                <w:sz w:val="26"/>
                <w:szCs w:val="26"/>
              </w:rPr>
              <w:t>/</w:t>
            </w:r>
            <w:r w:rsidRPr="0038510F">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BG</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بلغاريا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02.01.2001</w:t>
            </w:r>
          </w:p>
        </w:tc>
        <w:tc>
          <w:tcPr>
            <w:tcW w:w="690"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30.04.2010</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2010/24</w:t>
            </w:r>
          </w:p>
        </w:tc>
      </w:tr>
      <w:tr w:rsidR="008126B6" w:rsidRPr="005F7F2F" w:rsidTr="008126B6">
        <w:trPr>
          <w:cantSplit/>
          <w:trHeight w:val="510"/>
        </w:trPr>
        <w:tc>
          <w:tcPr>
            <w:tcW w:w="321" w:type="pct"/>
            <w:tcBorders>
              <w:top w:val="single" w:sz="4" w:space="0" w:color="auto"/>
              <w:left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BR</w:t>
            </w:r>
          </w:p>
        </w:tc>
        <w:tc>
          <w:tcPr>
            <w:tcW w:w="1074" w:type="pct"/>
            <w:tcBorders>
              <w:top w:val="single" w:sz="4" w:space="0" w:color="auto"/>
              <w:left w:val="nil"/>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البرازيل</w:t>
            </w:r>
          </w:p>
        </w:tc>
        <w:tc>
          <w:tcPr>
            <w:tcW w:w="614" w:type="pct"/>
            <w:tcBorders>
              <w:top w:val="single" w:sz="4" w:space="0" w:color="auto"/>
              <w:left w:val="nil"/>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01.03.1995</w:t>
            </w:r>
          </w:p>
        </w:tc>
        <w:tc>
          <w:tcPr>
            <w:tcW w:w="690" w:type="pct"/>
            <w:tcBorders>
              <w:top w:val="single" w:sz="4" w:space="0" w:color="auto"/>
              <w:left w:val="nil"/>
              <w:right w:val="single" w:sz="4" w:space="0" w:color="auto"/>
            </w:tcBorders>
          </w:tcPr>
          <w:p w:rsidR="008126B6" w:rsidRPr="0038510F" w:rsidRDefault="0038510F" w:rsidP="0038510F">
            <w:pPr>
              <w:bidi/>
              <w:jc w:val="center"/>
              <w:rPr>
                <w:rFonts w:ascii="Arabic Typesetting" w:hAnsi="Arabic Typesetting" w:cs="Arabic Typesetting"/>
                <w:b/>
                <w:bCs/>
                <w:sz w:val="26"/>
                <w:szCs w:val="26"/>
              </w:rPr>
            </w:pPr>
            <w:r w:rsidRPr="0038510F">
              <w:rPr>
                <w:rFonts w:ascii="Arabic Typesetting" w:hAnsi="Arabic Typesetting" w:cs="Arabic Typesetting"/>
                <w:b/>
                <w:bCs/>
                <w:sz w:val="26"/>
                <w:szCs w:val="26"/>
              </w:rPr>
              <w:t>02</w:t>
            </w:r>
            <w:r w:rsidR="008126B6" w:rsidRPr="0038510F">
              <w:rPr>
                <w:rFonts w:ascii="Arabic Typesetting" w:hAnsi="Arabic Typesetting" w:cs="Arabic Typesetting"/>
                <w:b/>
                <w:bCs/>
                <w:sz w:val="26"/>
                <w:szCs w:val="26"/>
              </w:rPr>
              <w:t>.02.</w:t>
            </w:r>
            <w:r w:rsidRPr="0038510F">
              <w:rPr>
                <w:rFonts w:ascii="Arabic Typesetting" w:hAnsi="Arabic Typesetting" w:cs="Arabic Typesetting"/>
                <w:b/>
                <w:bCs/>
                <w:sz w:val="26"/>
                <w:szCs w:val="26"/>
              </w:rPr>
              <w:t>2016</w:t>
            </w:r>
          </w:p>
        </w:tc>
        <w:tc>
          <w:tcPr>
            <w:tcW w:w="1229" w:type="pct"/>
            <w:tcBorders>
              <w:top w:val="single" w:sz="4" w:space="0" w:color="auto"/>
              <w:left w:val="nil"/>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 - عبر الجريدة</w:t>
            </w:r>
          </w:p>
        </w:tc>
        <w:tc>
          <w:tcPr>
            <w:tcW w:w="1072" w:type="pct"/>
            <w:tcBorders>
              <w:top w:val="single" w:sz="4" w:space="0" w:color="auto"/>
              <w:left w:val="single" w:sz="4" w:space="0" w:color="auto"/>
              <w:right w:val="single" w:sz="4" w:space="0" w:color="auto"/>
            </w:tcBorders>
            <w:shd w:val="clear" w:color="auto" w:fill="auto"/>
            <w:noWrap/>
          </w:tcPr>
          <w:p w:rsidR="008126B6" w:rsidRPr="0038510F" w:rsidRDefault="0038510F" w:rsidP="0038510F">
            <w:pPr>
              <w:bidi/>
              <w:jc w:val="center"/>
              <w:rPr>
                <w:rFonts w:ascii="Arabic Typesetting" w:hAnsi="Arabic Typesetting" w:cs="Arabic Typesetting"/>
                <w:b/>
                <w:bCs/>
                <w:sz w:val="26"/>
                <w:szCs w:val="26"/>
              </w:rPr>
            </w:pPr>
            <w:r w:rsidRPr="0038510F">
              <w:rPr>
                <w:rFonts w:ascii="Arabic Typesetting" w:hAnsi="Arabic Typesetting" w:cs="Arabic Typesetting"/>
                <w:b/>
                <w:bCs/>
                <w:sz w:val="26"/>
                <w:szCs w:val="26"/>
              </w:rPr>
              <w:t>2016</w:t>
            </w:r>
            <w:r w:rsidR="008126B6" w:rsidRPr="0038510F">
              <w:rPr>
                <w:rFonts w:ascii="Arabic Typesetting" w:hAnsi="Arabic Typesetting" w:cs="Arabic Typesetting"/>
                <w:b/>
                <w:bCs/>
                <w:sz w:val="26"/>
                <w:szCs w:val="26"/>
              </w:rPr>
              <w:t>/</w:t>
            </w:r>
            <w:r w:rsidRPr="0038510F">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CA</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كندا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27.12.1979</w:t>
            </w:r>
          </w:p>
        </w:tc>
        <w:tc>
          <w:tcPr>
            <w:tcW w:w="690" w:type="pct"/>
            <w:tcBorders>
              <w:top w:val="single" w:sz="4" w:space="0" w:color="auto"/>
              <w:left w:val="nil"/>
              <w:bottom w:val="single" w:sz="4" w:space="0" w:color="auto"/>
              <w:right w:val="single" w:sz="4" w:space="0" w:color="auto"/>
            </w:tcBorders>
          </w:tcPr>
          <w:p w:rsidR="008126B6" w:rsidRPr="008359D3" w:rsidRDefault="008359D3" w:rsidP="008359D3">
            <w:pPr>
              <w:bidi/>
              <w:jc w:val="center"/>
              <w:rPr>
                <w:rFonts w:ascii="Arabic Typesetting" w:hAnsi="Arabic Typesetting" w:cs="Arabic Typesetting"/>
                <w:b/>
                <w:bCs/>
                <w:sz w:val="26"/>
                <w:szCs w:val="26"/>
              </w:rPr>
            </w:pPr>
            <w:r w:rsidRPr="008359D3">
              <w:rPr>
                <w:rFonts w:ascii="Arabic Typesetting" w:hAnsi="Arabic Typesetting" w:cs="Arabic Typesetting"/>
                <w:b/>
                <w:bCs/>
                <w:sz w:val="26"/>
                <w:szCs w:val="26"/>
              </w:rPr>
              <w:t>03</w:t>
            </w:r>
            <w:r w:rsidR="008126B6" w:rsidRPr="008359D3">
              <w:rPr>
                <w:rFonts w:ascii="Arabic Typesetting" w:hAnsi="Arabic Typesetting" w:cs="Arabic Typesetting"/>
                <w:b/>
                <w:bCs/>
                <w:sz w:val="26"/>
                <w:szCs w:val="26"/>
              </w:rPr>
              <w:t>.02.</w:t>
            </w:r>
            <w:r w:rsidRPr="008359D3">
              <w:rPr>
                <w:rFonts w:ascii="Arabic Typesetting" w:hAnsi="Arabic Typesetting" w:cs="Arabic Typesetting"/>
                <w:b/>
                <w:bCs/>
                <w:sz w:val="26"/>
                <w:szCs w:val="26"/>
              </w:rPr>
              <w:t>2016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8359D3" w:rsidRDefault="008359D3" w:rsidP="008359D3">
            <w:pPr>
              <w:bidi/>
              <w:jc w:val="center"/>
              <w:rPr>
                <w:rFonts w:ascii="Arabic Typesetting" w:hAnsi="Arabic Typesetting" w:cs="Arabic Typesetting"/>
                <w:b/>
                <w:bCs/>
                <w:sz w:val="26"/>
                <w:szCs w:val="26"/>
              </w:rPr>
            </w:pPr>
            <w:r w:rsidRPr="008359D3">
              <w:rPr>
                <w:rFonts w:ascii="Arabic Typesetting" w:hAnsi="Arabic Typesetting" w:cs="Arabic Typesetting"/>
                <w:b/>
                <w:bCs/>
                <w:sz w:val="26"/>
                <w:szCs w:val="26"/>
              </w:rPr>
              <w:t>2016</w:t>
            </w:r>
            <w:r w:rsidR="008126B6" w:rsidRPr="008359D3">
              <w:rPr>
                <w:rFonts w:ascii="Arabic Typesetting" w:hAnsi="Arabic Typesetting" w:cs="Arabic Typesetting"/>
                <w:b/>
                <w:bCs/>
                <w:sz w:val="26"/>
                <w:szCs w:val="26"/>
              </w:rPr>
              <w:t>/</w:t>
            </w:r>
            <w:r w:rsidRPr="008359D3">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DE</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ألمانيا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22.04.1971</w:t>
            </w:r>
          </w:p>
        </w:tc>
        <w:tc>
          <w:tcPr>
            <w:tcW w:w="690" w:type="pct"/>
            <w:tcBorders>
              <w:top w:val="single" w:sz="4" w:space="0" w:color="auto"/>
              <w:left w:val="nil"/>
              <w:bottom w:val="single" w:sz="4" w:space="0" w:color="auto"/>
              <w:right w:val="single" w:sz="4" w:space="0" w:color="auto"/>
            </w:tcBorders>
          </w:tcPr>
          <w:p w:rsidR="008126B6" w:rsidRPr="002629AE" w:rsidRDefault="002629AE" w:rsidP="002629AE">
            <w:pPr>
              <w:bidi/>
              <w:jc w:val="center"/>
              <w:rPr>
                <w:rFonts w:ascii="Arabic Typesetting" w:hAnsi="Arabic Typesetting" w:cs="Arabic Typesetting"/>
                <w:b/>
                <w:bCs/>
                <w:sz w:val="26"/>
                <w:szCs w:val="26"/>
              </w:rPr>
            </w:pPr>
            <w:r w:rsidRPr="002629AE">
              <w:rPr>
                <w:rFonts w:ascii="Arabic Typesetting" w:hAnsi="Arabic Typesetting" w:cs="Arabic Typesetting"/>
                <w:b/>
                <w:bCs/>
                <w:sz w:val="26"/>
                <w:szCs w:val="26"/>
              </w:rPr>
              <w:t>04</w:t>
            </w:r>
            <w:r w:rsidR="008126B6" w:rsidRPr="002629AE">
              <w:rPr>
                <w:rFonts w:ascii="Arabic Typesetting" w:hAnsi="Arabic Typesetting" w:cs="Arabic Typesetting"/>
                <w:b/>
                <w:bCs/>
                <w:sz w:val="26"/>
                <w:szCs w:val="26"/>
              </w:rPr>
              <w:t>.02.</w:t>
            </w:r>
            <w:r w:rsidRPr="002629AE">
              <w:rPr>
                <w:rFonts w:ascii="Arabic Typesetting" w:hAnsi="Arabic Typesetting" w:cs="Arabic Typesetting"/>
                <w:b/>
                <w:bCs/>
                <w:sz w:val="26"/>
                <w:szCs w:val="26"/>
              </w:rPr>
              <w:t>2016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 xml:space="preserve">بيانات </w:t>
            </w:r>
            <w:r w:rsidRPr="001A348E">
              <w:rPr>
                <w:rFonts w:ascii="Arabic Typesetting" w:hAnsi="Arabic Typesetting" w:cs="Arabic Typesetting"/>
                <w:color w:val="000000"/>
                <w:sz w:val="26"/>
                <w:szCs w:val="26"/>
                <w:rtl/>
              </w:rPr>
              <w:t>دخول/</w:t>
            </w:r>
            <w:r w:rsidRPr="001A348E">
              <w:rPr>
                <w:rFonts w:ascii="Arabic Typesetting" w:hAnsi="Arabic Typesetting" w:cs="Arabic Typesetting"/>
                <w:sz w:val="26"/>
                <w:szCs w:val="26"/>
                <w:rtl/>
              </w:rPr>
              <w:t>عدم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2629AE" w:rsidRDefault="002629AE" w:rsidP="002629AE">
            <w:pPr>
              <w:bidi/>
              <w:jc w:val="center"/>
              <w:rPr>
                <w:rFonts w:ascii="Arabic Typesetting" w:hAnsi="Arabic Typesetting" w:cs="Arabic Typesetting"/>
                <w:b/>
                <w:bCs/>
                <w:sz w:val="26"/>
                <w:szCs w:val="26"/>
              </w:rPr>
            </w:pPr>
            <w:r w:rsidRPr="002629AE">
              <w:rPr>
                <w:rFonts w:ascii="Arabic Typesetting" w:hAnsi="Arabic Typesetting" w:cs="Arabic Typesetting"/>
                <w:b/>
                <w:bCs/>
                <w:sz w:val="26"/>
                <w:szCs w:val="26"/>
              </w:rPr>
              <w:t>2016</w:t>
            </w:r>
            <w:r w:rsidR="008126B6" w:rsidRPr="002629AE">
              <w:rPr>
                <w:rFonts w:ascii="Arabic Typesetting" w:hAnsi="Arabic Typesetting" w:cs="Arabic Typesetting"/>
                <w:b/>
                <w:bCs/>
                <w:sz w:val="26"/>
                <w:szCs w:val="26"/>
              </w:rPr>
              <w:t>/</w:t>
            </w:r>
            <w:r w:rsidRPr="002629AE">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EP</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المكتب الأوروبي للبراءات</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20.12.1978</w:t>
            </w:r>
          </w:p>
        </w:tc>
        <w:tc>
          <w:tcPr>
            <w:tcW w:w="690" w:type="pct"/>
            <w:tcBorders>
              <w:top w:val="single" w:sz="4" w:space="0" w:color="auto"/>
              <w:left w:val="nil"/>
              <w:bottom w:val="single" w:sz="4" w:space="0" w:color="auto"/>
              <w:right w:val="single" w:sz="4" w:space="0" w:color="auto"/>
            </w:tcBorders>
          </w:tcPr>
          <w:p w:rsidR="008126B6" w:rsidRPr="00C803C3" w:rsidRDefault="00C803C3" w:rsidP="00C803C3">
            <w:pPr>
              <w:bidi/>
              <w:jc w:val="center"/>
              <w:rPr>
                <w:rFonts w:ascii="Arabic Typesetting" w:hAnsi="Arabic Typesetting" w:cs="Arabic Typesetting"/>
                <w:b/>
                <w:bCs/>
                <w:sz w:val="26"/>
                <w:szCs w:val="26"/>
              </w:rPr>
            </w:pPr>
            <w:r w:rsidRPr="00C803C3">
              <w:rPr>
                <w:rFonts w:ascii="Arabic Typesetting" w:hAnsi="Arabic Typesetting" w:cs="Arabic Typesetting"/>
                <w:b/>
                <w:bCs/>
                <w:sz w:val="26"/>
                <w:szCs w:val="26"/>
              </w:rPr>
              <w:t>03</w:t>
            </w:r>
            <w:r w:rsidR="008126B6" w:rsidRPr="00C803C3">
              <w:rPr>
                <w:rFonts w:ascii="Arabic Typesetting" w:hAnsi="Arabic Typesetting" w:cs="Arabic Typesetting"/>
                <w:b/>
                <w:bCs/>
                <w:sz w:val="26"/>
                <w:szCs w:val="26"/>
              </w:rPr>
              <w:t>.02.</w:t>
            </w:r>
            <w:r w:rsidRPr="00C803C3">
              <w:rPr>
                <w:rFonts w:ascii="Arabic Typesetting" w:hAnsi="Arabic Typesetting" w:cs="Arabic Typesetting"/>
                <w:b/>
                <w:bCs/>
                <w:sz w:val="26"/>
                <w:szCs w:val="26"/>
              </w:rPr>
              <w:t>2016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دخول/عدم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C803C3" w:rsidRDefault="00C803C3" w:rsidP="00C803C3">
            <w:pPr>
              <w:bidi/>
              <w:jc w:val="center"/>
              <w:rPr>
                <w:rFonts w:ascii="Arabic Typesetting" w:hAnsi="Arabic Typesetting" w:cs="Arabic Typesetting"/>
                <w:b/>
                <w:bCs/>
                <w:sz w:val="26"/>
                <w:szCs w:val="26"/>
              </w:rPr>
            </w:pPr>
            <w:r w:rsidRPr="00C803C3">
              <w:rPr>
                <w:rFonts w:ascii="Arabic Typesetting" w:hAnsi="Arabic Typesetting" w:cs="Arabic Typesetting"/>
                <w:b/>
                <w:bCs/>
                <w:sz w:val="26"/>
                <w:szCs w:val="26"/>
              </w:rPr>
              <w:t>2016</w:t>
            </w:r>
            <w:r w:rsidR="008126B6" w:rsidRPr="00C803C3">
              <w:rPr>
                <w:rFonts w:ascii="Arabic Typesetting" w:hAnsi="Arabic Typesetting" w:cs="Arabic Typesetting"/>
                <w:b/>
                <w:bCs/>
                <w:sz w:val="26"/>
                <w:szCs w:val="26"/>
              </w:rPr>
              <w:t>/</w:t>
            </w:r>
            <w:r w:rsidRPr="00C803C3">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ES</w:t>
            </w:r>
          </w:p>
        </w:tc>
        <w:tc>
          <w:tcPr>
            <w:tcW w:w="1074" w:type="pct"/>
            <w:tcBorders>
              <w:top w:val="single" w:sz="4" w:space="0" w:color="auto"/>
              <w:left w:val="nil"/>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إسبانيا</w:t>
            </w:r>
          </w:p>
        </w:tc>
        <w:tc>
          <w:tcPr>
            <w:tcW w:w="614" w:type="pct"/>
            <w:tcBorders>
              <w:top w:val="single" w:sz="4" w:space="0" w:color="auto"/>
              <w:left w:val="nil"/>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30.05.1990</w:t>
            </w:r>
          </w:p>
        </w:tc>
        <w:tc>
          <w:tcPr>
            <w:tcW w:w="690" w:type="pct"/>
            <w:tcBorders>
              <w:top w:val="single" w:sz="4" w:space="0" w:color="auto"/>
              <w:left w:val="nil"/>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30.06.2011</w:t>
            </w:r>
          </w:p>
        </w:tc>
        <w:tc>
          <w:tcPr>
            <w:tcW w:w="1229" w:type="pct"/>
            <w:tcBorders>
              <w:top w:val="single" w:sz="4" w:space="0" w:color="auto"/>
              <w:left w:val="nil"/>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2012/27</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GB</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proofErr w:type="gramStart"/>
            <w:r w:rsidRPr="001A348E">
              <w:rPr>
                <w:rFonts w:ascii="Arabic Typesetting" w:hAnsi="Arabic Typesetting" w:cs="Arabic Typesetting"/>
                <w:sz w:val="26"/>
                <w:szCs w:val="26"/>
                <w:rtl/>
              </w:rPr>
              <w:t>المملكة</w:t>
            </w:r>
            <w:proofErr w:type="gramEnd"/>
            <w:r w:rsidRPr="001A348E">
              <w:rPr>
                <w:rFonts w:ascii="Arabic Typesetting" w:hAnsi="Arabic Typesetting" w:cs="Arabic Typesetting"/>
                <w:sz w:val="26"/>
                <w:szCs w:val="26"/>
                <w:rtl/>
              </w:rPr>
              <w:t xml:space="preserve"> المتحدة</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01.04.1998</w:t>
            </w:r>
          </w:p>
        </w:tc>
        <w:tc>
          <w:tcPr>
            <w:tcW w:w="690" w:type="pct"/>
            <w:tcBorders>
              <w:top w:val="single" w:sz="4" w:space="0" w:color="auto"/>
              <w:left w:val="nil"/>
              <w:bottom w:val="single" w:sz="4" w:space="0" w:color="auto"/>
              <w:right w:val="single" w:sz="4" w:space="0" w:color="auto"/>
            </w:tcBorders>
          </w:tcPr>
          <w:p w:rsidR="008126B6" w:rsidRPr="00CB5388" w:rsidRDefault="00CB5388" w:rsidP="00CB5388">
            <w:pPr>
              <w:bidi/>
              <w:jc w:val="center"/>
              <w:rPr>
                <w:rFonts w:ascii="Arabic Typesetting" w:hAnsi="Arabic Typesetting" w:cs="Arabic Typesetting"/>
                <w:b/>
                <w:bCs/>
                <w:sz w:val="26"/>
                <w:szCs w:val="26"/>
              </w:rPr>
            </w:pPr>
            <w:r w:rsidRPr="00CB5388">
              <w:rPr>
                <w:rFonts w:ascii="Arabic Typesetting" w:hAnsi="Arabic Typesetting" w:cs="Arabic Typesetting"/>
                <w:b/>
                <w:bCs/>
                <w:sz w:val="26"/>
                <w:szCs w:val="26"/>
              </w:rPr>
              <w:t>22</w:t>
            </w:r>
            <w:r w:rsidR="008126B6" w:rsidRPr="00CB5388">
              <w:rPr>
                <w:rFonts w:ascii="Arabic Typesetting" w:hAnsi="Arabic Typesetting" w:cs="Arabic Typesetting"/>
                <w:b/>
                <w:bCs/>
                <w:sz w:val="26"/>
                <w:szCs w:val="26"/>
              </w:rPr>
              <w:t>.01.</w:t>
            </w:r>
            <w:r w:rsidRPr="00CB5388">
              <w:rPr>
                <w:rFonts w:ascii="Arabic Typesetting" w:hAnsi="Arabic Typesetting" w:cs="Arabic Typesetting"/>
                <w:b/>
                <w:bCs/>
                <w:sz w:val="26"/>
                <w:szCs w:val="26"/>
              </w:rPr>
              <w:t>2016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954485" w:rsidRDefault="00954485" w:rsidP="00954485">
            <w:pPr>
              <w:bidi/>
              <w:jc w:val="center"/>
              <w:rPr>
                <w:rFonts w:ascii="Arabic Typesetting" w:hAnsi="Arabic Typesetting" w:cs="Arabic Typesetting"/>
                <w:b/>
                <w:bCs/>
                <w:sz w:val="26"/>
                <w:szCs w:val="26"/>
              </w:rPr>
            </w:pPr>
            <w:r w:rsidRPr="00954485">
              <w:rPr>
                <w:rFonts w:ascii="Arabic Typesetting" w:hAnsi="Arabic Typesetting" w:cs="Arabic Typesetting"/>
                <w:b/>
                <w:bCs/>
                <w:sz w:val="26"/>
                <w:szCs w:val="26"/>
              </w:rPr>
              <w:t>2016</w:t>
            </w:r>
            <w:r w:rsidR="008126B6" w:rsidRPr="00954485">
              <w:rPr>
                <w:rFonts w:ascii="Arabic Typesetting" w:hAnsi="Arabic Typesetting" w:cs="Arabic Typesetting"/>
                <w:b/>
                <w:bCs/>
                <w:sz w:val="26"/>
                <w:szCs w:val="26"/>
              </w:rPr>
              <w:t>/</w:t>
            </w:r>
            <w:r w:rsidRPr="00954485">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GE</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جورجيا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31.08.1998</w:t>
            </w:r>
          </w:p>
        </w:tc>
        <w:tc>
          <w:tcPr>
            <w:tcW w:w="690" w:type="pct"/>
            <w:tcBorders>
              <w:top w:val="single" w:sz="4" w:space="0" w:color="auto"/>
              <w:left w:val="nil"/>
              <w:bottom w:val="single" w:sz="4" w:space="0" w:color="auto"/>
              <w:right w:val="single" w:sz="4" w:space="0" w:color="auto"/>
            </w:tcBorders>
          </w:tcPr>
          <w:p w:rsidR="008126B6" w:rsidRPr="00B1767A" w:rsidRDefault="00B1767A" w:rsidP="00B1767A">
            <w:pPr>
              <w:bidi/>
              <w:jc w:val="center"/>
              <w:rPr>
                <w:rFonts w:ascii="Arabic Typesetting" w:hAnsi="Arabic Typesetting" w:cs="Arabic Typesetting"/>
                <w:b/>
                <w:bCs/>
                <w:sz w:val="26"/>
                <w:szCs w:val="26"/>
              </w:rPr>
            </w:pPr>
            <w:r w:rsidRPr="00B1767A">
              <w:rPr>
                <w:rFonts w:ascii="Arabic Typesetting" w:hAnsi="Arabic Typesetting" w:cs="Arabic Typesetting"/>
                <w:b/>
                <w:bCs/>
                <w:sz w:val="26"/>
                <w:szCs w:val="26"/>
              </w:rPr>
              <w:t>18</w:t>
            </w:r>
            <w:r w:rsidR="008126B6" w:rsidRPr="00B1767A">
              <w:rPr>
                <w:rFonts w:ascii="Arabic Typesetting" w:hAnsi="Arabic Typesetting" w:cs="Arabic Typesetting"/>
                <w:b/>
                <w:bCs/>
                <w:sz w:val="26"/>
                <w:szCs w:val="26"/>
              </w:rPr>
              <w:t>.</w:t>
            </w:r>
            <w:r w:rsidRPr="00B1767A">
              <w:rPr>
                <w:rFonts w:ascii="Arabic Typesetting" w:hAnsi="Arabic Typesetting" w:cs="Arabic Typesetting"/>
                <w:b/>
                <w:bCs/>
                <w:sz w:val="26"/>
                <w:szCs w:val="26"/>
              </w:rPr>
              <w:t>02</w:t>
            </w:r>
            <w:r w:rsidR="008126B6" w:rsidRPr="00B1767A">
              <w:rPr>
                <w:rFonts w:ascii="Arabic Typesetting" w:hAnsi="Arabic Typesetting" w:cs="Arabic Typesetting"/>
                <w:b/>
                <w:bCs/>
                <w:sz w:val="26"/>
                <w:szCs w:val="26"/>
              </w:rPr>
              <w:t>.</w:t>
            </w:r>
            <w:r w:rsidRPr="00B1767A">
              <w:rPr>
                <w:rFonts w:ascii="Arabic Typesetting" w:hAnsi="Arabic Typesetting" w:cs="Arabic Typesetting"/>
                <w:b/>
                <w:bCs/>
                <w:sz w:val="26"/>
                <w:szCs w:val="26"/>
              </w:rPr>
              <w:t>2015</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B1767A" w:rsidRDefault="00B1767A" w:rsidP="00B1767A">
            <w:pPr>
              <w:bidi/>
              <w:jc w:val="center"/>
              <w:rPr>
                <w:rFonts w:ascii="Arabic Typesetting" w:hAnsi="Arabic Typesetting" w:cs="Arabic Typesetting"/>
                <w:b/>
                <w:bCs/>
                <w:sz w:val="26"/>
                <w:szCs w:val="26"/>
              </w:rPr>
            </w:pPr>
            <w:r w:rsidRPr="00B1767A">
              <w:rPr>
                <w:rFonts w:ascii="Arabic Typesetting" w:hAnsi="Arabic Typesetting" w:cs="Arabic Typesetting"/>
                <w:b/>
                <w:bCs/>
                <w:sz w:val="26"/>
                <w:szCs w:val="26"/>
              </w:rPr>
              <w:t>2016</w:t>
            </w:r>
            <w:r w:rsidR="008126B6" w:rsidRPr="00B1767A">
              <w:rPr>
                <w:rFonts w:ascii="Arabic Typesetting" w:hAnsi="Arabic Typesetting" w:cs="Arabic Typesetting"/>
                <w:b/>
                <w:bCs/>
                <w:sz w:val="26"/>
                <w:szCs w:val="26"/>
              </w:rPr>
              <w:t>/</w:t>
            </w:r>
            <w:r w:rsidRPr="00B1767A">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lastRenderedPageBreak/>
              <w:t>JP</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اليابان</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01.09.1996</w:t>
            </w:r>
          </w:p>
        </w:tc>
        <w:tc>
          <w:tcPr>
            <w:tcW w:w="690" w:type="pct"/>
            <w:tcBorders>
              <w:top w:val="single" w:sz="4" w:space="0" w:color="auto"/>
              <w:left w:val="nil"/>
              <w:bottom w:val="single" w:sz="4" w:space="0" w:color="auto"/>
              <w:right w:val="single" w:sz="4" w:space="0" w:color="auto"/>
            </w:tcBorders>
          </w:tcPr>
          <w:p w:rsidR="008126B6" w:rsidRPr="005E4EF8" w:rsidRDefault="005E4EF8" w:rsidP="005E4EF8">
            <w:pPr>
              <w:bidi/>
              <w:jc w:val="center"/>
              <w:rPr>
                <w:rFonts w:ascii="Arabic Typesetting" w:hAnsi="Arabic Typesetting" w:cs="Arabic Typesetting"/>
                <w:b/>
                <w:bCs/>
                <w:sz w:val="26"/>
                <w:szCs w:val="26"/>
              </w:rPr>
            </w:pPr>
            <w:r w:rsidRPr="005E4EF8">
              <w:rPr>
                <w:rFonts w:ascii="Arabic Typesetting" w:hAnsi="Arabic Typesetting" w:cs="Arabic Typesetting"/>
                <w:b/>
                <w:bCs/>
                <w:sz w:val="26"/>
                <w:szCs w:val="26"/>
              </w:rPr>
              <w:t>29</w:t>
            </w:r>
            <w:r w:rsidR="008126B6" w:rsidRPr="005E4EF8">
              <w:rPr>
                <w:rFonts w:ascii="Arabic Typesetting" w:hAnsi="Arabic Typesetting" w:cs="Arabic Typesetting"/>
                <w:b/>
                <w:bCs/>
                <w:sz w:val="26"/>
                <w:szCs w:val="26"/>
              </w:rPr>
              <w:t>.01.</w:t>
            </w:r>
            <w:r w:rsidRPr="005E4EF8">
              <w:rPr>
                <w:rFonts w:ascii="Arabic Typesetting" w:hAnsi="Arabic Typesetting" w:cs="Arabic Typesetting"/>
                <w:b/>
                <w:bCs/>
                <w:sz w:val="26"/>
                <w:szCs w:val="26"/>
              </w:rPr>
              <w:t>2016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دخول/عدم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5E4EF8" w:rsidRDefault="005E4EF8" w:rsidP="005E4EF8">
            <w:pPr>
              <w:bidi/>
              <w:jc w:val="center"/>
              <w:rPr>
                <w:rFonts w:ascii="Arabic Typesetting" w:hAnsi="Arabic Typesetting" w:cs="Arabic Typesetting"/>
                <w:b/>
                <w:bCs/>
                <w:sz w:val="26"/>
                <w:szCs w:val="26"/>
              </w:rPr>
            </w:pPr>
            <w:r w:rsidRPr="005E4EF8">
              <w:rPr>
                <w:rFonts w:ascii="Arabic Typesetting" w:hAnsi="Arabic Typesetting" w:cs="Arabic Typesetting"/>
                <w:b/>
                <w:bCs/>
                <w:sz w:val="26"/>
                <w:szCs w:val="26"/>
              </w:rPr>
              <w:t>2016</w:t>
            </w:r>
            <w:r w:rsidR="008126B6" w:rsidRPr="005E4EF8">
              <w:rPr>
                <w:rFonts w:ascii="Arabic Typesetting" w:hAnsi="Arabic Typesetting" w:cs="Arabic Typesetting"/>
                <w:b/>
                <w:bCs/>
                <w:sz w:val="26"/>
                <w:szCs w:val="26"/>
              </w:rPr>
              <w:t>/</w:t>
            </w:r>
            <w:r w:rsidRPr="005E4EF8">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KE</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كينيا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11.12.1995</w:t>
            </w:r>
          </w:p>
        </w:tc>
        <w:tc>
          <w:tcPr>
            <w:tcW w:w="690"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18.11.2013</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2013/50</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KR</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جمهورية كوريا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01.01.2000</w:t>
            </w:r>
          </w:p>
        </w:tc>
        <w:tc>
          <w:tcPr>
            <w:tcW w:w="690" w:type="pct"/>
            <w:tcBorders>
              <w:top w:val="single" w:sz="4" w:space="0" w:color="auto"/>
              <w:left w:val="nil"/>
              <w:bottom w:val="single" w:sz="4" w:space="0" w:color="auto"/>
              <w:right w:val="single" w:sz="4" w:space="0" w:color="auto"/>
            </w:tcBorders>
          </w:tcPr>
          <w:p w:rsidR="008126B6" w:rsidRPr="00D92486" w:rsidRDefault="00D92486" w:rsidP="00D92486">
            <w:pPr>
              <w:bidi/>
              <w:jc w:val="center"/>
              <w:rPr>
                <w:rFonts w:ascii="Arabic Typesetting" w:hAnsi="Arabic Typesetting" w:cs="Arabic Typesetting"/>
                <w:b/>
                <w:bCs/>
                <w:sz w:val="26"/>
                <w:szCs w:val="26"/>
              </w:rPr>
            </w:pPr>
            <w:r w:rsidRPr="00D92486">
              <w:rPr>
                <w:rFonts w:ascii="Arabic Typesetting" w:hAnsi="Arabic Typesetting" w:cs="Arabic Typesetting"/>
                <w:b/>
                <w:bCs/>
                <w:sz w:val="26"/>
                <w:szCs w:val="26"/>
              </w:rPr>
              <w:t>15</w:t>
            </w:r>
            <w:r w:rsidR="008126B6" w:rsidRPr="00D92486">
              <w:rPr>
                <w:rFonts w:ascii="Arabic Typesetting" w:hAnsi="Arabic Typesetting" w:cs="Arabic Typesetting"/>
                <w:b/>
                <w:bCs/>
                <w:sz w:val="26"/>
                <w:szCs w:val="26"/>
              </w:rPr>
              <w:t>.</w:t>
            </w:r>
            <w:r w:rsidRPr="00D92486">
              <w:rPr>
                <w:rFonts w:ascii="Arabic Typesetting" w:hAnsi="Arabic Typesetting" w:cs="Arabic Typesetting"/>
                <w:b/>
                <w:bCs/>
                <w:sz w:val="26"/>
                <w:szCs w:val="26"/>
              </w:rPr>
              <w:t>01</w:t>
            </w:r>
            <w:r w:rsidR="008126B6" w:rsidRPr="00D92486">
              <w:rPr>
                <w:rFonts w:ascii="Arabic Typesetting" w:hAnsi="Arabic Typesetting" w:cs="Arabic Typesetting"/>
                <w:b/>
                <w:bCs/>
                <w:sz w:val="26"/>
                <w:szCs w:val="26"/>
              </w:rPr>
              <w:t>.</w:t>
            </w:r>
            <w:r w:rsidRPr="00D92486">
              <w:rPr>
                <w:rFonts w:ascii="Arabic Typesetting" w:hAnsi="Arabic Typesetting" w:cs="Arabic Typesetting"/>
                <w:b/>
                <w:bCs/>
                <w:sz w:val="26"/>
                <w:szCs w:val="26"/>
              </w:rPr>
              <w:t>2016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دخول/عدم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757061" w:rsidRDefault="00757061" w:rsidP="00757061">
            <w:pPr>
              <w:bidi/>
              <w:jc w:val="center"/>
              <w:rPr>
                <w:rFonts w:ascii="Arabic Typesetting" w:hAnsi="Arabic Typesetting" w:cs="Arabic Typesetting"/>
                <w:b/>
                <w:bCs/>
                <w:sz w:val="26"/>
                <w:szCs w:val="26"/>
              </w:rPr>
            </w:pPr>
            <w:r w:rsidRPr="00757061">
              <w:rPr>
                <w:rFonts w:ascii="Arabic Typesetting" w:hAnsi="Arabic Typesetting" w:cs="Arabic Typesetting"/>
                <w:b/>
                <w:bCs/>
                <w:sz w:val="26"/>
                <w:szCs w:val="26"/>
              </w:rPr>
              <w:t>2016</w:t>
            </w:r>
            <w:r w:rsidR="008126B6" w:rsidRPr="00757061">
              <w:rPr>
                <w:rFonts w:ascii="Arabic Typesetting" w:hAnsi="Arabic Typesetting" w:cs="Arabic Typesetting"/>
                <w:b/>
                <w:bCs/>
                <w:sz w:val="26"/>
                <w:szCs w:val="26"/>
              </w:rPr>
              <w:t>/</w:t>
            </w:r>
            <w:r w:rsidRPr="00757061">
              <w:rPr>
                <w:rFonts w:ascii="Arabic Typesetting" w:hAnsi="Arabic Typesetting" w:cs="Arabic Typesetting"/>
                <w:b/>
                <w:bCs/>
                <w:sz w:val="26"/>
                <w:szCs w:val="26"/>
              </w:rPr>
              <w:t>04</w:t>
            </w:r>
          </w:p>
        </w:tc>
      </w:tr>
      <w:tr w:rsidR="008126B6" w:rsidRPr="005F7F2F" w:rsidTr="008126B6">
        <w:trPr>
          <w:cantSplit/>
          <w:trHeight w:val="510"/>
        </w:trPr>
        <w:tc>
          <w:tcPr>
            <w:tcW w:w="321" w:type="pct"/>
            <w:tcBorders>
              <w:top w:val="single" w:sz="4" w:space="0" w:color="auto"/>
              <w:left w:val="single" w:sz="4" w:space="0" w:color="auto"/>
              <w:right w:val="single" w:sz="4" w:space="0" w:color="auto"/>
            </w:tcBorders>
            <w:noWrap/>
          </w:tcPr>
          <w:p w:rsidR="008126B6" w:rsidRPr="00FC2BC2" w:rsidRDefault="008126B6" w:rsidP="008126B6">
            <w:pPr>
              <w:bidi/>
              <w:rPr>
                <w:rFonts w:ascii="Arabic Typesetting" w:hAnsi="Arabic Typesetting" w:cs="Arabic Typesetting"/>
                <w:strike/>
                <w:sz w:val="26"/>
                <w:szCs w:val="26"/>
              </w:rPr>
            </w:pPr>
            <w:r w:rsidRPr="00FC2BC2">
              <w:rPr>
                <w:rFonts w:ascii="Arabic Typesetting" w:hAnsi="Arabic Typesetting" w:cs="Arabic Typesetting"/>
                <w:strike/>
                <w:sz w:val="26"/>
                <w:szCs w:val="26"/>
              </w:rPr>
              <w:t>LT</w:t>
            </w:r>
          </w:p>
        </w:tc>
        <w:tc>
          <w:tcPr>
            <w:tcW w:w="1074" w:type="pct"/>
            <w:tcBorders>
              <w:top w:val="single" w:sz="4" w:space="0" w:color="auto"/>
              <w:left w:val="nil"/>
              <w:right w:val="single" w:sz="4" w:space="0" w:color="auto"/>
            </w:tcBorders>
            <w:noWrap/>
          </w:tcPr>
          <w:p w:rsidR="008126B6" w:rsidRPr="00FC2BC2" w:rsidRDefault="008126B6" w:rsidP="008126B6">
            <w:pPr>
              <w:bidi/>
              <w:rPr>
                <w:rFonts w:ascii="Arabic Typesetting" w:hAnsi="Arabic Typesetting" w:cs="Arabic Typesetting"/>
                <w:strike/>
                <w:sz w:val="26"/>
                <w:szCs w:val="26"/>
              </w:rPr>
            </w:pPr>
            <w:proofErr w:type="gramStart"/>
            <w:r w:rsidRPr="00FC2BC2">
              <w:rPr>
                <w:rFonts w:ascii="Arabic Typesetting" w:hAnsi="Arabic Typesetting" w:cs="Arabic Typesetting"/>
                <w:strike/>
                <w:sz w:val="26"/>
                <w:szCs w:val="26"/>
                <w:rtl/>
              </w:rPr>
              <w:t>ليتوانيا</w:t>
            </w:r>
            <w:proofErr w:type="gramEnd"/>
          </w:p>
        </w:tc>
        <w:tc>
          <w:tcPr>
            <w:tcW w:w="614" w:type="pct"/>
            <w:tcBorders>
              <w:top w:val="single" w:sz="4" w:space="0" w:color="auto"/>
              <w:left w:val="nil"/>
              <w:right w:val="single" w:sz="4" w:space="0" w:color="auto"/>
            </w:tcBorders>
          </w:tcPr>
          <w:p w:rsidR="008126B6" w:rsidRPr="00FC2BC2" w:rsidRDefault="008126B6" w:rsidP="008126B6">
            <w:pPr>
              <w:bidi/>
              <w:jc w:val="center"/>
              <w:rPr>
                <w:rFonts w:ascii="Arabic Typesetting" w:hAnsi="Arabic Typesetting" w:cs="Arabic Typesetting"/>
                <w:strike/>
                <w:sz w:val="26"/>
                <w:szCs w:val="26"/>
              </w:rPr>
            </w:pPr>
            <w:r w:rsidRPr="00FC2BC2">
              <w:rPr>
                <w:rFonts w:ascii="Arabic Typesetting" w:hAnsi="Arabic Typesetting" w:cs="Arabic Typesetting"/>
                <w:strike/>
                <w:sz w:val="26"/>
                <w:szCs w:val="26"/>
              </w:rPr>
              <w:t>01.07.1997</w:t>
            </w:r>
          </w:p>
        </w:tc>
        <w:tc>
          <w:tcPr>
            <w:tcW w:w="690" w:type="pct"/>
            <w:tcBorders>
              <w:top w:val="single" w:sz="4" w:space="0" w:color="auto"/>
              <w:left w:val="nil"/>
              <w:right w:val="single" w:sz="4" w:space="0" w:color="auto"/>
            </w:tcBorders>
          </w:tcPr>
          <w:p w:rsidR="008126B6" w:rsidRPr="00FC2BC2" w:rsidRDefault="008126B6" w:rsidP="008126B6">
            <w:pPr>
              <w:bidi/>
              <w:jc w:val="center"/>
              <w:rPr>
                <w:rFonts w:ascii="Arabic Typesetting" w:hAnsi="Arabic Typesetting" w:cs="Arabic Typesetting"/>
                <w:strike/>
                <w:sz w:val="26"/>
                <w:szCs w:val="26"/>
              </w:rPr>
            </w:pPr>
            <w:r w:rsidRPr="00FC2BC2">
              <w:rPr>
                <w:rFonts w:ascii="Arabic Typesetting" w:hAnsi="Arabic Typesetting" w:cs="Arabic Typesetting"/>
                <w:strike/>
                <w:sz w:val="26"/>
                <w:szCs w:val="26"/>
              </w:rPr>
              <w:t>25.01.2012</w:t>
            </w:r>
          </w:p>
        </w:tc>
        <w:tc>
          <w:tcPr>
            <w:tcW w:w="1229" w:type="pct"/>
            <w:tcBorders>
              <w:top w:val="single" w:sz="4" w:space="0" w:color="auto"/>
              <w:left w:val="nil"/>
              <w:right w:val="single" w:sz="4" w:space="0" w:color="auto"/>
            </w:tcBorders>
          </w:tcPr>
          <w:p w:rsidR="008126B6" w:rsidRPr="00FC2BC2" w:rsidRDefault="008126B6" w:rsidP="008126B6">
            <w:pPr>
              <w:bidi/>
              <w:rPr>
                <w:rFonts w:ascii="Arabic Typesetting" w:hAnsi="Arabic Typesetting" w:cs="Arabic Typesetting"/>
                <w:strike/>
                <w:sz w:val="26"/>
                <w:szCs w:val="26"/>
              </w:rPr>
            </w:pPr>
            <w:r w:rsidRPr="00FC2BC2">
              <w:rPr>
                <w:rFonts w:ascii="Arabic Typesetting" w:hAnsi="Arabic Typesetting" w:cs="Arabic Typesetting"/>
                <w:strike/>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FC2BC2" w:rsidRDefault="008126B6" w:rsidP="008126B6">
            <w:pPr>
              <w:bidi/>
              <w:jc w:val="center"/>
              <w:rPr>
                <w:rFonts w:ascii="Arabic Typesetting" w:hAnsi="Arabic Typesetting" w:cs="Arabic Typesetting"/>
                <w:strike/>
                <w:sz w:val="26"/>
                <w:szCs w:val="26"/>
              </w:rPr>
            </w:pPr>
            <w:r w:rsidRPr="00FC2BC2">
              <w:rPr>
                <w:rFonts w:ascii="Arabic Typesetting" w:hAnsi="Arabic Typesetting" w:cs="Arabic Typesetting"/>
                <w:strike/>
                <w:sz w:val="26"/>
                <w:szCs w:val="26"/>
              </w:rPr>
              <w:t>2012/05</w:t>
            </w:r>
          </w:p>
        </w:tc>
      </w:tr>
      <w:tr w:rsidR="008126B6" w:rsidRPr="005F7F2F" w:rsidTr="008126B6">
        <w:trPr>
          <w:cantSplit/>
          <w:trHeight w:val="510"/>
        </w:trPr>
        <w:tc>
          <w:tcPr>
            <w:tcW w:w="321" w:type="pct"/>
            <w:tcBorders>
              <w:top w:val="single" w:sz="4" w:space="0" w:color="auto"/>
              <w:left w:val="single" w:sz="4" w:space="0" w:color="auto"/>
              <w:right w:val="single" w:sz="4" w:space="0" w:color="auto"/>
            </w:tcBorders>
            <w:noWrap/>
          </w:tcPr>
          <w:p w:rsidR="008126B6" w:rsidRPr="00FC2BC2" w:rsidRDefault="008126B6" w:rsidP="008126B6">
            <w:pPr>
              <w:bidi/>
              <w:rPr>
                <w:rFonts w:ascii="Arabic Typesetting" w:hAnsi="Arabic Typesetting" w:cs="Arabic Typesetting"/>
                <w:strike/>
                <w:sz w:val="26"/>
                <w:szCs w:val="26"/>
              </w:rPr>
            </w:pPr>
            <w:r w:rsidRPr="00FC2BC2">
              <w:rPr>
                <w:rFonts w:ascii="Arabic Typesetting" w:hAnsi="Arabic Typesetting" w:cs="Arabic Typesetting"/>
                <w:strike/>
                <w:sz w:val="26"/>
                <w:szCs w:val="26"/>
              </w:rPr>
              <w:t>LV</w:t>
            </w:r>
          </w:p>
        </w:tc>
        <w:tc>
          <w:tcPr>
            <w:tcW w:w="1074" w:type="pct"/>
            <w:tcBorders>
              <w:top w:val="single" w:sz="4" w:space="0" w:color="auto"/>
              <w:left w:val="nil"/>
              <w:right w:val="single" w:sz="4" w:space="0" w:color="auto"/>
            </w:tcBorders>
            <w:noWrap/>
          </w:tcPr>
          <w:p w:rsidR="008126B6" w:rsidRPr="00FC2BC2" w:rsidRDefault="008126B6" w:rsidP="008126B6">
            <w:pPr>
              <w:bidi/>
              <w:rPr>
                <w:rFonts w:ascii="Arabic Typesetting" w:hAnsi="Arabic Typesetting" w:cs="Arabic Typesetting"/>
                <w:strike/>
                <w:sz w:val="26"/>
                <w:szCs w:val="26"/>
              </w:rPr>
            </w:pPr>
            <w:r w:rsidRPr="00FC2BC2">
              <w:rPr>
                <w:rFonts w:ascii="Arabic Typesetting" w:hAnsi="Arabic Typesetting" w:cs="Arabic Typesetting"/>
                <w:strike/>
                <w:sz w:val="26"/>
                <w:szCs w:val="26"/>
                <w:rtl/>
              </w:rPr>
              <w:t>لاتفيا</w:t>
            </w:r>
          </w:p>
        </w:tc>
        <w:tc>
          <w:tcPr>
            <w:tcW w:w="614" w:type="pct"/>
            <w:tcBorders>
              <w:top w:val="single" w:sz="4" w:space="0" w:color="auto"/>
              <w:left w:val="nil"/>
              <w:right w:val="single" w:sz="4" w:space="0" w:color="auto"/>
            </w:tcBorders>
          </w:tcPr>
          <w:p w:rsidR="008126B6" w:rsidRPr="00FC2BC2" w:rsidRDefault="008126B6" w:rsidP="008126B6">
            <w:pPr>
              <w:bidi/>
              <w:jc w:val="center"/>
              <w:rPr>
                <w:rFonts w:ascii="Arabic Typesetting" w:hAnsi="Arabic Typesetting" w:cs="Arabic Typesetting"/>
                <w:strike/>
                <w:sz w:val="26"/>
                <w:szCs w:val="26"/>
              </w:rPr>
            </w:pPr>
            <w:r w:rsidRPr="00FC2BC2">
              <w:rPr>
                <w:rFonts w:ascii="Arabic Typesetting" w:hAnsi="Arabic Typesetting" w:cs="Arabic Typesetting"/>
                <w:strike/>
                <w:sz w:val="26"/>
                <w:szCs w:val="26"/>
              </w:rPr>
              <w:t>01.01.1998</w:t>
            </w:r>
          </w:p>
        </w:tc>
        <w:tc>
          <w:tcPr>
            <w:tcW w:w="690" w:type="pct"/>
            <w:tcBorders>
              <w:top w:val="single" w:sz="4" w:space="0" w:color="auto"/>
              <w:left w:val="nil"/>
              <w:right w:val="single" w:sz="4" w:space="0" w:color="auto"/>
            </w:tcBorders>
          </w:tcPr>
          <w:p w:rsidR="008126B6" w:rsidRPr="00FC2BC2" w:rsidRDefault="008126B6" w:rsidP="008126B6">
            <w:pPr>
              <w:bidi/>
              <w:jc w:val="center"/>
              <w:rPr>
                <w:rFonts w:ascii="Arabic Typesetting" w:hAnsi="Arabic Typesetting" w:cs="Arabic Typesetting"/>
                <w:strike/>
                <w:sz w:val="26"/>
                <w:szCs w:val="26"/>
              </w:rPr>
            </w:pPr>
            <w:r w:rsidRPr="00FC2BC2">
              <w:rPr>
                <w:rFonts w:ascii="Arabic Typesetting" w:hAnsi="Arabic Typesetting" w:cs="Arabic Typesetting"/>
                <w:strike/>
                <w:sz w:val="26"/>
                <w:szCs w:val="26"/>
              </w:rPr>
              <w:t>30.07.2007</w:t>
            </w:r>
          </w:p>
        </w:tc>
        <w:tc>
          <w:tcPr>
            <w:tcW w:w="1229" w:type="pct"/>
            <w:tcBorders>
              <w:top w:val="single" w:sz="4" w:space="0" w:color="auto"/>
              <w:left w:val="nil"/>
              <w:right w:val="single" w:sz="4" w:space="0" w:color="auto"/>
            </w:tcBorders>
          </w:tcPr>
          <w:p w:rsidR="008126B6" w:rsidRPr="00FC2BC2" w:rsidRDefault="008126B6" w:rsidP="008126B6">
            <w:pPr>
              <w:bidi/>
              <w:rPr>
                <w:rFonts w:ascii="Arabic Typesetting" w:hAnsi="Arabic Typesetting" w:cs="Arabic Typesetting"/>
                <w:strike/>
                <w:sz w:val="26"/>
                <w:szCs w:val="26"/>
              </w:rPr>
            </w:pPr>
            <w:r w:rsidRPr="00FC2BC2">
              <w:rPr>
                <w:rFonts w:ascii="Arabic Typesetting" w:hAnsi="Arabic Typesetting" w:cs="Arabic Typesetting"/>
                <w:strike/>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FC2BC2" w:rsidRDefault="008126B6" w:rsidP="008126B6">
            <w:pPr>
              <w:bidi/>
              <w:jc w:val="center"/>
              <w:rPr>
                <w:rFonts w:ascii="Arabic Typesetting" w:hAnsi="Arabic Typesetting" w:cs="Arabic Typesetting"/>
                <w:strike/>
                <w:sz w:val="26"/>
                <w:szCs w:val="26"/>
              </w:rPr>
            </w:pPr>
            <w:r w:rsidRPr="00FC2BC2">
              <w:rPr>
                <w:rFonts w:ascii="Arabic Typesetting" w:hAnsi="Arabic Typesetting" w:cs="Arabic Typesetting"/>
                <w:strike/>
                <w:sz w:val="26"/>
                <w:szCs w:val="26"/>
              </w:rPr>
              <w:t>2008/47</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MD</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جمهورية مولدوفا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01.06.2006</w:t>
            </w:r>
          </w:p>
        </w:tc>
        <w:tc>
          <w:tcPr>
            <w:tcW w:w="690" w:type="pct"/>
            <w:tcBorders>
              <w:top w:val="single" w:sz="4" w:space="0" w:color="auto"/>
              <w:left w:val="nil"/>
              <w:bottom w:val="single" w:sz="4" w:space="0" w:color="auto"/>
              <w:right w:val="single" w:sz="4" w:space="0" w:color="auto"/>
            </w:tcBorders>
          </w:tcPr>
          <w:p w:rsidR="008126B6" w:rsidRPr="00FC2BC2" w:rsidRDefault="008126B6" w:rsidP="00FC2BC2">
            <w:pPr>
              <w:bidi/>
              <w:jc w:val="center"/>
              <w:rPr>
                <w:rFonts w:ascii="Arabic Typesetting" w:hAnsi="Arabic Typesetting" w:cs="Arabic Typesetting"/>
                <w:b/>
                <w:bCs/>
                <w:sz w:val="26"/>
                <w:szCs w:val="26"/>
              </w:rPr>
            </w:pPr>
            <w:r w:rsidRPr="00FC2BC2">
              <w:rPr>
                <w:rFonts w:ascii="Arabic Typesetting" w:hAnsi="Arabic Typesetting" w:cs="Arabic Typesetting"/>
                <w:b/>
                <w:bCs/>
                <w:sz w:val="26"/>
                <w:szCs w:val="26"/>
              </w:rPr>
              <w:t>31.</w:t>
            </w:r>
            <w:r w:rsidR="00FC2BC2" w:rsidRPr="00FC2BC2">
              <w:rPr>
                <w:rFonts w:ascii="Arabic Typesetting" w:hAnsi="Arabic Typesetting" w:cs="Arabic Typesetting"/>
                <w:b/>
                <w:bCs/>
                <w:sz w:val="26"/>
                <w:szCs w:val="26"/>
              </w:rPr>
              <w:t>01</w:t>
            </w:r>
            <w:r w:rsidRPr="00FC2BC2">
              <w:rPr>
                <w:rFonts w:ascii="Arabic Typesetting" w:hAnsi="Arabic Typesetting" w:cs="Arabic Typesetting"/>
                <w:b/>
                <w:bCs/>
                <w:sz w:val="26"/>
                <w:szCs w:val="26"/>
              </w:rPr>
              <w:t>.</w:t>
            </w:r>
            <w:r w:rsidR="00FC2BC2" w:rsidRPr="00FC2BC2">
              <w:rPr>
                <w:rFonts w:ascii="Arabic Typesetting" w:hAnsi="Arabic Typesetting" w:cs="Arabic Typesetting"/>
                <w:b/>
                <w:bCs/>
                <w:sz w:val="26"/>
                <w:szCs w:val="26"/>
              </w:rPr>
              <w:t>2016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FC2BC2" w:rsidRDefault="00FC2BC2" w:rsidP="00FC2BC2">
            <w:pPr>
              <w:bidi/>
              <w:jc w:val="center"/>
              <w:rPr>
                <w:rFonts w:ascii="Arabic Typesetting" w:hAnsi="Arabic Typesetting" w:cs="Arabic Typesetting"/>
                <w:b/>
                <w:bCs/>
                <w:sz w:val="26"/>
                <w:szCs w:val="26"/>
              </w:rPr>
            </w:pPr>
            <w:r w:rsidRPr="00FC2BC2">
              <w:rPr>
                <w:rFonts w:ascii="Arabic Typesetting" w:hAnsi="Arabic Typesetting" w:cs="Arabic Typesetting"/>
                <w:b/>
                <w:bCs/>
                <w:sz w:val="26"/>
                <w:szCs w:val="26"/>
              </w:rPr>
              <w:t>2016</w:t>
            </w:r>
            <w:r w:rsidR="008126B6" w:rsidRPr="00FC2BC2">
              <w:rPr>
                <w:rFonts w:ascii="Arabic Typesetting" w:hAnsi="Arabic Typesetting" w:cs="Arabic Typesetting"/>
                <w:b/>
                <w:bCs/>
                <w:sz w:val="26"/>
                <w:szCs w:val="26"/>
              </w:rPr>
              <w:t>/</w:t>
            </w:r>
            <w:r w:rsidRPr="00FC2BC2">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0D6590" w:rsidRDefault="008126B6" w:rsidP="008126B6">
            <w:pPr>
              <w:bidi/>
              <w:rPr>
                <w:rFonts w:ascii="Arabic Typesetting" w:hAnsi="Arabic Typesetting" w:cs="Arabic Typesetting"/>
                <w:strike/>
                <w:sz w:val="26"/>
                <w:szCs w:val="26"/>
              </w:rPr>
            </w:pPr>
            <w:r w:rsidRPr="000D6590">
              <w:rPr>
                <w:rFonts w:ascii="Arabic Typesetting" w:hAnsi="Arabic Typesetting" w:cs="Arabic Typesetting"/>
                <w:strike/>
                <w:sz w:val="26"/>
                <w:szCs w:val="26"/>
              </w:rPr>
              <w:t>NZ</w:t>
            </w:r>
          </w:p>
        </w:tc>
        <w:tc>
          <w:tcPr>
            <w:tcW w:w="1074" w:type="pct"/>
            <w:tcBorders>
              <w:top w:val="single" w:sz="4" w:space="0" w:color="auto"/>
              <w:left w:val="single" w:sz="4" w:space="0" w:color="auto"/>
              <w:bottom w:val="single" w:sz="4" w:space="0" w:color="auto"/>
              <w:right w:val="single" w:sz="4" w:space="0" w:color="auto"/>
            </w:tcBorders>
            <w:noWrap/>
          </w:tcPr>
          <w:p w:rsidR="008126B6" w:rsidRPr="000D6590" w:rsidRDefault="008126B6" w:rsidP="008126B6">
            <w:pPr>
              <w:bidi/>
              <w:rPr>
                <w:rFonts w:ascii="Arabic Typesetting" w:hAnsi="Arabic Typesetting" w:cs="Arabic Typesetting"/>
                <w:strike/>
                <w:sz w:val="26"/>
                <w:szCs w:val="26"/>
              </w:rPr>
            </w:pPr>
            <w:r w:rsidRPr="000D6590">
              <w:rPr>
                <w:rFonts w:ascii="Arabic Typesetting" w:hAnsi="Arabic Typesetting" w:cs="Arabic Typesetting"/>
                <w:strike/>
                <w:sz w:val="26"/>
                <w:szCs w:val="26"/>
                <w:rtl/>
              </w:rPr>
              <w:t>نيوزيلندا</w:t>
            </w:r>
          </w:p>
        </w:tc>
        <w:tc>
          <w:tcPr>
            <w:tcW w:w="614" w:type="pct"/>
            <w:tcBorders>
              <w:top w:val="single" w:sz="4" w:space="0" w:color="auto"/>
              <w:left w:val="single" w:sz="4" w:space="0" w:color="auto"/>
              <w:bottom w:val="single" w:sz="4" w:space="0" w:color="auto"/>
              <w:right w:val="single" w:sz="4" w:space="0" w:color="auto"/>
            </w:tcBorders>
          </w:tcPr>
          <w:p w:rsidR="008126B6" w:rsidRPr="000D6590" w:rsidRDefault="008126B6" w:rsidP="008126B6">
            <w:pPr>
              <w:bidi/>
              <w:jc w:val="center"/>
              <w:rPr>
                <w:rFonts w:ascii="Arabic Typesetting" w:hAnsi="Arabic Typesetting" w:cs="Arabic Typesetting"/>
                <w:strike/>
                <w:sz w:val="26"/>
                <w:szCs w:val="26"/>
              </w:rPr>
            </w:pPr>
            <w:r w:rsidRPr="000D6590">
              <w:rPr>
                <w:rFonts w:ascii="Arabic Typesetting" w:hAnsi="Arabic Typesetting" w:cs="Arabic Typesetting"/>
                <w:strike/>
                <w:sz w:val="26"/>
                <w:szCs w:val="26"/>
              </w:rPr>
              <w:t>29.06.2001</w:t>
            </w:r>
          </w:p>
        </w:tc>
        <w:tc>
          <w:tcPr>
            <w:tcW w:w="690" w:type="pct"/>
            <w:tcBorders>
              <w:top w:val="single" w:sz="4" w:space="0" w:color="auto"/>
              <w:left w:val="single" w:sz="4" w:space="0" w:color="auto"/>
              <w:bottom w:val="single" w:sz="4" w:space="0" w:color="auto"/>
              <w:right w:val="single" w:sz="4" w:space="0" w:color="auto"/>
            </w:tcBorders>
          </w:tcPr>
          <w:p w:rsidR="008126B6" w:rsidRPr="000D6590" w:rsidRDefault="008126B6" w:rsidP="008126B6">
            <w:pPr>
              <w:bidi/>
              <w:jc w:val="center"/>
              <w:rPr>
                <w:rFonts w:ascii="Arabic Typesetting" w:hAnsi="Arabic Typesetting" w:cs="Arabic Typesetting"/>
                <w:strike/>
                <w:sz w:val="26"/>
                <w:szCs w:val="26"/>
              </w:rPr>
            </w:pPr>
            <w:r w:rsidRPr="000D6590">
              <w:rPr>
                <w:rFonts w:ascii="Arabic Typesetting" w:hAnsi="Arabic Typesetting" w:cs="Arabic Typesetting"/>
                <w:strike/>
                <w:sz w:val="26"/>
                <w:szCs w:val="26"/>
              </w:rPr>
              <w:t>21.12.2012</w:t>
            </w:r>
          </w:p>
        </w:tc>
        <w:tc>
          <w:tcPr>
            <w:tcW w:w="1229" w:type="pct"/>
            <w:tcBorders>
              <w:top w:val="single" w:sz="4" w:space="0" w:color="auto"/>
              <w:left w:val="single" w:sz="4" w:space="0" w:color="auto"/>
              <w:bottom w:val="single" w:sz="4" w:space="0" w:color="auto"/>
              <w:right w:val="single" w:sz="4" w:space="0" w:color="auto"/>
            </w:tcBorders>
          </w:tcPr>
          <w:p w:rsidR="008126B6" w:rsidRPr="000D6590" w:rsidRDefault="008126B6" w:rsidP="008126B6">
            <w:pPr>
              <w:bidi/>
              <w:rPr>
                <w:rFonts w:ascii="Arabic Typesetting" w:hAnsi="Arabic Typesetting" w:cs="Arabic Typesetting"/>
                <w:strike/>
                <w:sz w:val="26"/>
                <w:szCs w:val="26"/>
              </w:rPr>
            </w:pPr>
            <w:r w:rsidRPr="000D6590">
              <w:rPr>
                <w:rFonts w:ascii="Arabic Typesetting" w:hAnsi="Arabic Typesetting" w:cs="Arabic Typesetting" w:hint="cs"/>
                <w:strike/>
                <w:sz w:val="26"/>
                <w:szCs w:val="26"/>
                <w:rtl/>
              </w:rPr>
              <w:t>بيانات الدخول من الجريدة</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0D6590" w:rsidRDefault="008126B6" w:rsidP="008126B6">
            <w:pPr>
              <w:bidi/>
              <w:jc w:val="center"/>
              <w:rPr>
                <w:rFonts w:ascii="Arabic Typesetting" w:hAnsi="Arabic Typesetting" w:cs="Arabic Typesetting"/>
                <w:strike/>
                <w:sz w:val="26"/>
                <w:szCs w:val="26"/>
              </w:rPr>
            </w:pPr>
            <w:r w:rsidRPr="000D6590">
              <w:rPr>
                <w:rFonts w:ascii="Arabic Typesetting" w:hAnsi="Arabic Typesetting" w:cs="Arabic Typesetting"/>
                <w:strike/>
                <w:sz w:val="26"/>
                <w:szCs w:val="26"/>
              </w:rPr>
              <w:t>2013/05</w:t>
            </w:r>
          </w:p>
        </w:tc>
      </w:tr>
      <w:tr w:rsidR="008126B6" w:rsidRPr="005F7F2F" w:rsidTr="008126B6">
        <w:trPr>
          <w:cantSplit/>
          <w:trHeight w:val="510"/>
        </w:trPr>
        <w:tc>
          <w:tcPr>
            <w:tcW w:w="321" w:type="pct"/>
            <w:tcBorders>
              <w:top w:val="single" w:sz="4" w:space="0" w:color="auto"/>
              <w:left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RO</w:t>
            </w:r>
          </w:p>
        </w:tc>
        <w:tc>
          <w:tcPr>
            <w:tcW w:w="1074" w:type="pct"/>
            <w:tcBorders>
              <w:top w:val="single" w:sz="4" w:space="0" w:color="auto"/>
              <w:left w:val="nil"/>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رومانيا</w:t>
            </w:r>
          </w:p>
        </w:tc>
        <w:tc>
          <w:tcPr>
            <w:tcW w:w="614" w:type="pct"/>
            <w:tcBorders>
              <w:top w:val="single" w:sz="4" w:space="0" w:color="auto"/>
              <w:left w:val="nil"/>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01.01.2002</w:t>
            </w:r>
          </w:p>
        </w:tc>
        <w:tc>
          <w:tcPr>
            <w:tcW w:w="690" w:type="pct"/>
            <w:tcBorders>
              <w:top w:val="single" w:sz="4" w:space="0" w:color="auto"/>
              <w:left w:val="nil"/>
              <w:right w:val="single" w:sz="4" w:space="0" w:color="auto"/>
            </w:tcBorders>
          </w:tcPr>
          <w:p w:rsidR="008126B6" w:rsidRPr="000D6590" w:rsidRDefault="000D6590" w:rsidP="000D6590">
            <w:pPr>
              <w:bidi/>
              <w:jc w:val="center"/>
              <w:rPr>
                <w:rFonts w:ascii="Arabic Typesetting" w:hAnsi="Arabic Typesetting" w:cs="Arabic Typesetting"/>
                <w:b/>
                <w:bCs/>
                <w:sz w:val="26"/>
                <w:szCs w:val="26"/>
              </w:rPr>
            </w:pPr>
            <w:r w:rsidRPr="000D6590">
              <w:rPr>
                <w:rFonts w:ascii="Arabic Typesetting" w:hAnsi="Arabic Typesetting" w:cs="Arabic Typesetting"/>
                <w:b/>
                <w:bCs/>
                <w:sz w:val="26"/>
                <w:szCs w:val="26"/>
              </w:rPr>
              <w:t>30</w:t>
            </w:r>
            <w:r w:rsidR="008126B6" w:rsidRPr="000D6590">
              <w:rPr>
                <w:rFonts w:ascii="Arabic Typesetting" w:hAnsi="Arabic Typesetting" w:cs="Arabic Typesetting"/>
                <w:b/>
                <w:bCs/>
                <w:sz w:val="26"/>
                <w:szCs w:val="26"/>
              </w:rPr>
              <w:t>.</w:t>
            </w:r>
            <w:r w:rsidRPr="000D6590">
              <w:rPr>
                <w:rFonts w:ascii="Arabic Typesetting" w:hAnsi="Arabic Typesetting" w:cs="Arabic Typesetting"/>
                <w:b/>
                <w:bCs/>
                <w:sz w:val="26"/>
                <w:szCs w:val="26"/>
              </w:rPr>
              <w:t>04</w:t>
            </w:r>
            <w:r w:rsidR="008126B6" w:rsidRPr="000D6590">
              <w:rPr>
                <w:rFonts w:ascii="Arabic Typesetting" w:hAnsi="Arabic Typesetting" w:cs="Arabic Typesetting"/>
                <w:b/>
                <w:bCs/>
                <w:sz w:val="26"/>
                <w:szCs w:val="26"/>
              </w:rPr>
              <w:t>.</w:t>
            </w:r>
            <w:r w:rsidRPr="000D6590">
              <w:rPr>
                <w:rFonts w:ascii="Arabic Typesetting" w:hAnsi="Arabic Typesetting" w:cs="Arabic Typesetting"/>
                <w:b/>
                <w:bCs/>
                <w:sz w:val="26"/>
                <w:szCs w:val="26"/>
              </w:rPr>
              <w:t>2015</w:t>
            </w:r>
          </w:p>
        </w:tc>
        <w:tc>
          <w:tcPr>
            <w:tcW w:w="1229" w:type="pct"/>
            <w:tcBorders>
              <w:top w:val="single" w:sz="4" w:space="0" w:color="auto"/>
              <w:left w:val="nil"/>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0D6590" w:rsidRDefault="000D6590" w:rsidP="000D6590">
            <w:pPr>
              <w:bidi/>
              <w:jc w:val="center"/>
              <w:rPr>
                <w:rFonts w:ascii="Arabic Typesetting" w:hAnsi="Arabic Typesetting" w:cs="Arabic Typesetting"/>
                <w:b/>
                <w:bCs/>
                <w:sz w:val="26"/>
                <w:szCs w:val="26"/>
              </w:rPr>
            </w:pPr>
            <w:r w:rsidRPr="000D6590">
              <w:rPr>
                <w:rFonts w:ascii="Arabic Typesetting" w:hAnsi="Arabic Typesetting" w:cs="Arabic Typesetting"/>
                <w:b/>
                <w:bCs/>
                <w:sz w:val="26"/>
                <w:szCs w:val="26"/>
              </w:rPr>
              <w:t>2015</w:t>
            </w:r>
            <w:r w:rsidR="008126B6" w:rsidRPr="000D6590">
              <w:rPr>
                <w:rFonts w:ascii="Arabic Typesetting" w:hAnsi="Arabic Typesetting" w:cs="Arabic Typesetting"/>
                <w:b/>
                <w:bCs/>
                <w:sz w:val="26"/>
                <w:szCs w:val="26"/>
              </w:rPr>
              <w:t>/</w:t>
            </w:r>
            <w:r w:rsidRPr="000D6590">
              <w:rPr>
                <w:rFonts w:ascii="Arabic Typesetting" w:hAnsi="Arabic Typesetting" w:cs="Arabic Typesetting"/>
                <w:b/>
                <w:bCs/>
                <w:sz w:val="26"/>
                <w:szCs w:val="26"/>
              </w:rPr>
              <w:t>37</w:t>
            </w:r>
          </w:p>
        </w:tc>
      </w:tr>
      <w:tr w:rsidR="008126B6" w:rsidRPr="005F7F2F" w:rsidTr="008126B6">
        <w:trPr>
          <w:cantSplit/>
          <w:trHeight w:val="510"/>
        </w:trPr>
        <w:tc>
          <w:tcPr>
            <w:tcW w:w="321" w:type="pct"/>
            <w:tcBorders>
              <w:top w:val="single" w:sz="4" w:space="0" w:color="auto"/>
              <w:left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RU</w:t>
            </w:r>
          </w:p>
        </w:tc>
        <w:tc>
          <w:tcPr>
            <w:tcW w:w="1074" w:type="pct"/>
            <w:tcBorders>
              <w:top w:val="single" w:sz="4" w:space="0" w:color="auto"/>
              <w:left w:val="nil"/>
              <w:right w:val="single" w:sz="4" w:space="0" w:color="auto"/>
            </w:tcBorders>
            <w:noWrap/>
          </w:tcPr>
          <w:p w:rsidR="008126B6" w:rsidRPr="005F7F2F" w:rsidRDefault="008126B6" w:rsidP="008126B6">
            <w:pPr>
              <w:bidi/>
              <w:rPr>
                <w:rFonts w:ascii="Arabic Typesetting" w:hAnsi="Arabic Typesetting" w:cs="Arabic Typesetting"/>
                <w:sz w:val="26"/>
                <w:szCs w:val="26"/>
              </w:rPr>
            </w:pPr>
            <w:proofErr w:type="gramStart"/>
            <w:r w:rsidRPr="001A348E">
              <w:rPr>
                <w:rFonts w:ascii="Arabic Typesetting" w:hAnsi="Arabic Typesetting" w:cs="Arabic Typesetting"/>
                <w:sz w:val="26"/>
                <w:szCs w:val="26"/>
                <w:rtl/>
              </w:rPr>
              <w:t>الاتحاد</w:t>
            </w:r>
            <w:proofErr w:type="gramEnd"/>
            <w:r w:rsidRPr="001A348E">
              <w:rPr>
                <w:rFonts w:ascii="Arabic Typesetting" w:hAnsi="Arabic Typesetting" w:cs="Arabic Typesetting"/>
                <w:sz w:val="26"/>
                <w:szCs w:val="26"/>
                <w:rtl/>
              </w:rPr>
              <w:t xml:space="preserve"> الروسي</w:t>
            </w:r>
          </w:p>
        </w:tc>
        <w:tc>
          <w:tcPr>
            <w:tcW w:w="614" w:type="pct"/>
            <w:tcBorders>
              <w:top w:val="single" w:sz="4" w:space="0" w:color="auto"/>
              <w:left w:val="nil"/>
              <w:right w:val="single" w:sz="4" w:space="0" w:color="auto"/>
            </w:tcBorders>
          </w:tcPr>
          <w:p w:rsidR="008126B6" w:rsidRPr="005F7F2F" w:rsidRDefault="000D6590" w:rsidP="008126B6">
            <w:pPr>
              <w:bidi/>
              <w:jc w:val="center"/>
              <w:rPr>
                <w:rFonts w:ascii="Arabic Typesetting" w:hAnsi="Arabic Typesetting" w:cs="Arabic Typesetting"/>
                <w:sz w:val="26"/>
                <w:szCs w:val="26"/>
              </w:rPr>
            </w:pPr>
            <w:r>
              <w:rPr>
                <w:rFonts w:ascii="Arabic Typesetting" w:hAnsi="Arabic Typesetting" w:cs="Arabic Typesetting"/>
                <w:sz w:val="26"/>
                <w:szCs w:val="26"/>
              </w:rPr>
              <w:t>30</w:t>
            </w:r>
            <w:r w:rsidR="008126B6" w:rsidRPr="005F7F2F">
              <w:rPr>
                <w:rFonts w:ascii="Arabic Typesetting" w:hAnsi="Arabic Typesetting" w:cs="Arabic Typesetting"/>
                <w:sz w:val="26"/>
                <w:szCs w:val="26"/>
              </w:rPr>
              <w:t>.01.2002</w:t>
            </w:r>
          </w:p>
        </w:tc>
        <w:tc>
          <w:tcPr>
            <w:tcW w:w="690" w:type="pct"/>
            <w:tcBorders>
              <w:top w:val="single" w:sz="4" w:space="0" w:color="auto"/>
              <w:left w:val="nil"/>
              <w:right w:val="single" w:sz="4" w:space="0" w:color="auto"/>
            </w:tcBorders>
          </w:tcPr>
          <w:p w:rsidR="008126B6" w:rsidRPr="005368FC" w:rsidRDefault="005368FC" w:rsidP="005368FC">
            <w:pPr>
              <w:bidi/>
              <w:jc w:val="center"/>
              <w:rPr>
                <w:rFonts w:ascii="Arabic Typesetting" w:hAnsi="Arabic Typesetting" w:cs="Arabic Typesetting"/>
                <w:b/>
                <w:bCs/>
                <w:sz w:val="26"/>
                <w:szCs w:val="26"/>
              </w:rPr>
            </w:pPr>
            <w:r w:rsidRPr="005368FC">
              <w:rPr>
                <w:rFonts w:ascii="Arabic Typesetting" w:hAnsi="Arabic Typesetting" w:cs="Arabic Typesetting"/>
                <w:b/>
                <w:bCs/>
                <w:sz w:val="26"/>
                <w:szCs w:val="26"/>
              </w:rPr>
              <w:t>30</w:t>
            </w:r>
            <w:r w:rsidR="008126B6" w:rsidRPr="005368FC">
              <w:rPr>
                <w:rFonts w:ascii="Arabic Typesetting" w:hAnsi="Arabic Typesetting" w:cs="Arabic Typesetting"/>
                <w:b/>
                <w:bCs/>
                <w:sz w:val="26"/>
                <w:szCs w:val="26"/>
              </w:rPr>
              <w:t>.</w:t>
            </w:r>
            <w:r w:rsidRPr="005368FC">
              <w:rPr>
                <w:rFonts w:ascii="Arabic Typesetting" w:hAnsi="Arabic Typesetting" w:cs="Arabic Typesetting"/>
                <w:b/>
                <w:bCs/>
                <w:sz w:val="26"/>
                <w:szCs w:val="26"/>
              </w:rPr>
              <w:t>01</w:t>
            </w:r>
            <w:r w:rsidR="008126B6" w:rsidRPr="005368FC">
              <w:rPr>
                <w:rFonts w:ascii="Arabic Typesetting" w:hAnsi="Arabic Typesetting" w:cs="Arabic Typesetting"/>
                <w:b/>
                <w:bCs/>
                <w:sz w:val="26"/>
                <w:szCs w:val="26"/>
              </w:rPr>
              <w:t>.</w:t>
            </w:r>
            <w:r w:rsidRPr="005368FC">
              <w:rPr>
                <w:rFonts w:ascii="Arabic Typesetting" w:hAnsi="Arabic Typesetting" w:cs="Arabic Typesetting"/>
                <w:b/>
                <w:bCs/>
                <w:sz w:val="26"/>
                <w:szCs w:val="26"/>
              </w:rPr>
              <w:t>2015</w:t>
            </w:r>
          </w:p>
        </w:tc>
        <w:tc>
          <w:tcPr>
            <w:tcW w:w="1229" w:type="pct"/>
            <w:tcBorders>
              <w:top w:val="single" w:sz="4" w:space="0" w:color="auto"/>
              <w:left w:val="nil"/>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8126B6" w:rsidRPr="005368FC" w:rsidRDefault="005368FC" w:rsidP="005368FC">
            <w:pPr>
              <w:bidi/>
              <w:jc w:val="center"/>
              <w:rPr>
                <w:rFonts w:ascii="Arabic Typesetting" w:hAnsi="Arabic Typesetting" w:cs="Arabic Typesetting"/>
                <w:b/>
                <w:bCs/>
                <w:sz w:val="26"/>
                <w:szCs w:val="26"/>
              </w:rPr>
            </w:pPr>
            <w:r w:rsidRPr="005368FC">
              <w:rPr>
                <w:rFonts w:ascii="Arabic Typesetting" w:hAnsi="Arabic Typesetting" w:cs="Arabic Typesetting"/>
                <w:b/>
                <w:bCs/>
                <w:sz w:val="26"/>
                <w:szCs w:val="26"/>
              </w:rPr>
              <w:t>2015</w:t>
            </w:r>
            <w:r w:rsidR="008126B6" w:rsidRPr="005368FC">
              <w:rPr>
                <w:rFonts w:ascii="Arabic Typesetting" w:hAnsi="Arabic Typesetting" w:cs="Arabic Typesetting"/>
                <w:b/>
                <w:bCs/>
                <w:sz w:val="26"/>
                <w:szCs w:val="26"/>
              </w:rPr>
              <w:t>/</w:t>
            </w:r>
            <w:r w:rsidRPr="005368FC">
              <w:rPr>
                <w:rFonts w:ascii="Arabic Typesetting" w:hAnsi="Arabic Typesetting" w:cs="Arabic Typesetting"/>
                <w:b/>
                <w:bCs/>
                <w:sz w:val="26"/>
                <w:szCs w:val="26"/>
              </w:rPr>
              <w:t>53</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EC3E87" w:rsidRDefault="008126B6" w:rsidP="008126B6">
            <w:pPr>
              <w:bidi/>
              <w:rPr>
                <w:rFonts w:ascii="Arabic Typesetting" w:hAnsi="Arabic Typesetting" w:cs="Arabic Typesetting"/>
                <w:strike/>
                <w:sz w:val="26"/>
                <w:szCs w:val="26"/>
              </w:rPr>
            </w:pPr>
            <w:r w:rsidRPr="00EC3E87">
              <w:rPr>
                <w:rFonts w:ascii="Arabic Typesetting" w:hAnsi="Arabic Typesetting" w:cs="Arabic Typesetting"/>
                <w:strike/>
                <w:sz w:val="26"/>
                <w:szCs w:val="26"/>
              </w:rPr>
              <w:t>SI</w:t>
            </w:r>
          </w:p>
        </w:tc>
        <w:tc>
          <w:tcPr>
            <w:tcW w:w="1074" w:type="pct"/>
            <w:tcBorders>
              <w:top w:val="single" w:sz="4" w:space="0" w:color="auto"/>
              <w:left w:val="nil"/>
              <w:bottom w:val="single" w:sz="4" w:space="0" w:color="auto"/>
              <w:right w:val="single" w:sz="4" w:space="0" w:color="auto"/>
            </w:tcBorders>
            <w:noWrap/>
          </w:tcPr>
          <w:p w:rsidR="008126B6" w:rsidRPr="00EC3E87" w:rsidRDefault="008126B6" w:rsidP="008126B6">
            <w:pPr>
              <w:bidi/>
              <w:rPr>
                <w:rFonts w:ascii="Arabic Typesetting" w:hAnsi="Arabic Typesetting" w:cs="Arabic Typesetting"/>
                <w:strike/>
                <w:sz w:val="26"/>
                <w:szCs w:val="26"/>
              </w:rPr>
            </w:pPr>
            <w:r w:rsidRPr="00EC3E87">
              <w:rPr>
                <w:rFonts w:ascii="Arabic Typesetting" w:hAnsi="Arabic Typesetting" w:cs="Arabic Typesetting"/>
                <w:strike/>
                <w:sz w:val="26"/>
                <w:szCs w:val="26"/>
                <w:rtl/>
              </w:rPr>
              <w:t>سلوفينيا</w:t>
            </w:r>
          </w:p>
        </w:tc>
        <w:tc>
          <w:tcPr>
            <w:tcW w:w="614" w:type="pct"/>
            <w:tcBorders>
              <w:top w:val="single" w:sz="4" w:space="0" w:color="auto"/>
              <w:left w:val="nil"/>
              <w:bottom w:val="single" w:sz="4" w:space="0" w:color="auto"/>
              <w:right w:val="single" w:sz="4" w:space="0" w:color="auto"/>
            </w:tcBorders>
          </w:tcPr>
          <w:p w:rsidR="008126B6" w:rsidRPr="00EC3E87" w:rsidRDefault="008126B6" w:rsidP="008126B6">
            <w:pPr>
              <w:bidi/>
              <w:jc w:val="center"/>
              <w:rPr>
                <w:rFonts w:ascii="Arabic Typesetting" w:hAnsi="Arabic Typesetting" w:cs="Arabic Typesetting"/>
                <w:strike/>
                <w:sz w:val="26"/>
                <w:szCs w:val="26"/>
              </w:rPr>
            </w:pPr>
            <w:r w:rsidRPr="00EC3E87">
              <w:rPr>
                <w:rFonts w:ascii="Arabic Typesetting" w:hAnsi="Arabic Typesetting" w:cs="Arabic Typesetting"/>
                <w:strike/>
                <w:sz w:val="26"/>
                <w:szCs w:val="26"/>
              </w:rPr>
              <w:t>01.01.2001</w:t>
            </w:r>
          </w:p>
        </w:tc>
        <w:tc>
          <w:tcPr>
            <w:tcW w:w="690" w:type="pct"/>
            <w:tcBorders>
              <w:top w:val="single" w:sz="4" w:space="0" w:color="auto"/>
              <w:left w:val="nil"/>
              <w:bottom w:val="single" w:sz="4" w:space="0" w:color="auto"/>
              <w:right w:val="single" w:sz="4" w:space="0" w:color="auto"/>
            </w:tcBorders>
          </w:tcPr>
          <w:p w:rsidR="008126B6" w:rsidRPr="00EC3E87" w:rsidRDefault="008126B6" w:rsidP="008126B6">
            <w:pPr>
              <w:bidi/>
              <w:jc w:val="center"/>
              <w:rPr>
                <w:rFonts w:ascii="Arabic Typesetting" w:hAnsi="Arabic Typesetting" w:cs="Arabic Typesetting"/>
                <w:strike/>
                <w:sz w:val="26"/>
                <w:szCs w:val="26"/>
              </w:rPr>
            </w:pPr>
            <w:r w:rsidRPr="00EC3E87">
              <w:rPr>
                <w:rFonts w:ascii="Arabic Typesetting" w:hAnsi="Arabic Typesetting" w:cs="Arabic Typesetting"/>
                <w:strike/>
                <w:sz w:val="26"/>
                <w:szCs w:val="26"/>
              </w:rPr>
              <w:t>18.10.2011</w:t>
            </w:r>
          </w:p>
        </w:tc>
        <w:tc>
          <w:tcPr>
            <w:tcW w:w="1229" w:type="pct"/>
            <w:tcBorders>
              <w:top w:val="single" w:sz="4" w:space="0" w:color="auto"/>
              <w:left w:val="nil"/>
              <w:bottom w:val="single" w:sz="4" w:space="0" w:color="auto"/>
              <w:right w:val="single" w:sz="4" w:space="0" w:color="auto"/>
            </w:tcBorders>
          </w:tcPr>
          <w:p w:rsidR="008126B6" w:rsidRPr="00EC3E87" w:rsidRDefault="008126B6" w:rsidP="008126B6">
            <w:pPr>
              <w:bidi/>
              <w:rPr>
                <w:rFonts w:ascii="Arabic Typesetting" w:hAnsi="Arabic Typesetting" w:cs="Arabic Typesetting"/>
                <w:strike/>
                <w:sz w:val="26"/>
                <w:szCs w:val="26"/>
              </w:rPr>
            </w:pPr>
            <w:r w:rsidRPr="00EC3E87">
              <w:rPr>
                <w:rFonts w:ascii="Arabic Typesetting" w:hAnsi="Arabic Typesetting" w:cs="Arabic Typesetting"/>
                <w:strike/>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EC3E87" w:rsidRDefault="008126B6" w:rsidP="008126B6">
            <w:pPr>
              <w:bidi/>
              <w:jc w:val="center"/>
              <w:rPr>
                <w:rFonts w:ascii="Arabic Typesetting" w:hAnsi="Arabic Typesetting" w:cs="Arabic Typesetting"/>
                <w:strike/>
                <w:sz w:val="26"/>
                <w:szCs w:val="26"/>
              </w:rPr>
            </w:pPr>
            <w:r w:rsidRPr="00EC3E87">
              <w:rPr>
                <w:rFonts w:ascii="Arabic Typesetting" w:hAnsi="Arabic Typesetting" w:cs="Arabic Typesetting"/>
                <w:strike/>
                <w:sz w:val="26"/>
                <w:szCs w:val="26"/>
              </w:rPr>
              <w:t>2012/05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SK</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سلوفاكيا</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01.01.1993</w:t>
            </w:r>
          </w:p>
        </w:tc>
        <w:tc>
          <w:tcPr>
            <w:tcW w:w="690" w:type="pct"/>
            <w:tcBorders>
              <w:top w:val="single" w:sz="4" w:space="0" w:color="auto"/>
              <w:left w:val="nil"/>
              <w:bottom w:val="single" w:sz="4" w:space="0" w:color="auto"/>
              <w:right w:val="single" w:sz="4" w:space="0" w:color="auto"/>
            </w:tcBorders>
          </w:tcPr>
          <w:p w:rsidR="008126B6" w:rsidRPr="00EC3E87" w:rsidRDefault="00EC3E87" w:rsidP="00EC3E87">
            <w:pPr>
              <w:bidi/>
              <w:jc w:val="center"/>
              <w:rPr>
                <w:rFonts w:ascii="Arabic Typesetting" w:hAnsi="Arabic Typesetting" w:cs="Arabic Typesetting"/>
                <w:b/>
                <w:bCs/>
                <w:sz w:val="26"/>
                <w:szCs w:val="26"/>
              </w:rPr>
            </w:pPr>
            <w:r w:rsidRPr="00EC3E87">
              <w:rPr>
                <w:rFonts w:ascii="Arabic Typesetting" w:hAnsi="Arabic Typesetting" w:cs="Arabic Typesetting"/>
                <w:b/>
                <w:bCs/>
                <w:sz w:val="26"/>
                <w:szCs w:val="26"/>
              </w:rPr>
              <w:t>15</w:t>
            </w:r>
            <w:r w:rsidR="008126B6" w:rsidRPr="00EC3E87">
              <w:rPr>
                <w:rFonts w:ascii="Arabic Typesetting" w:hAnsi="Arabic Typesetting" w:cs="Arabic Typesetting"/>
                <w:b/>
                <w:bCs/>
                <w:sz w:val="26"/>
                <w:szCs w:val="26"/>
              </w:rPr>
              <w:t>.</w:t>
            </w:r>
            <w:r w:rsidRPr="00EC3E87">
              <w:rPr>
                <w:rFonts w:ascii="Arabic Typesetting" w:hAnsi="Arabic Typesetting" w:cs="Arabic Typesetting"/>
                <w:b/>
                <w:bCs/>
                <w:sz w:val="26"/>
                <w:szCs w:val="26"/>
              </w:rPr>
              <w:t>12</w:t>
            </w:r>
            <w:r w:rsidR="008126B6" w:rsidRPr="00EC3E87">
              <w:rPr>
                <w:rFonts w:ascii="Arabic Typesetting" w:hAnsi="Arabic Typesetting" w:cs="Arabic Typesetting"/>
                <w:b/>
                <w:bCs/>
                <w:sz w:val="26"/>
                <w:szCs w:val="26"/>
              </w:rPr>
              <w:t>.</w:t>
            </w:r>
            <w:r w:rsidRPr="00EC3E87">
              <w:rPr>
                <w:rFonts w:ascii="Arabic Typesetting" w:hAnsi="Arabic Typesetting" w:cs="Arabic Typesetting"/>
                <w:b/>
                <w:bCs/>
                <w:sz w:val="26"/>
                <w:szCs w:val="26"/>
              </w:rPr>
              <w:t>2015</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EC3E87" w:rsidRDefault="00EC3E87" w:rsidP="00EC3E87">
            <w:pPr>
              <w:bidi/>
              <w:jc w:val="center"/>
              <w:rPr>
                <w:rFonts w:ascii="Arabic Typesetting" w:hAnsi="Arabic Typesetting" w:cs="Arabic Typesetting"/>
                <w:b/>
                <w:bCs/>
                <w:sz w:val="26"/>
                <w:szCs w:val="26"/>
              </w:rPr>
            </w:pPr>
            <w:r w:rsidRPr="00EC3E87">
              <w:rPr>
                <w:rFonts w:ascii="Arabic Typesetting" w:hAnsi="Arabic Typesetting" w:cs="Arabic Typesetting"/>
                <w:b/>
                <w:bCs/>
                <w:sz w:val="26"/>
                <w:szCs w:val="26"/>
              </w:rPr>
              <w:t>2016</w:t>
            </w:r>
            <w:r w:rsidR="008126B6" w:rsidRPr="00EC3E87">
              <w:rPr>
                <w:rFonts w:ascii="Arabic Typesetting" w:hAnsi="Arabic Typesetting" w:cs="Arabic Typesetting"/>
                <w:b/>
                <w:bCs/>
                <w:sz w:val="26"/>
                <w:szCs w:val="26"/>
              </w:rPr>
              <w:t>/</w:t>
            </w:r>
            <w:r w:rsidRPr="00EC3E87">
              <w:rPr>
                <w:rFonts w:ascii="Arabic Typesetting" w:hAnsi="Arabic Typesetting" w:cs="Arabic Typesetting"/>
                <w:b/>
                <w:bCs/>
                <w:sz w:val="26"/>
                <w:szCs w:val="26"/>
              </w:rPr>
              <w:t>05</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EC3E87" w:rsidRDefault="008126B6" w:rsidP="008126B6">
            <w:pPr>
              <w:bidi/>
              <w:rPr>
                <w:rFonts w:ascii="Arabic Typesetting" w:hAnsi="Arabic Typesetting" w:cs="Arabic Typesetting"/>
                <w:strike/>
                <w:sz w:val="26"/>
                <w:szCs w:val="26"/>
              </w:rPr>
            </w:pPr>
            <w:r w:rsidRPr="00EC3E87">
              <w:rPr>
                <w:rFonts w:ascii="Arabic Typesetting" w:hAnsi="Arabic Typesetting" w:cs="Arabic Typesetting"/>
                <w:strike/>
                <w:sz w:val="26"/>
                <w:szCs w:val="26"/>
              </w:rPr>
              <w:t xml:space="preserve">US </w:t>
            </w:r>
          </w:p>
        </w:tc>
        <w:tc>
          <w:tcPr>
            <w:tcW w:w="1074" w:type="pct"/>
            <w:tcBorders>
              <w:top w:val="single" w:sz="4" w:space="0" w:color="auto"/>
              <w:left w:val="nil"/>
              <w:bottom w:val="single" w:sz="4" w:space="0" w:color="auto"/>
              <w:right w:val="single" w:sz="4" w:space="0" w:color="auto"/>
            </w:tcBorders>
            <w:noWrap/>
          </w:tcPr>
          <w:p w:rsidR="008126B6" w:rsidRPr="00EC3E87" w:rsidRDefault="008126B6" w:rsidP="008126B6">
            <w:pPr>
              <w:bidi/>
              <w:rPr>
                <w:rFonts w:ascii="Arabic Typesetting" w:hAnsi="Arabic Typesetting" w:cs="Arabic Typesetting"/>
                <w:strike/>
                <w:sz w:val="26"/>
                <w:szCs w:val="26"/>
              </w:rPr>
            </w:pPr>
            <w:proofErr w:type="gramStart"/>
            <w:r w:rsidRPr="00EC3E87">
              <w:rPr>
                <w:rFonts w:ascii="Arabic Typesetting" w:hAnsi="Arabic Typesetting" w:cs="Arabic Typesetting"/>
                <w:strike/>
                <w:sz w:val="26"/>
                <w:szCs w:val="26"/>
                <w:rtl/>
              </w:rPr>
              <w:t>الولايات</w:t>
            </w:r>
            <w:proofErr w:type="gramEnd"/>
            <w:r w:rsidRPr="00EC3E87">
              <w:rPr>
                <w:rFonts w:ascii="Arabic Typesetting" w:hAnsi="Arabic Typesetting" w:cs="Arabic Typesetting"/>
                <w:strike/>
                <w:sz w:val="26"/>
                <w:szCs w:val="26"/>
                <w:rtl/>
              </w:rPr>
              <w:t xml:space="preserve"> المتحدة الأمريكية</w:t>
            </w:r>
          </w:p>
        </w:tc>
        <w:tc>
          <w:tcPr>
            <w:tcW w:w="614" w:type="pct"/>
            <w:tcBorders>
              <w:top w:val="single" w:sz="4" w:space="0" w:color="auto"/>
              <w:left w:val="nil"/>
              <w:bottom w:val="single" w:sz="4" w:space="0" w:color="auto"/>
              <w:right w:val="single" w:sz="4" w:space="0" w:color="auto"/>
            </w:tcBorders>
          </w:tcPr>
          <w:p w:rsidR="008126B6" w:rsidRPr="00EC3E87" w:rsidRDefault="008126B6" w:rsidP="008126B6">
            <w:pPr>
              <w:bidi/>
              <w:jc w:val="center"/>
              <w:rPr>
                <w:rFonts w:ascii="Arabic Typesetting" w:hAnsi="Arabic Typesetting" w:cs="Arabic Typesetting"/>
                <w:strike/>
                <w:sz w:val="26"/>
                <w:szCs w:val="26"/>
              </w:rPr>
            </w:pPr>
            <w:r w:rsidRPr="00EC3E87">
              <w:rPr>
                <w:rFonts w:ascii="Arabic Typesetting" w:hAnsi="Arabic Typesetting" w:cs="Arabic Typesetting"/>
                <w:strike/>
                <w:sz w:val="26"/>
                <w:szCs w:val="26"/>
              </w:rPr>
              <w:t>05.08.1980</w:t>
            </w:r>
          </w:p>
        </w:tc>
        <w:tc>
          <w:tcPr>
            <w:tcW w:w="690" w:type="pct"/>
            <w:tcBorders>
              <w:top w:val="single" w:sz="4" w:space="0" w:color="auto"/>
              <w:left w:val="nil"/>
              <w:bottom w:val="single" w:sz="4" w:space="0" w:color="auto"/>
              <w:right w:val="single" w:sz="4" w:space="0" w:color="auto"/>
            </w:tcBorders>
          </w:tcPr>
          <w:p w:rsidR="008126B6" w:rsidRPr="00EC3E87" w:rsidRDefault="008126B6" w:rsidP="008126B6">
            <w:pPr>
              <w:bidi/>
              <w:jc w:val="center"/>
              <w:rPr>
                <w:rFonts w:ascii="Arabic Typesetting" w:hAnsi="Arabic Typesetting" w:cs="Arabic Typesetting"/>
                <w:strike/>
                <w:sz w:val="26"/>
                <w:szCs w:val="26"/>
              </w:rPr>
            </w:pPr>
            <w:r w:rsidRPr="00EC3E87">
              <w:rPr>
                <w:rFonts w:ascii="Arabic Typesetting" w:hAnsi="Arabic Typesetting" w:cs="Arabic Typesetting"/>
                <w:strike/>
                <w:sz w:val="26"/>
                <w:szCs w:val="26"/>
              </w:rPr>
              <w:t>06.11.2006</w:t>
            </w:r>
          </w:p>
        </w:tc>
        <w:tc>
          <w:tcPr>
            <w:tcW w:w="1229" w:type="pct"/>
            <w:tcBorders>
              <w:top w:val="single" w:sz="4" w:space="0" w:color="auto"/>
              <w:left w:val="nil"/>
              <w:bottom w:val="single" w:sz="4" w:space="0" w:color="auto"/>
              <w:right w:val="single" w:sz="4" w:space="0" w:color="auto"/>
            </w:tcBorders>
          </w:tcPr>
          <w:p w:rsidR="008126B6" w:rsidRPr="00EC3E87" w:rsidRDefault="008126B6" w:rsidP="008126B6">
            <w:pPr>
              <w:bidi/>
              <w:rPr>
                <w:rFonts w:ascii="Arabic Typesetting" w:hAnsi="Arabic Typesetting" w:cs="Arabic Typesetting"/>
                <w:strike/>
                <w:sz w:val="26"/>
                <w:szCs w:val="26"/>
              </w:rPr>
            </w:pPr>
            <w:r w:rsidRPr="00EC3E87">
              <w:rPr>
                <w:rFonts w:ascii="Arabic Typesetting" w:hAnsi="Arabic Typesetting" w:cs="Arabic Typesetting"/>
                <w:strike/>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EC3E87" w:rsidRDefault="008126B6" w:rsidP="008126B6">
            <w:pPr>
              <w:bidi/>
              <w:jc w:val="center"/>
              <w:rPr>
                <w:rFonts w:ascii="Arabic Typesetting" w:hAnsi="Arabic Typesetting" w:cs="Arabic Typesetting"/>
                <w:strike/>
                <w:sz w:val="26"/>
                <w:szCs w:val="26"/>
              </w:rPr>
            </w:pPr>
            <w:r w:rsidRPr="00EC3E87">
              <w:rPr>
                <w:rFonts w:ascii="Arabic Typesetting" w:hAnsi="Arabic Typesetting" w:cs="Arabic Typesetting"/>
                <w:strike/>
                <w:sz w:val="26"/>
                <w:szCs w:val="26"/>
              </w:rPr>
              <w:t>2006/12</w:t>
            </w:r>
          </w:p>
        </w:tc>
      </w:tr>
      <w:tr w:rsidR="008126B6" w:rsidRPr="005F7F2F" w:rsidTr="008126B6">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Pr>
              <w:t>UZ</w:t>
            </w:r>
          </w:p>
        </w:tc>
        <w:tc>
          <w:tcPr>
            <w:tcW w:w="1074" w:type="pct"/>
            <w:tcBorders>
              <w:top w:val="single" w:sz="4" w:space="0" w:color="auto"/>
              <w:left w:val="nil"/>
              <w:bottom w:val="single" w:sz="4" w:space="0" w:color="auto"/>
              <w:right w:val="single" w:sz="4" w:space="0" w:color="auto"/>
            </w:tcBorders>
            <w:noWrap/>
          </w:tcPr>
          <w:p w:rsidR="008126B6" w:rsidRPr="005F7F2F" w:rsidRDefault="008126B6" w:rsidP="008126B6">
            <w:pPr>
              <w:bidi/>
              <w:rPr>
                <w:rFonts w:ascii="Arabic Typesetting" w:hAnsi="Arabic Typesetting" w:cs="Arabic Typesetting"/>
                <w:sz w:val="26"/>
                <w:szCs w:val="26"/>
              </w:rPr>
            </w:pPr>
            <w:r w:rsidRPr="001A348E">
              <w:rPr>
                <w:rFonts w:ascii="Arabic Typesetting" w:hAnsi="Arabic Typesetting" w:cs="Arabic Typesetting"/>
                <w:sz w:val="26"/>
                <w:szCs w:val="26"/>
                <w:rtl/>
              </w:rPr>
              <w:t>أوزبكستان</w:t>
            </w:r>
          </w:p>
        </w:tc>
        <w:tc>
          <w:tcPr>
            <w:tcW w:w="614"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02.01.2001</w:t>
            </w:r>
          </w:p>
        </w:tc>
        <w:tc>
          <w:tcPr>
            <w:tcW w:w="690" w:type="pct"/>
            <w:tcBorders>
              <w:top w:val="single" w:sz="4" w:space="0" w:color="auto"/>
              <w:left w:val="nil"/>
              <w:bottom w:val="single" w:sz="4" w:space="0" w:color="auto"/>
              <w:right w:val="single" w:sz="4" w:space="0" w:color="auto"/>
            </w:tcBorders>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30.06.2006</w:t>
            </w:r>
          </w:p>
        </w:tc>
        <w:tc>
          <w:tcPr>
            <w:tcW w:w="1229" w:type="pct"/>
            <w:tcBorders>
              <w:top w:val="single" w:sz="4" w:space="0" w:color="auto"/>
              <w:left w:val="nil"/>
              <w:bottom w:val="single" w:sz="4" w:space="0" w:color="auto"/>
              <w:right w:val="single" w:sz="4" w:space="0" w:color="auto"/>
            </w:tcBorders>
          </w:tcPr>
          <w:p w:rsidR="008126B6" w:rsidRPr="005F7F2F" w:rsidRDefault="008126B6" w:rsidP="008126B6">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8126B6" w:rsidRPr="005F7F2F" w:rsidRDefault="008126B6" w:rsidP="008126B6">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2006/37</w:t>
            </w:r>
          </w:p>
        </w:tc>
      </w:tr>
    </w:tbl>
    <w:p w:rsidR="008126B6" w:rsidRDefault="008126B6" w:rsidP="008126B6">
      <w:pPr>
        <w:pStyle w:val="EndofDocumentAR"/>
        <w:spacing w:before="240"/>
        <w:rPr>
          <w:rtl/>
        </w:rPr>
      </w:pPr>
      <w:r>
        <w:rPr>
          <w:rFonts w:hint="cs"/>
          <w:rtl/>
        </w:rPr>
        <w:t xml:space="preserve">[يلي ذلك </w:t>
      </w:r>
      <w:proofErr w:type="gramStart"/>
      <w:r>
        <w:rPr>
          <w:rFonts w:hint="cs"/>
          <w:rtl/>
        </w:rPr>
        <w:t>المرفق</w:t>
      </w:r>
      <w:proofErr w:type="gramEnd"/>
      <w:r>
        <w:rPr>
          <w:rFonts w:hint="cs"/>
          <w:rtl/>
        </w:rPr>
        <w:t xml:space="preserve"> الثاني]</w:t>
      </w:r>
    </w:p>
    <w:sectPr w:rsidR="008126B6" w:rsidSect="00EB7752">
      <w:headerReference w:type="default" r:id="rId1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990" w:rsidRDefault="00032990">
      <w:r>
        <w:separator/>
      </w:r>
    </w:p>
  </w:endnote>
  <w:endnote w:type="continuationSeparator" w:id="0">
    <w:p w:rsidR="00032990" w:rsidRDefault="0003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990" w:rsidRDefault="00032990" w:rsidP="009622BF">
      <w:pPr>
        <w:bidi/>
      </w:pPr>
      <w:bookmarkStart w:id="0" w:name="OLE_LINK1"/>
      <w:bookmarkStart w:id="1" w:name="OLE_LINK2"/>
      <w:r>
        <w:separator/>
      </w:r>
      <w:bookmarkEnd w:id="0"/>
      <w:bookmarkEnd w:id="1"/>
    </w:p>
  </w:footnote>
  <w:footnote w:type="continuationSeparator" w:id="0">
    <w:p w:rsidR="00032990" w:rsidRDefault="0003299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90" w:rsidRPr="00E039B6" w:rsidRDefault="00032990" w:rsidP="008126B6">
    <w:r w:rsidRPr="008126B6">
      <w:t>CWS/4BIS/7</w:t>
    </w:r>
  </w:p>
  <w:p w:rsidR="00032990" w:rsidRPr="008126B6" w:rsidRDefault="00032990" w:rsidP="008126B6">
    <w:pPr>
      <w:rPr>
        <w:rtl/>
      </w:rPr>
    </w:pPr>
    <w:r w:rsidRPr="00E039B6">
      <w:t>Annex I</w:t>
    </w:r>
  </w:p>
  <w:p w:rsidR="00032990" w:rsidRDefault="00032990" w:rsidP="008126B6">
    <w:r>
      <w:fldChar w:fldCharType="begin"/>
    </w:r>
    <w:r>
      <w:instrText xml:space="preserve"> PAGE  \* MERGEFORMAT </w:instrText>
    </w:r>
    <w:r>
      <w:fldChar w:fldCharType="separate"/>
    </w:r>
    <w:r w:rsidR="00C459EB">
      <w:rPr>
        <w:noProof/>
      </w:rPr>
      <w:t>2</w:t>
    </w:r>
    <w:r>
      <w:fldChar w:fldCharType="end"/>
    </w:r>
  </w:p>
  <w:p w:rsidR="00032990" w:rsidRDefault="00032990" w:rsidP="008126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90" w:rsidRDefault="00032990" w:rsidP="008126B6">
    <w:r w:rsidRPr="008126B6">
      <w:t>CWS/4BIS/7</w:t>
    </w:r>
  </w:p>
  <w:p w:rsidR="00032990" w:rsidRDefault="00032990" w:rsidP="008126B6">
    <w:r>
      <w:t>ANNEX I</w:t>
    </w:r>
  </w:p>
  <w:p w:rsidR="00032990" w:rsidRDefault="00032990" w:rsidP="008126B6">
    <w:pPr>
      <w:bidi/>
      <w:jc w:val="right"/>
      <w:rPr>
        <w:rFonts w:ascii="Arabic Typesetting" w:hAnsi="Arabic Typesetting" w:cs="Arabic Typesetting"/>
        <w:sz w:val="36"/>
        <w:szCs w:val="36"/>
      </w:rPr>
    </w:pPr>
    <w:proofErr w:type="gramStart"/>
    <w:r w:rsidRPr="0018049E">
      <w:rPr>
        <w:rFonts w:ascii="Arabic Typesetting" w:hAnsi="Arabic Typesetting" w:cs="Arabic Typesetting"/>
        <w:sz w:val="36"/>
        <w:szCs w:val="36"/>
        <w:rtl/>
      </w:rPr>
      <w:t>المرفق</w:t>
    </w:r>
    <w:proofErr w:type="gramEnd"/>
    <w:r w:rsidRPr="0018049E">
      <w:rPr>
        <w:rFonts w:ascii="Arabic Typesetting" w:hAnsi="Arabic Typesetting" w:cs="Arabic Typesetting"/>
        <w:sz w:val="36"/>
        <w:szCs w:val="36"/>
        <w:rtl/>
      </w:rPr>
      <w:t xml:space="preserve"> الأول</w:t>
    </w:r>
  </w:p>
  <w:p w:rsidR="00032990" w:rsidRPr="008126B6" w:rsidRDefault="00032990" w:rsidP="008126B6">
    <w:pP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90" w:rsidRPr="00607736" w:rsidRDefault="00032990" w:rsidP="00607736">
    <w:r w:rsidRPr="00607736">
      <w:t>CWS/4BIS/7</w:t>
    </w:r>
  </w:p>
  <w:p w:rsidR="00032990" w:rsidRPr="00607736" w:rsidRDefault="00032990" w:rsidP="008126B6">
    <w:r w:rsidRPr="00E039B6">
      <w:t>Annex I</w:t>
    </w:r>
    <w:r>
      <w:t>, Appendix 1</w:t>
    </w:r>
  </w:p>
  <w:p w:rsidR="00032990" w:rsidRDefault="00032990" w:rsidP="008126B6">
    <w:r>
      <w:fldChar w:fldCharType="begin"/>
    </w:r>
    <w:r>
      <w:instrText xml:space="preserve"> PAGE  \* MERGEFORMAT </w:instrText>
    </w:r>
    <w:r>
      <w:fldChar w:fldCharType="separate"/>
    </w:r>
    <w:r w:rsidR="00C459EB">
      <w:rPr>
        <w:noProof/>
      </w:rPr>
      <w:t>6</w:t>
    </w:r>
    <w:r>
      <w:fldChar w:fldCharType="end"/>
    </w:r>
  </w:p>
  <w:p w:rsidR="00032990" w:rsidRDefault="00032990" w:rsidP="008126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90" w:rsidRDefault="00032990" w:rsidP="00607736">
    <w:r w:rsidRPr="00607736">
      <w:t>CWS/4BIS/7</w:t>
    </w:r>
  </w:p>
  <w:p w:rsidR="00032990" w:rsidRDefault="00032990" w:rsidP="008126B6">
    <w:r>
      <w:t>ANNEX I, APPENDIX 1</w:t>
    </w:r>
  </w:p>
  <w:p w:rsidR="00032990" w:rsidRDefault="00032990" w:rsidP="00607736">
    <w:pPr>
      <w:bidi/>
      <w:jc w:val="right"/>
      <w:rPr>
        <w:rFonts w:ascii="Arabic Typesetting" w:hAnsi="Arabic Typesetting" w:cs="Arabic Typesetting"/>
        <w:sz w:val="36"/>
        <w:szCs w:val="36"/>
        <w:rtl/>
      </w:rPr>
    </w:pPr>
    <w:proofErr w:type="gramStart"/>
    <w:r w:rsidRPr="0018049E">
      <w:rPr>
        <w:rFonts w:ascii="Arabic Typesetting" w:hAnsi="Arabic Typesetting" w:cs="Arabic Typesetting"/>
        <w:sz w:val="36"/>
        <w:szCs w:val="36"/>
        <w:rtl/>
      </w:rPr>
      <w:t>المرفق</w:t>
    </w:r>
    <w:proofErr w:type="gramEnd"/>
    <w:r w:rsidRPr="0018049E">
      <w:rPr>
        <w:rFonts w:ascii="Arabic Typesetting" w:hAnsi="Arabic Typesetting" w:cs="Arabic Typesetting"/>
        <w:sz w:val="36"/>
        <w:szCs w:val="36"/>
        <w:rtl/>
      </w:rPr>
      <w:t xml:space="preserve"> الأول</w:t>
    </w:r>
    <w:r>
      <w:rPr>
        <w:rFonts w:ascii="Arabic Typesetting" w:hAnsi="Arabic Typesetting" w:cs="Arabic Typesetting" w:hint="cs"/>
        <w:sz w:val="36"/>
        <w:szCs w:val="36"/>
        <w:rtl/>
      </w:rPr>
      <w:t>، الملحق الأول</w:t>
    </w:r>
  </w:p>
  <w:p w:rsidR="00032990" w:rsidRPr="00607736" w:rsidRDefault="00032990" w:rsidP="00607736">
    <w:pPr>
      <w:rPr>
        <w:rtl/>
      </w:rPr>
    </w:pPr>
    <w:r>
      <w:fldChar w:fldCharType="begin"/>
    </w:r>
    <w:r>
      <w:instrText xml:space="preserve"> PAGE   \* MERGEFORMAT </w:instrText>
    </w:r>
    <w:r>
      <w:fldChar w:fldCharType="separate"/>
    </w:r>
    <w:r w:rsidR="00C459EB">
      <w:rPr>
        <w:noProof/>
      </w:rPr>
      <w:t>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90" w:rsidRPr="00607736" w:rsidRDefault="00032990" w:rsidP="00607736">
    <w:r w:rsidRPr="00607736">
      <w:t>CWS/4BIS/7</w:t>
    </w:r>
  </w:p>
  <w:p w:rsidR="00032990" w:rsidRPr="00607736" w:rsidRDefault="00032990" w:rsidP="00607736">
    <w:r>
      <w:t>Annex I, Appendix</w:t>
    </w:r>
    <w:r w:rsidRPr="00607736">
      <w:t xml:space="preserve"> 2</w:t>
    </w:r>
  </w:p>
  <w:p w:rsidR="00032990" w:rsidRDefault="00032990" w:rsidP="00D61541">
    <w:r>
      <w:fldChar w:fldCharType="begin"/>
    </w:r>
    <w:r>
      <w:instrText xml:space="preserve"> PAGE  \* MERGEFORMAT </w:instrText>
    </w:r>
    <w:r>
      <w:fldChar w:fldCharType="separate"/>
    </w:r>
    <w:r w:rsidR="00C459EB">
      <w:rPr>
        <w:noProof/>
      </w:rPr>
      <w:t>8</w:t>
    </w:r>
    <w:r>
      <w:fldChar w:fldCharType="end"/>
    </w:r>
  </w:p>
  <w:p w:rsidR="00032990" w:rsidRDefault="00032990"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90" w:rsidRDefault="00032990" w:rsidP="00607736">
    <w:r w:rsidRPr="00607736">
      <w:t>CWS/4BIS/7</w:t>
    </w:r>
  </w:p>
  <w:p w:rsidR="00032990" w:rsidRDefault="00032990" w:rsidP="00607736">
    <w:r>
      <w:t>ANNEX I, APPENDIX 2</w:t>
    </w:r>
  </w:p>
  <w:p w:rsidR="00032990" w:rsidRDefault="00032990" w:rsidP="00607736">
    <w:pPr>
      <w:bidi/>
      <w:jc w:val="right"/>
      <w:rPr>
        <w:rFonts w:ascii="Arabic Typesetting" w:hAnsi="Arabic Typesetting" w:cs="Arabic Typesetting"/>
        <w:sz w:val="36"/>
        <w:szCs w:val="36"/>
        <w:rtl/>
      </w:rPr>
    </w:pPr>
    <w:proofErr w:type="gramStart"/>
    <w:r w:rsidRPr="0018049E">
      <w:rPr>
        <w:rFonts w:ascii="Arabic Typesetting" w:hAnsi="Arabic Typesetting" w:cs="Arabic Typesetting"/>
        <w:sz w:val="36"/>
        <w:szCs w:val="36"/>
        <w:rtl/>
      </w:rPr>
      <w:t>المرفق</w:t>
    </w:r>
    <w:proofErr w:type="gramEnd"/>
    <w:r w:rsidRPr="0018049E">
      <w:rPr>
        <w:rFonts w:ascii="Arabic Typesetting" w:hAnsi="Arabic Typesetting" w:cs="Arabic Typesetting"/>
        <w:sz w:val="36"/>
        <w:szCs w:val="36"/>
        <w:rtl/>
      </w:rPr>
      <w:t xml:space="preserve"> الأول</w:t>
    </w:r>
    <w:r>
      <w:rPr>
        <w:rFonts w:ascii="Arabic Typesetting" w:hAnsi="Arabic Typesetting" w:cs="Arabic Typesetting" w:hint="cs"/>
        <w:sz w:val="36"/>
        <w:szCs w:val="36"/>
        <w:rtl/>
      </w:rPr>
      <w:t>، الملحق الثاني</w:t>
    </w:r>
  </w:p>
  <w:p w:rsidR="00032990" w:rsidRPr="00607736" w:rsidRDefault="00032990" w:rsidP="00607736">
    <w:pPr>
      <w:rPr>
        <w:rtl/>
      </w:rPr>
    </w:pPr>
    <w:r>
      <w:fldChar w:fldCharType="begin"/>
    </w:r>
    <w:r>
      <w:instrText xml:space="preserve"> PAGE   \* MERGEFORMAT </w:instrText>
    </w:r>
    <w:r>
      <w:fldChar w:fldCharType="separate"/>
    </w:r>
    <w:r w:rsidR="00C459EB">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84604E"/>
    <w:multiLevelType w:val="hybridMultilevel"/>
    <w:tmpl w:val="117661BE"/>
    <w:lvl w:ilvl="0" w:tplc="FF5885B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D682996"/>
    <w:multiLevelType w:val="hybridMultilevel"/>
    <w:tmpl w:val="B9F0B21E"/>
    <w:lvl w:ilvl="0" w:tplc="CDFAA434">
      <w:start w:val="1"/>
      <w:numFmt w:val="bullet"/>
      <w:lvlText w:val=""/>
      <w:lvlJc w:val="left"/>
      <w:pPr>
        <w:ind w:left="1276" w:hanging="360"/>
      </w:pPr>
      <w:rPr>
        <w:rFonts w:ascii="Symbol" w:hAnsi="Symbol" w:hint="default"/>
        <w:sz w:val="28"/>
        <w:szCs w:val="28"/>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8"/>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7"/>
  </w:num>
  <w:num w:numId="23">
    <w:abstractNumId w:val="15"/>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6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2990"/>
    <w:rsid w:val="00033D2C"/>
    <w:rsid w:val="00035CE8"/>
    <w:rsid w:val="00036041"/>
    <w:rsid w:val="00040637"/>
    <w:rsid w:val="00040688"/>
    <w:rsid w:val="0004070F"/>
    <w:rsid w:val="0004115B"/>
    <w:rsid w:val="00042798"/>
    <w:rsid w:val="00042F2D"/>
    <w:rsid w:val="000432B2"/>
    <w:rsid w:val="000432CF"/>
    <w:rsid w:val="000438A8"/>
    <w:rsid w:val="00044AC0"/>
    <w:rsid w:val="00045B68"/>
    <w:rsid w:val="00045E69"/>
    <w:rsid w:val="00045EE7"/>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0AA"/>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590"/>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02A"/>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224"/>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3A2B"/>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F89"/>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9AE"/>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33F"/>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D71"/>
    <w:rsid w:val="003433E5"/>
    <w:rsid w:val="00344082"/>
    <w:rsid w:val="0034582C"/>
    <w:rsid w:val="00345916"/>
    <w:rsid w:val="00345C7D"/>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10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98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4F"/>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3B84"/>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8FC"/>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5CD3"/>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957"/>
    <w:rsid w:val="005B7F42"/>
    <w:rsid w:val="005C1D45"/>
    <w:rsid w:val="005C3C9B"/>
    <w:rsid w:val="005C42AB"/>
    <w:rsid w:val="005C45C0"/>
    <w:rsid w:val="005C5335"/>
    <w:rsid w:val="005C5D7B"/>
    <w:rsid w:val="005C5E29"/>
    <w:rsid w:val="005C6474"/>
    <w:rsid w:val="005C6A68"/>
    <w:rsid w:val="005D0AE3"/>
    <w:rsid w:val="005D1103"/>
    <w:rsid w:val="005D18F0"/>
    <w:rsid w:val="005D276D"/>
    <w:rsid w:val="005D5912"/>
    <w:rsid w:val="005D794C"/>
    <w:rsid w:val="005D7A9F"/>
    <w:rsid w:val="005D7AA2"/>
    <w:rsid w:val="005E2154"/>
    <w:rsid w:val="005E2FC7"/>
    <w:rsid w:val="005E37B9"/>
    <w:rsid w:val="005E427F"/>
    <w:rsid w:val="005E4574"/>
    <w:rsid w:val="005E4BBE"/>
    <w:rsid w:val="005E4C97"/>
    <w:rsid w:val="005E4EF8"/>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736"/>
    <w:rsid w:val="00607C00"/>
    <w:rsid w:val="00607E58"/>
    <w:rsid w:val="00610430"/>
    <w:rsid w:val="00611858"/>
    <w:rsid w:val="00611BBF"/>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E8F"/>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91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2F8"/>
    <w:rsid w:val="006D0613"/>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061"/>
    <w:rsid w:val="00757105"/>
    <w:rsid w:val="00757B82"/>
    <w:rsid w:val="007605AA"/>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6151"/>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268"/>
    <w:rsid w:val="00801329"/>
    <w:rsid w:val="00801424"/>
    <w:rsid w:val="00801AA4"/>
    <w:rsid w:val="00801B7E"/>
    <w:rsid w:val="008021B9"/>
    <w:rsid w:val="00806E68"/>
    <w:rsid w:val="00807FC3"/>
    <w:rsid w:val="00810034"/>
    <w:rsid w:val="008114CF"/>
    <w:rsid w:val="008117CC"/>
    <w:rsid w:val="00811AB3"/>
    <w:rsid w:val="008126B6"/>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9D3"/>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E9A"/>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D7F"/>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485"/>
    <w:rsid w:val="009546A3"/>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F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E65"/>
    <w:rsid w:val="00AC5E85"/>
    <w:rsid w:val="00AD03D8"/>
    <w:rsid w:val="00AD0D5F"/>
    <w:rsid w:val="00AD34CF"/>
    <w:rsid w:val="00AD36C8"/>
    <w:rsid w:val="00AD37C9"/>
    <w:rsid w:val="00AD3BBC"/>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67A"/>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9EB"/>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3C3"/>
    <w:rsid w:val="00C83A4C"/>
    <w:rsid w:val="00C8533B"/>
    <w:rsid w:val="00C858BA"/>
    <w:rsid w:val="00C86977"/>
    <w:rsid w:val="00C87C0D"/>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388"/>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486"/>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973"/>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E87"/>
    <w:rsid w:val="00EC56B1"/>
    <w:rsid w:val="00EC664F"/>
    <w:rsid w:val="00EC6749"/>
    <w:rsid w:val="00EC6C8C"/>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A82"/>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1E77"/>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2BC2"/>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6F19"/>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6B6"/>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6B6"/>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CWS/4BIS/7 (Arabic)</vt:lpstr>
    </vt:vector>
  </TitlesOfParts>
  <Company>World Intellectual Property Organization</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CWS/4BIS/7 Annex I (Arabic)</dc:title>
  <dc:subject>تقرير مرحلي بشأن المهمة رقم 23 للفريق العامل المعني بالمعايير والوثائق</dc:subject>
  <dc:creator>WIPO</dc:creator>
  <cp:lastModifiedBy>RODRIGUEZ Geraldine</cp:lastModifiedBy>
  <cp:revision>53</cp:revision>
  <cp:lastPrinted>2011-07-08T12:30:00Z</cp:lastPrinted>
  <dcterms:created xsi:type="dcterms:W3CDTF">2016-03-02T17:11:00Z</dcterms:created>
  <dcterms:modified xsi:type="dcterms:W3CDTF">2016-03-04T17:21:00Z</dcterms:modified>
</cp:coreProperties>
</file>