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A362E2" w:rsidRDefault="00414079" w:rsidP="00A362E2">
      <w:pPr>
        <w:pStyle w:val="Heading2AR"/>
        <w:rPr>
          <w:b/>
          <w:bCs/>
          <w:rtl/>
        </w:rPr>
      </w:pPr>
      <w:bookmarkStart w:id="2" w:name="_GoBack"/>
      <w:r w:rsidRPr="00A362E2">
        <w:rPr>
          <w:rFonts w:hint="cs"/>
          <w:b/>
          <w:bCs/>
          <w:rtl/>
        </w:rPr>
        <w:t xml:space="preserve">الأحداث الرئيسية </w:t>
      </w:r>
      <w:proofErr w:type="gramStart"/>
      <w:r w:rsidRPr="00A362E2">
        <w:rPr>
          <w:rFonts w:hint="cs"/>
          <w:b/>
          <w:bCs/>
          <w:rtl/>
        </w:rPr>
        <w:t>الثمانية</w:t>
      </w:r>
      <w:proofErr w:type="gramEnd"/>
      <w:r w:rsidRPr="00A362E2">
        <w:rPr>
          <w:rFonts w:hint="cs"/>
          <w:b/>
          <w:bCs/>
          <w:rtl/>
        </w:rPr>
        <w:t xml:space="preserve"> عشر</w:t>
      </w:r>
    </w:p>
    <w:bookmarkEnd w:id="2"/>
    <w:p w:rsidR="00414079" w:rsidRDefault="00A362E2" w:rsidP="00180861">
      <w:pPr>
        <w:pStyle w:val="NumberedParaAR"/>
        <w:spacing w:after="0"/>
      </w:pPr>
      <w:r>
        <w:rPr>
          <w:rFonts w:hint="cs"/>
          <w:rtl/>
        </w:rPr>
        <w:t>الطلب</w:t>
      </w:r>
      <w:r w:rsidR="00F26414">
        <w:rPr>
          <w:rFonts w:hint="cs"/>
          <w:rtl/>
        </w:rPr>
        <w:t xml:space="preserve"> مودع</w:t>
      </w:r>
      <w:r>
        <w:rPr>
          <w:rFonts w:hint="cs"/>
          <w:rtl/>
        </w:rPr>
        <w:t>: إيداع طلب وطني أو إقليمي أو بدء المعالجة الخاصة بالمرحلة الوطنية بناء على معاهدة التعاون بشأن البراءات لدى مكتب وطني أو إقليمي للملكية الفكرية.</w:t>
      </w:r>
    </w:p>
    <w:p w:rsidR="00A362E2" w:rsidRDefault="00A362E2" w:rsidP="00180861">
      <w:pPr>
        <w:pStyle w:val="NumberedParaAR"/>
        <w:spacing w:after="0"/>
      </w:pPr>
      <w:r>
        <w:rPr>
          <w:rFonts w:hint="cs"/>
          <w:rtl/>
        </w:rPr>
        <w:t>الطلب</w:t>
      </w:r>
      <w:r w:rsidR="00F26414">
        <w:rPr>
          <w:rFonts w:hint="cs"/>
          <w:rtl/>
        </w:rPr>
        <w:t xml:space="preserve"> موقف</w:t>
      </w:r>
      <w:r>
        <w:rPr>
          <w:rFonts w:hint="cs"/>
          <w:rtl/>
        </w:rPr>
        <w:t>: أوقِف الطلب نتيجة رفض صادر عن مكتب الملكية الفكرية، أو سحب من قبل المودع (المودعين)، أو عدم المعالجة لأسباب عدة منها، مثلا، عدم تسديد الرسوم أو عدم الرد على أحد إجراءات المكتب في غضون المدة المحدّدة.</w:t>
      </w:r>
    </w:p>
    <w:p w:rsidR="00A362E2" w:rsidRDefault="00A362E2" w:rsidP="00180861">
      <w:pPr>
        <w:pStyle w:val="NumberedParaAR"/>
        <w:spacing w:after="0"/>
      </w:pPr>
      <w:r>
        <w:rPr>
          <w:rFonts w:hint="cs"/>
          <w:rtl/>
        </w:rPr>
        <w:t>الطلب</w:t>
      </w:r>
      <w:r w:rsidR="00E92D73">
        <w:rPr>
          <w:rFonts w:hint="cs"/>
          <w:rtl/>
        </w:rPr>
        <w:t xml:space="preserve"> </w:t>
      </w:r>
      <w:proofErr w:type="gramStart"/>
      <w:r w:rsidR="00E92D73">
        <w:rPr>
          <w:rFonts w:hint="cs"/>
          <w:rtl/>
        </w:rPr>
        <w:t>محيا</w:t>
      </w:r>
      <w:proofErr w:type="gramEnd"/>
      <w:r w:rsidR="00F26414">
        <w:rPr>
          <w:rFonts w:hint="cs"/>
          <w:rtl/>
        </w:rPr>
        <w:t xml:space="preserve"> </w:t>
      </w:r>
      <w:r w:rsidR="00E92D73">
        <w:rPr>
          <w:rFonts w:hint="cs"/>
          <w:rtl/>
        </w:rPr>
        <w:t>من جديد</w:t>
      </w:r>
      <w:r>
        <w:rPr>
          <w:rFonts w:hint="cs"/>
          <w:rtl/>
        </w:rPr>
        <w:t>: أعيد إحياء الطلب.</w:t>
      </w:r>
    </w:p>
    <w:p w:rsidR="00A362E2" w:rsidRDefault="00A362E2" w:rsidP="00180861">
      <w:pPr>
        <w:pStyle w:val="NumberedParaAR"/>
        <w:spacing w:after="0"/>
      </w:pPr>
      <w:r>
        <w:rPr>
          <w:rFonts w:hint="cs"/>
          <w:rtl/>
        </w:rPr>
        <w:t>الفحص</w:t>
      </w:r>
      <w:r w:rsidR="00E92D73">
        <w:rPr>
          <w:rFonts w:hint="cs"/>
          <w:rtl/>
        </w:rPr>
        <w:t xml:space="preserve"> مطلوب</w:t>
      </w:r>
      <w:r>
        <w:rPr>
          <w:rFonts w:hint="cs"/>
          <w:rtl/>
        </w:rPr>
        <w:t xml:space="preserve">: </w:t>
      </w:r>
      <w:r w:rsidR="004B117A">
        <w:rPr>
          <w:rFonts w:hint="cs"/>
          <w:rtl/>
        </w:rPr>
        <w:t xml:space="preserve">طُلب </w:t>
      </w:r>
      <w:proofErr w:type="gramStart"/>
      <w:r w:rsidR="004B117A">
        <w:rPr>
          <w:rFonts w:hint="cs"/>
          <w:rtl/>
        </w:rPr>
        <w:t>فحص</w:t>
      </w:r>
      <w:proofErr w:type="gramEnd"/>
      <w:r w:rsidR="004B117A">
        <w:rPr>
          <w:rFonts w:hint="cs"/>
          <w:rtl/>
        </w:rPr>
        <w:t xml:space="preserve"> الطلب.</w:t>
      </w:r>
    </w:p>
    <w:p w:rsidR="004B117A" w:rsidRDefault="004B117A" w:rsidP="00180861">
      <w:pPr>
        <w:pStyle w:val="NumberedParaAR"/>
        <w:spacing w:after="0"/>
      </w:pPr>
      <w:proofErr w:type="gramStart"/>
      <w:r>
        <w:rPr>
          <w:rFonts w:hint="cs"/>
          <w:rtl/>
        </w:rPr>
        <w:t>استعراض</w:t>
      </w:r>
      <w:proofErr w:type="gramEnd"/>
      <w:r>
        <w:rPr>
          <w:rFonts w:hint="cs"/>
          <w:rtl/>
        </w:rPr>
        <w:t xml:space="preserve"> ما قبل المنح</w:t>
      </w:r>
      <w:r w:rsidR="00E92D73">
        <w:rPr>
          <w:rFonts w:hint="cs"/>
          <w:rtl/>
        </w:rPr>
        <w:t xml:space="preserve"> مطلوب</w:t>
      </w:r>
      <w:r>
        <w:rPr>
          <w:rFonts w:hint="cs"/>
          <w:rtl/>
        </w:rPr>
        <w:t>: طُلب إجراء استعراض ما قبل المنح، مثل استعراض طعن إداري أو</w:t>
      </w:r>
      <w:r>
        <w:rPr>
          <w:rFonts w:hint="eastAsia"/>
          <w:rtl/>
        </w:rPr>
        <w:t> </w:t>
      </w:r>
      <w:r>
        <w:rPr>
          <w:rFonts w:hint="cs"/>
          <w:rtl/>
        </w:rPr>
        <w:t>اعتراض، لأغراض الردّ على قرار صادر عن مكتب الملكية الفكرية المختص.</w:t>
      </w:r>
    </w:p>
    <w:p w:rsidR="004B117A" w:rsidRDefault="004B117A" w:rsidP="00180861">
      <w:pPr>
        <w:pStyle w:val="NumberedParaAR"/>
        <w:spacing w:after="0"/>
      </w:pPr>
      <w:r>
        <w:rPr>
          <w:rFonts w:hint="cs"/>
          <w:rtl/>
        </w:rPr>
        <w:t>حق الملكية الفكرية</w:t>
      </w:r>
      <w:r w:rsidR="00E92D73">
        <w:rPr>
          <w:rFonts w:hint="cs"/>
          <w:rtl/>
        </w:rPr>
        <w:t xml:space="preserve"> ممنوح</w:t>
      </w:r>
      <w:r>
        <w:rPr>
          <w:rFonts w:hint="cs"/>
          <w:rtl/>
        </w:rPr>
        <w:t xml:space="preserve">: </w:t>
      </w:r>
      <w:r w:rsidR="00314277">
        <w:rPr>
          <w:rFonts w:hint="cs"/>
          <w:rtl/>
        </w:rPr>
        <w:t>مُنحت البراءة، أو يُعتزم منحها، بعد إجراءات الفحص أو إجراءات ما قبل المنح و</w:t>
      </w:r>
      <w:r w:rsidR="003B79C1">
        <w:rPr>
          <w:rFonts w:hint="cs"/>
          <w:rtl/>
        </w:rPr>
        <w:t>ذلك بصورة</w:t>
      </w:r>
      <w:r w:rsidR="008E5798">
        <w:rPr>
          <w:rFonts w:hint="cs"/>
          <w:rtl/>
        </w:rPr>
        <w:t xml:space="preserve"> كاملة أو مُعدّلة.</w:t>
      </w:r>
    </w:p>
    <w:p w:rsidR="008E5798" w:rsidRDefault="008E5798" w:rsidP="00180861">
      <w:pPr>
        <w:pStyle w:val="NumberedParaAR"/>
        <w:spacing w:after="0"/>
      </w:pPr>
      <w:r>
        <w:rPr>
          <w:rFonts w:hint="cs"/>
          <w:rtl/>
        </w:rPr>
        <w:t xml:space="preserve">حماية </w:t>
      </w:r>
      <w:r w:rsidR="00E92D73">
        <w:rPr>
          <w:rFonts w:hint="cs"/>
          <w:rtl/>
        </w:rPr>
        <w:t xml:space="preserve">ممنوحة </w:t>
      </w:r>
      <w:r>
        <w:rPr>
          <w:rFonts w:hint="cs"/>
          <w:rtl/>
        </w:rPr>
        <w:t xml:space="preserve">بما يتجاوز مدة </w:t>
      </w:r>
      <w:proofErr w:type="gramStart"/>
      <w:r>
        <w:rPr>
          <w:rFonts w:hint="cs"/>
          <w:rtl/>
        </w:rPr>
        <w:t>حق</w:t>
      </w:r>
      <w:proofErr w:type="gramEnd"/>
      <w:r>
        <w:rPr>
          <w:rFonts w:hint="cs"/>
          <w:rtl/>
        </w:rPr>
        <w:t xml:space="preserve"> الملكية الفكرية: </w:t>
      </w:r>
      <w:r w:rsidR="0078578C">
        <w:rPr>
          <w:rFonts w:hint="cs"/>
          <w:rtl/>
        </w:rPr>
        <w:t>تم منح تسوية مدة البراءة (</w:t>
      </w:r>
      <w:r w:rsidR="0078578C" w:rsidRPr="0078578C">
        <w:t>PTA</w:t>
      </w:r>
      <w:r w:rsidR="0078578C">
        <w:rPr>
          <w:rFonts w:hint="cs"/>
          <w:rtl/>
        </w:rPr>
        <w:t>) أو تمديد مدة البراءة (</w:t>
      </w:r>
      <w:r w:rsidR="0078578C" w:rsidRPr="0078578C">
        <w:t>PTE</w:t>
      </w:r>
      <w:r w:rsidR="0078578C">
        <w:rPr>
          <w:rFonts w:hint="cs"/>
          <w:rtl/>
        </w:rPr>
        <w:t>) أو</w:t>
      </w:r>
      <w:r w:rsidR="0078578C">
        <w:rPr>
          <w:rFonts w:hint="eastAsia"/>
          <w:rtl/>
        </w:rPr>
        <w:t> </w:t>
      </w:r>
      <w:r w:rsidR="0078578C">
        <w:rPr>
          <w:rFonts w:hint="cs"/>
          <w:rtl/>
        </w:rPr>
        <w:t>شهادة الحماية التكميلية.</w:t>
      </w:r>
    </w:p>
    <w:p w:rsidR="0078578C" w:rsidRDefault="0078578C" w:rsidP="00180861">
      <w:pPr>
        <w:pStyle w:val="NumberedParaAR"/>
        <w:spacing w:after="0"/>
      </w:pPr>
      <w:proofErr w:type="gramStart"/>
      <w:r>
        <w:rPr>
          <w:rFonts w:hint="cs"/>
          <w:rtl/>
        </w:rPr>
        <w:t>حق</w:t>
      </w:r>
      <w:proofErr w:type="gramEnd"/>
      <w:r>
        <w:rPr>
          <w:rFonts w:hint="cs"/>
          <w:rtl/>
        </w:rPr>
        <w:t xml:space="preserve"> الملكية الفكرية</w:t>
      </w:r>
      <w:r w:rsidR="00E92D73">
        <w:rPr>
          <w:rFonts w:hint="cs"/>
          <w:rtl/>
        </w:rPr>
        <w:t xml:space="preserve"> ساقط</w:t>
      </w:r>
      <w:r>
        <w:rPr>
          <w:rFonts w:hint="cs"/>
          <w:rtl/>
        </w:rPr>
        <w:t xml:space="preserve">: </w:t>
      </w:r>
      <w:r w:rsidR="00305C05">
        <w:rPr>
          <w:rFonts w:hint="cs"/>
          <w:rtl/>
        </w:rPr>
        <w:t xml:space="preserve">سقط حق الملكية الفكرية بسبب انقضاء مدته أو إبطاله أو التخلي عنه أو عدم تسديد رسم التجديد أو نتيجة استعراض </w:t>
      </w:r>
      <w:r w:rsidR="00BF13E6">
        <w:rPr>
          <w:rFonts w:hint="cs"/>
          <w:rtl/>
        </w:rPr>
        <w:t xml:space="preserve">لذلك الحق، مثل ما يتم </w:t>
      </w:r>
      <w:r w:rsidR="00264DA8">
        <w:rPr>
          <w:rFonts w:hint="cs"/>
          <w:rtl/>
        </w:rPr>
        <w:t>في حال ال</w:t>
      </w:r>
      <w:r w:rsidR="00BF13E6">
        <w:rPr>
          <w:rFonts w:hint="cs"/>
          <w:rtl/>
        </w:rPr>
        <w:t xml:space="preserve">طعن أو </w:t>
      </w:r>
      <w:r w:rsidR="00264DA8">
        <w:rPr>
          <w:rFonts w:hint="cs"/>
          <w:rtl/>
        </w:rPr>
        <w:t>ال</w:t>
      </w:r>
      <w:r w:rsidR="00BF13E6">
        <w:rPr>
          <w:rFonts w:hint="cs"/>
          <w:rtl/>
        </w:rPr>
        <w:t>اعتراض بعد المنح.</w:t>
      </w:r>
    </w:p>
    <w:p w:rsidR="00BF13E6" w:rsidRDefault="00BF13E6" w:rsidP="00180861">
      <w:pPr>
        <w:pStyle w:val="NumberedParaAR"/>
        <w:spacing w:after="0"/>
      </w:pPr>
      <w:r>
        <w:rPr>
          <w:rFonts w:hint="cs"/>
          <w:rtl/>
        </w:rPr>
        <w:t>حق الملكية الفكرية</w:t>
      </w:r>
      <w:r w:rsidR="00E92D73">
        <w:rPr>
          <w:rFonts w:hint="cs"/>
          <w:rtl/>
        </w:rPr>
        <w:t xml:space="preserve"> مردود</w:t>
      </w:r>
      <w:r>
        <w:rPr>
          <w:rFonts w:hint="cs"/>
          <w:rtl/>
        </w:rPr>
        <w:t xml:space="preserve">: تم </w:t>
      </w:r>
      <w:proofErr w:type="gramStart"/>
      <w:r>
        <w:rPr>
          <w:rFonts w:hint="cs"/>
          <w:rtl/>
        </w:rPr>
        <w:t>ردّ</w:t>
      </w:r>
      <w:proofErr w:type="gramEnd"/>
      <w:r>
        <w:rPr>
          <w:rFonts w:hint="cs"/>
          <w:rtl/>
        </w:rPr>
        <w:t xml:space="preserve"> حق الملكية الفكرية بعد سقوطه.</w:t>
      </w:r>
    </w:p>
    <w:p w:rsidR="00BF13E6" w:rsidRDefault="00264DA8" w:rsidP="001B0FD0">
      <w:pPr>
        <w:pStyle w:val="NumberedParaAR"/>
        <w:spacing w:after="0"/>
      </w:pPr>
      <w:proofErr w:type="gramStart"/>
      <w:r>
        <w:rPr>
          <w:rFonts w:hint="cs"/>
          <w:rtl/>
        </w:rPr>
        <w:t>استعراض</w:t>
      </w:r>
      <w:proofErr w:type="gramEnd"/>
      <w:r>
        <w:rPr>
          <w:rFonts w:hint="cs"/>
          <w:rtl/>
        </w:rPr>
        <w:t xml:space="preserve"> حق الملكية الفكرية</w:t>
      </w:r>
      <w:r w:rsidR="00E92D73">
        <w:rPr>
          <w:rFonts w:hint="cs"/>
          <w:rtl/>
        </w:rPr>
        <w:t xml:space="preserve"> مطلوب</w:t>
      </w:r>
      <w:r>
        <w:rPr>
          <w:rFonts w:hint="cs"/>
          <w:rtl/>
        </w:rPr>
        <w:t>: طُلب إجراء استعراض ما بعد المنح، مثل ما يتم في حال الطعن أو</w:t>
      </w:r>
      <w:r w:rsidR="001B0FD0">
        <w:rPr>
          <w:rFonts w:hint="eastAsia"/>
          <w:rtl/>
        </w:rPr>
        <w:t> </w:t>
      </w:r>
      <w:r>
        <w:rPr>
          <w:rFonts w:hint="cs"/>
          <w:rtl/>
        </w:rPr>
        <w:t>الاعتراض أو إعادة الفحص.</w:t>
      </w:r>
    </w:p>
    <w:p w:rsidR="00264DA8" w:rsidRDefault="00E92D73" w:rsidP="001B0FD0">
      <w:pPr>
        <w:pStyle w:val="NumberedParaAR"/>
        <w:spacing w:after="0"/>
      </w:pPr>
      <w:proofErr w:type="gramStart"/>
      <w:r>
        <w:rPr>
          <w:rFonts w:hint="cs"/>
          <w:rtl/>
        </w:rPr>
        <w:t>حق</w:t>
      </w:r>
      <w:proofErr w:type="gramEnd"/>
      <w:r>
        <w:rPr>
          <w:rFonts w:hint="cs"/>
          <w:rtl/>
        </w:rPr>
        <w:t xml:space="preserve"> الملكية الفكرية </w:t>
      </w:r>
      <w:r w:rsidR="001B0FD0">
        <w:rPr>
          <w:rFonts w:hint="cs"/>
          <w:rtl/>
        </w:rPr>
        <w:t>مُبقى عليه</w:t>
      </w:r>
      <w:r>
        <w:rPr>
          <w:rFonts w:hint="cs"/>
          <w:rtl/>
        </w:rPr>
        <w:t xml:space="preserve"> </w:t>
      </w:r>
      <w:r w:rsidR="00264DA8">
        <w:rPr>
          <w:rFonts w:hint="cs"/>
          <w:rtl/>
        </w:rPr>
        <w:t xml:space="preserve">عقب استعراض ما بعد المنح: </w:t>
      </w:r>
      <w:r w:rsidR="003B79C1">
        <w:rPr>
          <w:rFonts w:hint="cs"/>
          <w:rtl/>
        </w:rPr>
        <w:t>أبقي على حق الملكية الفكرية بصورة كاملة أو</w:t>
      </w:r>
      <w:r w:rsidR="003B79C1">
        <w:rPr>
          <w:rFonts w:hint="eastAsia"/>
          <w:rtl/>
        </w:rPr>
        <w:t> </w:t>
      </w:r>
      <w:r w:rsidR="003B79C1">
        <w:rPr>
          <w:rFonts w:hint="cs"/>
          <w:rtl/>
        </w:rPr>
        <w:t>معدّلة عقب استعراض ذلك الحق.</w:t>
      </w:r>
    </w:p>
    <w:p w:rsidR="003B79C1" w:rsidRDefault="00F26414" w:rsidP="00180861">
      <w:pPr>
        <w:pStyle w:val="NumberedParaAR"/>
        <w:spacing w:after="0"/>
      </w:pPr>
      <w:r>
        <w:rPr>
          <w:rFonts w:hint="cs"/>
          <w:rtl/>
        </w:rPr>
        <w:t xml:space="preserve">الطلب أو حق الملكية الفكرية </w:t>
      </w:r>
      <w:r w:rsidR="00E92D73">
        <w:rPr>
          <w:rFonts w:hint="cs"/>
          <w:rtl/>
        </w:rPr>
        <w:t xml:space="preserve">مُنهى </w:t>
      </w:r>
      <w:r>
        <w:rPr>
          <w:rFonts w:hint="cs"/>
          <w:rtl/>
        </w:rPr>
        <w:t>بصفة دائمة: أنهي الطلب أو حق الملكية الفكرية بصفة دائمة.</w:t>
      </w:r>
    </w:p>
    <w:p w:rsidR="00F26414" w:rsidRDefault="00F26414" w:rsidP="00180861">
      <w:pPr>
        <w:pStyle w:val="NumberedParaAR"/>
        <w:spacing w:after="0"/>
      </w:pPr>
      <w:r>
        <w:rPr>
          <w:rFonts w:hint="cs"/>
          <w:rtl/>
        </w:rPr>
        <w:t>الوثيقة</w:t>
      </w:r>
      <w:r w:rsidR="00E92D73">
        <w:rPr>
          <w:rFonts w:hint="cs"/>
          <w:rtl/>
        </w:rPr>
        <w:t xml:space="preserve"> مُعدّلة</w:t>
      </w:r>
      <w:r>
        <w:rPr>
          <w:rFonts w:hint="cs"/>
          <w:rtl/>
        </w:rPr>
        <w:t xml:space="preserve">: </w:t>
      </w:r>
      <w:r w:rsidR="004B5BAE">
        <w:rPr>
          <w:rFonts w:hint="cs"/>
          <w:rtl/>
        </w:rPr>
        <w:t xml:space="preserve">أدخل تعديل أو </w:t>
      </w:r>
      <w:proofErr w:type="gramStart"/>
      <w:r w:rsidR="004B5BAE">
        <w:rPr>
          <w:rFonts w:hint="cs"/>
          <w:rtl/>
        </w:rPr>
        <w:t>تصحيح</w:t>
      </w:r>
      <w:proofErr w:type="gramEnd"/>
      <w:r w:rsidR="004B5BAE">
        <w:rPr>
          <w:rFonts w:hint="cs"/>
          <w:rtl/>
        </w:rPr>
        <w:t xml:space="preserve"> على وثيقة الطلب أو البراءة.</w:t>
      </w:r>
    </w:p>
    <w:p w:rsidR="004B5BAE" w:rsidRDefault="004B5BAE" w:rsidP="00180861">
      <w:pPr>
        <w:pStyle w:val="NumberedParaAR"/>
        <w:spacing w:after="0"/>
      </w:pPr>
      <w:r>
        <w:rPr>
          <w:rFonts w:hint="cs"/>
          <w:rtl/>
        </w:rPr>
        <w:t>الوثيقة منشورة: نشر مكتب الملكية الفكرية المعني الطلب أو البراءة أو المعلومات الببليوغرافية.</w:t>
      </w:r>
    </w:p>
    <w:p w:rsidR="004B5BAE" w:rsidRDefault="004B5BAE" w:rsidP="001B0FD0">
      <w:pPr>
        <w:pStyle w:val="NumberedParaAR"/>
        <w:spacing w:after="0"/>
      </w:pPr>
      <w:proofErr w:type="gramStart"/>
      <w:r>
        <w:rPr>
          <w:rFonts w:hint="cs"/>
          <w:rtl/>
        </w:rPr>
        <w:t>بيانات</w:t>
      </w:r>
      <w:proofErr w:type="gramEnd"/>
      <w:r>
        <w:rPr>
          <w:rFonts w:hint="cs"/>
          <w:rtl/>
        </w:rPr>
        <w:t xml:space="preserve"> الطرف مُغيّرة: أدخل </w:t>
      </w:r>
      <w:r w:rsidR="001B0FD0">
        <w:rPr>
          <w:rFonts w:hint="cs"/>
          <w:rtl/>
        </w:rPr>
        <w:t xml:space="preserve">تغيير </w:t>
      </w:r>
      <w:r>
        <w:rPr>
          <w:rFonts w:hint="cs"/>
          <w:rtl/>
        </w:rPr>
        <w:t>على البيانات التي تحدّد الأطراف المعنية بالطلب أو حق الملكية الفكرية، مثل اسم أو عنوان المودع أو المخترع أو الممثل أو المالك.</w:t>
      </w:r>
    </w:p>
    <w:p w:rsidR="004B5BAE" w:rsidRDefault="004B5BAE" w:rsidP="00180861">
      <w:pPr>
        <w:pStyle w:val="NumberedParaAR"/>
        <w:spacing w:after="0"/>
      </w:pPr>
      <w:r>
        <w:rPr>
          <w:rFonts w:hint="cs"/>
          <w:rtl/>
        </w:rPr>
        <w:t xml:space="preserve">معلومات الترخيص مُدوّنة: دُوّنت معلومات الترخيص، </w:t>
      </w:r>
      <w:proofErr w:type="gramStart"/>
      <w:r>
        <w:rPr>
          <w:rFonts w:hint="cs"/>
          <w:rtl/>
        </w:rPr>
        <w:t>مثل</w:t>
      </w:r>
      <w:proofErr w:type="gramEnd"/>
      <w:r>
        <w:rPr>
          <w:rFonts w:hint="cs"/>
          <w:rtl/>
        </w:rPr>
        <w:t xml:space="preserve"> المعلومات ال</w:t>
      </w:r>
      <w:r w:rsidR="001B0FD0">
        <w:rPr>
          <w:rFonts w:hint="cs"/>
          <w:rtl/>
        </w:rPr>
        <w:t xml:space="preserve">خاصة بالتراخيص أو </w:t>
      </w:r>
      <w:r>
        <w:rPr>
          <w:rFonts w:hint="cs"/>
          <w:rtl/>
        </w:rPr>
        <w:t xml:space="preserve">التأمين العيني </w:t>
      </w:r>
      <w:r w:rsidR="00E61173">
        <w:rPr>
          <w:rFonts w:hint="cs"/>
          <w:rtl/>
        </w:rPr>
        <w:t>أو الضمان أو الرهن.</w:t>
      </w:r>
    </w:p>
    <w:p w:rsidR="00E61173" w:rsidRDefault="00E61173" w:rsidP="00180861">
      <w:pPr>
        <w:pStyle w:val="NumberedParaAR"/>
        <w:spacing w:after="0"/>
      </w:pPr>
      <w:r>
        <w:rPr>
          <w:rFonts w:hint="cs"/>
          <w:rtl/>
        </w:rPr>
        <w:t xml:space="preserve">المهلة مُمدّدة: </w:t>
      </w:r>
      <w:proofErr w:type="gramStart"/>
      <w:r>
        <w:rPr>
          <w:rFonts w:hint="cs"/>
          <w:rtl/>
        </w:rPr>
        <w:t>تمديد</w:t>
      </w:r>
      <w:proofErr w:type="gramEnd"/>
      <w:r>
        <w:rPr>
          <w:rFonts w:hint="cs"/>
          <w:rtl/>
        </w:rPr>
        <w:t xml:space="preserve"> مهلة أو مواصلة المعالجة لإنجاز الإجراء اللازم، مثل تسديد الرسوم أو استكمال مواصفة.</w:t>
      </w:r>
    </w:p>
    <w:p w:rsidR="00E61173" w:rsidRDefault="00E61173" w:rsidP="00E61173">
      <w:pPr>
        <w:pStyle w:val="NumberedParaAR"/>
        <w:spacing w:after="480"/>
      </w:pPr>
      <w:r>
        <w:rPr>
          <w:rFonts w:hint="cs"/>
          <w:rtl/>
        </w:rPr>
        <w:t xml:space="preserve">الرسوم مُسدّدة: سُدّدت الرسوم، مثل </w:t>
      </w:r>
      <w:proofErr w:type="gramStart"/>
      <w:r>
        <w:rPr>
          <w:rFonts w:hint="cs"/>
          <w:rtl/>
        </w:rPr>
        <w:t>رسم</w:t>
      </w:r>
      <w:proofErr w:type="gramEnd"/>
      <w:r>
        <w:rPr>
          <w:rFonts w:hint="cs"/>
          <w:rtl/>
        </w:rPr>
        <w:t xml:space="preserve"> التجديد أو رسم المحافظة.</w:t>
      </w:r>
    </w:p>
    <w:p w:rsidR="00E61173" w:rsidRPr="007F38D1" w:rsidRDefault="00E61173" w:rsidP="00E61173">
      <w:pPr>
        <w:pStyle w:val="EndofDocumentAR"/>
        <w:rPr>
          <w:rtl/>
        </w:rPr>
      </w:pPr>
      <w:r>
        <w:rPr>
          <w:rFonts w:hint="cs"/>
          <w:rtl/>
        </w:rPr>
        <w:t xml:space="preserve">[نهاية المرفق الثاني </w:t>
      </w:r>
      <w:proofErr w:type="gramStart"/>
      <w:r>
        <w:rPr>
          <w:rFonts w:hint="cs"/>
          <w:rtl/>
        </w:rPr>
        <w:t>والوثيقة</w:t>
      </w:r>
      <w:proofErr w:type="gramEnd"/>
      <w:r>
        <w:rPr>
          <w:rFonts w:hint="cs"/>
          <w:rtl/>
        </w:rPr>
        <w:t>]</w:t>
      </w:r>
    </w:p>
    <w:sectPr w:rsidR="00E61173" w:rsidRPr="007F38D1"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6E" w:rsidRDefault="0061436E">
      <w:r>
        <w:separator/>
      </w:r>
    </w:p>
  </w:endnote>
  <w:endnote w:type="continuationSeparator" w:id="0">
    <w:p w:rsidR="0061436E" w:rsidRDefault="0061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6E" w:rsidRDefault="0061436E" w:rsidP="009622BF">
      <w:pPr>
        <w:bidi/>
      </w:pPr>
      <w:bookmarkStart w:id="0" w:name="OLE_LINK1"/>
      <w:bookmarkStart w:id="1" w:name="OLE_LINK2"/>
      <w:r>
        <w:separator/>
      </w:r>
      <w:bookmarkEnd w:id="0"/>
      <w:bookmarkEnd w:id="1"/>
    </w:p>
  </w:footnote>
  <w:footnote w:type="continuationSeparator" w:id="0">
    <w:p w:rsidR="0061436E" w:rsidRDefault="0061436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BAE" w:rsidRDefault="004B5BAE" w:rsidP="004B5BAE">
    <w:r>
      <w:t>CWS/4BIS/5</w:t>
    </w:r>
  </w:p>
  <w:p w:rsidR="00276B93" w:rsidRDefault="004B5BAE" w:rsidP="00796CF7">
    <w:r>
      <w:t>Annex II</w:t>
    </w:r>
  </w:p>
  <w:p w:rsidR="00276B93" w:rsidRDefault="00276B93" w:rsidP="00D61541">
    <w:r>
      <w:fldChar w:fldCharType="begin"/>
    </w:r>
    <w:r>
      <w:instrText xml:space="preserve"> PAGE  \* MERGEFORMAT </w:instrText>
    </w:r>
    <w:r>
      <w:fldChar w:fldCharType="separate"/>
    </w:r>
    <w:r w:rsidR="00180861">
      <w:rPr>
        <w:noProof/>
      </w:rPr>
      <w:t>2</w:t>
    </w:r>
    <w:r>
      <w:fldChar w:fldCharType="end"/>
    </w:r>
  </w:p>
  <w:p w:rsidR="00276B93" w:rsidRDefault="00276B9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36E" w:rsidRDefault="0061436E" w:rsidP="0061436E">
    <w:r>
      <w:t>CWS/4BIS/5</w:t>
    </w:r>
  </w:p>
  <w:p w:rsidR="0061436E" w:rsidRDefault="0061436E" w:rsidP="0061436E">
    <w:pPr>
      <w:pStyle w:val="Header"/>
    </w:pPr>
    <w:r>
      <w:t>ANNEX II</w:t>
    </w:r>
  </w:p>
  <w:p w:rsidR="0061436E" w:rsidRPr="0061436E" w:rsidRDefault="0061436E" w:rsidP="0061436E">
    <w:pPr>
      <w:pStyle w:val="Header"/>
      <w:bidi/>
      <w:jc w:val="right"/>
      <w:rPr>
        <w:rFonts w:ascii="Arabic Typesetting" w:hAnsi="Arabic Typesetting" w:cs="Arabic Typesetting"/>
        <w:sz w:val="36"/>
        <w:szCs w:val="36"/>
        <w:rtl/>
      </w:rPr>
    </w:pPr>
    <w:proofErr w:type="gramStart"/>
    <w:r w:rsidRPr="0061436E">
      <w:rPr>
        <w:rFonts w:ascii="Arabic Typesetting" w:hAnsi="Arabic Typesetting" w:cs="Arabic Typesetting"/>
        <w:sz w:val="36"/>
        <w:szCs w:val="36"/>
        <w:rtl/>
      </w:rPr>
      <w:t>المرفق</w:t>
    </w:r>
    <w:proofErr w:type="gramEnd"/>
    <w:r w:rsidRPr="0061436E">
      <w:rPr>
        <w:rFonts w:ascii="Arabic Typesetting" w:hAnsi="Arabic Typesetting" w:cs="Arabic Typesetting"/>
        <w:sz w:val="36"/>
        <w:szCs w:val="36"/>
        <w:rtl/>
      </w:rPr>
      <w:t xml:space="preserve"> الثاني</w:t>
    </w:r>
  </w:p>
  <w:p w:rsidR="0061436E" w:rsidRDefault="0061436E">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6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861"/>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FD0"/>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DA8"/>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C05"/>
    <w:rsid w:val="00306127"/>
    <w:rsid w:val="0030641B"/>
    <w:rsid w:val="003067C8"/>
    <w:rsid w:val="00311453"/>
    <w:rsid w:val="003114C9"/>
    <w:rsid w:val="0031229D"/>
    <w:rsid w:val="00314277"/>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9C1"/>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CE8"/>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F0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079"/>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2C1"/>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17A"/>
    <w:rsid w:val="004B198F"/>
    <w:rsid w:val="004B46D0"/>
    <w:rsid w:val="004B57B0"/>
    <w:rsid w:val="004B5BAE"/>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36E"/>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78C"/>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798"/>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2E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3E6"/>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6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173"/>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D73"/>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182"/>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14"/>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61436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61436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CWS/4BIS/5 (Arabic)</dc:title>
  <dc:subject>الأحداث الرئيسية الثمانية عشر</dc:subject>
  <dc:creator>OMPI</dc:creator>
  <cp:lastModifiedBy>RODRIGUEZ Geraldine</cp:lastModifiedBy>
  <cp:revision>3</cp:revision>
  <cp:lastPrinted>2011-07-08T11:30:00Z</cp:lastPrinted>
  <dcterms:created xsi:type="dcterms:W3CDTF">2016-03-04T15:44:00Z</dcterms:created>
  <dcterms:modified xsi:type="dcterms:W3CDTF">2016-03-04T15:56:00Z</dcterms:modified>
</cp:coreProperties>
</file>