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843"/>
        <w:gridCol w:w="4223"/>
        <w:gridCol w:w="505"/>
      </w:tblGrid>
      <w:tr w:rsidR="001667B6" w:rsidTr="00B6101C">
        <w:tc>
          <w:tcPr>
            <w:tcW w:w="4843" w:type="dxa"/>
            <w:tcBorders>
              <w:bottom w:val="single" w:sz="4" w:space="0" w:color="auto"/>
            </w:tcBorders>
          </w:tcPr>
          <w:p w:rsidR="001667B6" w:rsidRDefault="001667B6" w:rsidP="001667B6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</w:p>
        </w:tc>
        <w:tc>
          <w:tcPr>
            <w:tcW w:w="4223" w:type="dxa"/>
            <w:tcBorders>
              <w:bottom w:val="single" w:sz="4" w:space="0" w:color="auto"/>
            </w:tcBorders>
          </w:tcPr>
          <w:p w:rsidR="001667B6" w:rsidRDefault="009C0CED" w:rsidP="00237419">
            <w:pPr>
              <w:bidi/>
              <w:spacing w:after="2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1327150" cy="1263650"/>
                  <wp:effectExtent l="0" t="0" r="6350" b="0"/>
                  <wp:docPr id="1" name="Picture 1" descr="WIPO-A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A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1667B6" w:rsidRPr="001667B6" w:rsidRDefault="001667B6" w:rsidP="001667B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A</w:t>
            </w:r>
          </w:p>
        </w:tc>
      </w:tr>
      <w:tr w:rsidR="001667B6" w:rsidTr="00B6101C">
        <w:trPr>
          <w:trHeight w:val="333"/>
        </w:trPr>
        <w:tc>
          <w:tcPr>
            <w:tcW w:w="9571" w:type="dxa"/>
            <w:gridSpan w:val="3"/>
            <w:tcBorders>
              <w:top w:val="single" w:sz="4" w:space="0" w:color="auto"/>
            </w:tcBorders>
            <w:vAlign w:val="bottom"/>
          </w:tcPr>
          <w:p w:rsidR="00B6101C" w:rsidRPr="00B6101C" w:rsidRDefault="007828FF" w:rsidP="007E6CF8">
            <w:pPr>
              <w:pStyle w:val="DocumentCodeAR"/>
              <w:bidi/>
              <w:rPr>
                <w:rtl/>
              </w:rPr>
            </w:pPr>
            <w:r>
              <w:t>CWS</w:t>
            </w:r>
            <w:r w:rsidR="00100F97">
              <w:t>/</w:t>
            </w:r>
            <w:r w:rsidR="008D5779">
              <w:t>4</w:t>
            </w:r>
            <w:r w:rsidR="007205B1">
              <w:t>BIS</w:t>
            </w:r>
            <w:r w:rsidR="00B6101C" w:rsidRPr="00B6101C">
              <w:t>/</w:t>
            </w:r>
            <w:r w:rsidR="007E6CF8">
              <w:t>4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7E6CF8">
            <w:pPr>
              <w:pStyle w:val="DocumentLanguag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الأصل: </w:t>
            </w:r>
            <w:r w:rsidR="007E6CF8">
              <w:rPr>
                <w:rFonts w:hint="cs"/>
                <w:rtl/>
              </w:rPr>
              <w:t>بالإنكليزية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7E6CF8">
            <w:pPr>
              <w:pStyle w:val="DocumentDat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التاريخ: </w:t>
            </w:r>
            <w:r w:rsidR="007E6CF8">
              <w:rPr>
                <w:rFonts w:hint="cs"/>
                <w:rtl/>
              </w:rPr>
              <w:t>22 فبراير</w:t>
            </w:r>
            <w:r w:rsidRPr="00B6101C">
              <w:rPr>
                <w:rFonts w:hint="cs"/>
                <w:rtl/>
              </w:rPr>
              <w:t xml:space="preserve"> </w:t>
            </w:r>
            <w:r w:rsidR="008D5779">
              <w:rPr>
                <w:rFonts w:hint="cs"/>
                <w:rtl/>
              </w:rPr>
              <w:t>201</w:t>
            </w:r>
            <w:r w:rsidR="007205B1">
              <w:rPr>
                <w:rFonts w:hint="cs"/>
                <w:rtl/>
              </w:rPr>
              <w:t>6</w:t>
            </w:r>
          </w:p>
        </w:tc>
      </w:tr>
    </w:tbl>
    <w:p w:rsidR="000F5E56" w:rsidRDefault="000F5E5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F27305" w:rsidRDefault="00F27305" w:rsidP="00F27305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Pr="007828FF" w:rsidRDefault="007828FF" w:rsidP="00796CF7">
      <w:pPr>
        <w:pStyle w:val="MeetingTitleAR"/>
        <w:bidi/>
        <w:ind w:right="550"/>
        <w:rPr>
          <w:rtl/>
        </w:rPr>
      </w:pPr>
      <w:r w:rsidRPr="007828FF">
        <w:rPr>
          <w:rtl/>
        </w:rPr>
        <w:t>اللجنة المعنية بمعايير الويبو</w:t>
      </w: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Pr="00783D11" w:rsidRDefault="00F27305" w:rsidP="007915BE">
      <w:pPr>
        <w:pStyle w:val="MeetingSessionAR"/>
        <w:bidi/>
        <w:rPr>
          <w:rFonts w:ascii="Cambria Math" w:hAnsi="Cambria Math"/>
          <w:rtl/>
        </w:rPr>
      </w:pPr>
      <w:r w:rsidRPr="00783D11">
        <w:rPr>
          <w:rFonts w:ascii="Cambria Math" w:hAnsi="Cambria Math"/>
          <w:rtl/>
        </w:rPr>
        <w:t xml:space="preserve">الدورة </w:t>
      </w:r>
      <w:r w:rsidR="008D5779">
        <w:rPr>
          <w:rFonts w:ascii="Cambria Math" w:hAnsi="Cambria Math" w:hint="cs"/>
          <w:rtl/>
        </w:rPr>
        <w:t>الرابعة</w:t>
      </w:r>
      <w:r w:rsidR="007205B1">
        <w:rPr>
          <w:rFonts w:ascii="Cambria Math" w:hAnsi="Cambria Math" w:hint="cs"/>
          <w:rtl/>
        </w:rPr>
        <w:t xml:space="preserve"> </w:t>
      </w:r>
      <w:r w:rsidR="007915BE">
        <w:rPr>
          <w:rFonts w:ascii="Cambria Math" w:hAnsi="Cambria Math" w:hint="cs"/>
          <w:rtl/>
        </w:rPr>
        <w:t>المجتمعة</w:t>
      </w:r>
      <w:r w:rsidR="007205B1">
        <w:rPr>
          <w:rFonts w:ascii="Cambria Math" w:hAnsi="Cambria Math" w:hint="cs"/>
          <w:rtl/>
        </w:rPr>
        <w:t xml:space="preserve"> </w:t>
      </w:r>
      <w:r w:rsidR="007915BE">
        <w:rPr>
          <w:rFonts w:ascii="Cambria Math" w:hAnsi="Cambria Math" w:hint="cs"/>
          <w:rtl/>
        </w:rPr>
        <w:t>مجددا</w:t>
      </w:r>
    </w:p>
    <w:p w:rsidR="00D61541" w:rsidRPr="00D61541" w:rsidRDefault="00D61541" w:rsidP="007205B1">
      <w:pPr>
        <w:pStyle w:val="MeetingDatesAR"/>
        <w:bidi/>
        <w:rPr>
          <w:rtl/>
        </w:rPr>
      </w:pPr>
      <w:r w:rsidRPr="00D61541">
        <w:rPr>
          <w:rFonts w:hint="cs"/>
          <w:rtl/>
        </w:rPr>
        <w:t xml:space="preserve">جنيف، من </w:t>
      </w:r>
      <w:r w:rsidR="007205B1">
        <w:rPr>
          <w:rFonts w:hint="cs"/>
          <w:rtl/>
        </w:rPr>
        <w:t>21</w:t>
      </w:r>
      <w:r w:rsidR="00100F97">
        <w:rPr>
          <w:rFonts w:hint="cs"/>
          <w:rtl/>
        </w:rPr>
        <w:t xml:space="preserve"> إلى </w:t>
      </w:r>
      <w:r w:rsidR="007205B1">
        <w:rPr>
          <w:rFonts w:hint="cs"/>
          <w:rtl/>
        </w:rPr>
        <w:t>24</w:t>
      </w:r>
      <w:r w:rsidR="00783D11">
        <w:rPr>
          <w:rFonts w:hint="cs"/>
          <w:rtl/>
        </w:rPr>
        <w:t xml:space="preserve"> </w:t>
      </w:r>
      <w:r w:rsidR="007205B1">
        <w:rPr>
          <w:rFonts w:hint="cs"/>
          <w:rtl/>
        </w:rPr>
        <w:t xml:space="preserve">مارس </w:t>
      </w:r>
      <w:r w:rsidR="008D5779">
        <w:rPr>
          <w:rFonts w:hint="cs"/>
          <w:rtl/>
        </w:rPr>
        <w:t>201</w:t>
      </w:r>
      <w:r w:rsidR="007205B1">
        <w:rPr>
          <w:rFonts w:hint="cs"/>
          <w:rtl/>
        </w:rPr>
        <w:t>6</w:t>
      </w: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Pr="00D61541" w:rsidRDefault="007E6CF8" w:rsidP="00FB7EC9">
      <w:pPr>
        <w:pStyle w:val="DocumentTitleAR"/>
        <w:bidi/>
      </w:pPr>
      <w:bookmarkStart w:id="2" w:name="_GoBack"/>
      <w:r>
        <w:rPr>
          <w:rFonts w:hint="cs"/>
          <w:rtl/>
        </w:rPr>
        <w:t>تقرير مرحلي عن إعداد المرفقين الخامس والسادس</w:t>
      </w:r>
      <w:r>
        <w:rPr>
          <w:rFonts w:hint="cs"/>
          <w:rtl/>
          <w:lang w:val="fr-CH"/>
        </w:rPr>
        <w:t>،</w:t>
      </w:r>
      <w:r>
        <w:rPr>
          <w:rFonts w:hint="cs"/>
          <w:rtl/>
        </w:rPr>
        <w:t xml:space="preserve"> ومراجعة معيار</w:t>
      </w:r>
      <w:r w:rsidRPr="00E915CB">
        <w:rPr>
          <w:rFonts w:hint="cs"/>
          <w:i/>
          <w:rtl/>
        </w:rPr>
        <w:t xml:space="preserve"> </w:t>
      </w:r>
      <w:bookmarkEnd w:id="2"/>
      <w:r w:rsidRPr="00E915CB">
        <w:rPr>
          <w:rFonts w:hint="cs"/>
          <w:i/>
          <w:rtl/>
        </w:rPr>
        <w:t>ال</w:t>
      </w:r>
      <w:r>
        <w:rPr>
          <w:rFonts w:hint="cs"/>
          <w:rtl/>
        </w:rPr>
        <w:t xml:space="preserve">ويبو </w:t>
      </w:r>
      <w:r>
        <w:t>ST.96</w:t>
      </w:r>
    </w:p>
    <w:p w:rsidR="00D61541" w:rsidRPr="00D61541" w:rsidRDefault="007E6CF8" w:rsidP="00931859">
      <w:pPr>
        <w:pStyle w:val="PreparedbyAR"/>
        <w:bidi/>
        <w:rPr>
          <w:rtl/>
        </w:rPr>
      </w:pPr>
      <w:r>
        <w:rPr>
          <w:rFonts w:hint="cs"/>
          <w:rtl/>
        </w:rPr>
        <w:t xml:space="preserve">وثيقة </w:t>
      </w:r>
      <w:r w:rsidR="00D61541" w:rsidRPr="00D61541">
        <w:rPr>
          <w:rFonts w:hint="cs"/>
          <w:rtl/>
        </w:rPr>
        <w:t xml:space="preserve">من </w:t>
      </w:r>
      <w:r w:rsidR="00D61541" w:rsidRPr="00931859">
        <w:rPr>
          <w:rFonts w:hint="cs"/>
          <w:rtl/>
        </w:rPr>
        <w:t>إعداد</w:t>
      </w:r>
      <w:r>
        <w:rPr>
          <w:rFonts w:hint="cs"/>
          <w:rtl/>
        </w:rPr>
        <w:t xml:space="preserve"> الأمانة</w:t>
      </w:r>
    </w:p>
    <w:p w:rsidR="00D61541" w:rsidRDefault="007E6CF8" w:rsidP="006A137E">
      <w:pPr>
        <w:pStyle w:val="Heading2AR"/>
        <w:spacing w:after="0"/>
        <w:rPr>
          <w:rtl/>
        </w:rPr>
      </w:pPr>
      <w:r>
        <w:rPr>
          <w:rFonts w:hint="cs"/>
          <w:rtl/>
        </w:rPr>
        <w:t>مقدمة</w:t>
      </w:r>
    </w:p>
    <w:p w:rsidR="007E6CF8" w:rsidRDefault="007E6CF8" w:rsidP="000973A0">
      <w:pPr>
        <w:pStyle w:val="NumberedParaAR"/>
      </w:pPr>
      <w:r w:rsidRPr="007E6CF8">
        <w:rPr>
          <w:rtl/>
        </w:rPr>
        <w:t xml:space="preserve">منذ </w:t>
      </w:r>
      <w:r>
        <w:rPr>
          <w:rFonts w:hint="cs"/>
          <w:rtl/>
        </w:rPr>
        <w:t xml:space="preserve">تقديم </w:t>
      </w:r>
      <w:r w:rsidRPr="007E6CF8">
        <w:rPr>
          <w:rtl/>
        </w:rPr>
        <w:t xml:space="preserve">التقرير المرحلي في الدورة </w:t>
      </w:r>
      <w:r>
        <w:rPr>
          <w:rFonts w:hint="cs"/>
          <w:rtl/>
        </w:rPr>
        <w:t xml:space="preserve">الرابعة </w:t>
      </w:r>
      <w:r w:rsidRPr="007E6CF8">
        <w:rPr>
          <w:rtl/>
        </w:rPr>
        <w:t>للجنة</w:t>
      </w:r>
      <w:r>
        <w:rPr>
          <w:rFonts w:hint="cs"/>
          <w:rtl/>
        </w:rPr>
        <w:t xml:space="preserve"> المعنية بمعايير الويبو (اللجنة) التي انعقدت في مايو 2014،</w:t>
      </w:r>
      <w:r w:rsidRPr="007E6CF8">
        <w:rPr>
          <w:rtl/>
        </w:rPr>
        <w:t xml:space="preserve"> واصلت فرقة عمل </w:t>
      </w:r>
      <w:r w:rsidRPr="007E6CF8">
        <w:t>XML4IP</w:t>
      </w:r>
      <w:r w:rsidRPr="007E6CF8">
        <w:rPr>
          <w:rtl/>
        </w:rPr>
        <w:t xml:space="preserve"> مناقشاتها، من خلال منتداها الإلكتروني </w:t>
      </w:r>
      <w:r>
        <w:rPr>
          <w:rFonts w:hint="cs"/>
          <w:rtl/>
        </w:rPr>
        <w:t xml:space="preserve">ومؤتمر إلكتروني عن بعد واجتماعات </w:t>
      </w:r>
      <w:r w:rsidR="000973A0">
        <w:rPr>
          <w:rFonts w:hint="cs"/>
          <w:rtl/>
        </w:rPr>
        <w:t>مباشرة</w:t>
      </w:r>
      <w:r w:rsidRPr="007E6CF8">
        <w:rPr>
          <w:rtl/>
        </w:rPr>
        <w:t xml:space="preserve">، بغية تنفيذ المهمة رقم 41: "إعداد اقتراح بشأن المرفقين الخامس والسادس من المعيار </w:t>
      </w:r>
      <w:r w:rsidRPr="007E6CF8">
        <w:t>ST.96</w:t>
      </w:r>
      <w:r w:rsidRPr="007E6CF8">
        <w:rPr>
          <w:rtl/>
        </w:rPr>
        <w:t xml:space="preserve"> لتعتمدهما اللجنة المعنية بمعايير الويبو، والتأكد من إجراء المراجعات والتحديثات اللازمة على معيار الويبو </w:t>
      </w:r>
      <w:r w:rsidRPr="007E6CF8">
        <w:t>ST.96</w:t>
      </w:r>
      <w:r w:rsidRPr="007E6CF8">
        <w:rPr>
          <w:rtl/>
        </w:rPr>
        <w:t>".</w:t>
      </w:r>
    </w:p>
    <w:p w:rsidR="000973A0" w:rsidRDefault="00E94A1A" w:rsidP="002C1C07">
      <w:pPr>
        <w:pStyle w:val="NumberedParaAR"/>
      </w:pPr>
      <w:r>
        <w:rPr>
          <w:rFonts w:hint="cs"/>
          <w:rtl/>
          <w:lang w:val="fr-CH"/>
        </w:rPr>
        <w:t xml:space="preserve">وأعدّت </w:t>
      </w:r>
      <w:r w:rsidRPr="007E6CF8">
        <w:rPr>
          <w:rtl/>
        </w:rPr>
        <w:t xml:space="preserve">فرقة عمل </w:t>
      </w:r>
      <w:r w:rsidRPr="007E6CF8">
        <w:t>XML4IP</w:t>
      </w:r>
      <w:r>
        <w:rPr>
          <w:rFonts w:hint="cs"/>
          <w:rtl/>
        </w:rPr>
        <w:t xml:space="preserve"> اقتراحا بشأن المرفقين الخامس والسادس ل</w:t>
      </w:r>
      <w:r w:rsidRPr="007E6CF8">
        <w:rPr>
          <w:rtl/>
        </w:rPr>
        <w:t xml:space="preserve">معيار الويبو </w:t>
      </w:r>
      <w:r w:rsidRPr="007E6CF8">
        <w:t>ST.96</w:t>
      </w:r>
      <w:r>
        <w:rPr>
          <w:rFonts w:hint="cs"/>
          <w:rtl/>
        </w:rPr>
        <w:t xml:space="preserve"> كي تنظر فيه اللجنة وتعتمده في هذه الدورة (انظر الوثيقة </w:t>
      </w:r>
      <w:r>
        <w:t>CWS/4BIS/12</w:t>
      </w:r>
      <w:r>
        <w:rPr>
          <w:rFonts w:hint="cs"/>
          <w:rtl/>
        </w:rPr>
        <w:t>)</w:t>
      </w:r>
      <w:r>
        <w:rPr>
          <w:rFonts w:hint="cs"/>
          <w:rtl/>
          <w:lang w:val="fr-CH"/>
        </w:rPr>
        <w:t xml:space="preserve">. </w:t>
      </w:r>
      <w:r w:rsidR="002C1C07">
        <w:rPr>
          <w:rFonts w:hint="cs"/>
          <w:rtl/>
          <w:lang w:val="fr-CH"/>
        </w:rPr>
        <w:t xml:space="preserve">وراجعت </w:t>
      </w:r>
      <w:r w:rsidRPr="007E6CF8">
        <w:rPr>
          <w:rtl/>
        </w:rPr>
        <w:t xml:space="preserve">فرقة عمل </w:t>
      </w:r>
      <w:r w:rsidRPr="007E6CF8">
        <w:t>XML4IP</w:t>
      </w:r>
      <w:r w:rsidR="002C1C07">
        <w:rPr>
          <w:rFonts w:hint="cs"/>
          <w:rtl/>
        </w:rPr>
        <w:t xml:space="preserve"> ال</w:t>
      </w:r>
      <w:r w:rsidR="002C1C07" w:rsidRPr="007E6CF8">
        <w:rPr>
          <w:rtl/>
        </w:rPr>
        <w:t xml:space="preserve">معيار </w:t>
      </w:r>
      <w:r w:rsidR="002C1C07" w:rsidRPr="007E6CF8">
        <w:t>ST.96</w:t>
      </w:r>
      <w:r w:rsidR="002C1C07">
        <w:rPr>
          <w:rFonts w:hint="cs"/>
          <w:rtl/>
        </w:rPr>
        <w:t xml:space="preserve"> مرّتين في مايو وديسمبر 2015.</w:t>
      </w:r>
    </w:p>
    <w:p w:rsidR="002C1C07" w:rsidRDefault="00E902A4" w:rsidP="006A137E">
      <w:pPr>
        <w:pStyle w:val="Heading2AR"/>
        <w:spacing w:after="120"/>
        <w:rPr>
          <w:rtl/>
        </w:rPr>
      </w:pPr>
      <w:r>
        <w:rPr>
          <w:rFonts w:hint="cs"/>
          <w:rtl/>
        </w:rPr>
        <w:t xml:space="preserve">مراجعة </w:t>
      </w:r>
      <w:r w:rsidRPr="00E902A4">
        <w:rPr>
          <w:rtl/>
        </w:rPr>
        <w:t xml:space="preserve">معيار الويبو </w:t>
      </w:r>
      <w:r w:rsidRPr="00E902A4">
        <w:t>ST.96</w:t>
      </w:r>
    </w:p>
    <w:p w:rsidR="005C0754" w:rsidRPr="005C0754" w:rsidRDefault="005C0754" w:rsidP="006A137E">
      <w:pPr>
        <w:pStyle w:val="Heading3AR"/>
        <w:spacing w:after="0"/>
      </w:pPr>
      <w:r>
        <w:rPr>
          <w:rFonts w:hint="cs"/>
          <w:rtl/>
        </w:rPr>
        <w:t>الإصدار 2.0</w:t>
      </w:r>
    </w:p>
    <w:p w:rsidR="002C1C07" w:rsidRPr="00B21FBB" w:rsidRDefault="005C0754" w:rsidP="00B21FBB">
      <w:pPr>
        <w:pStyle w:val="NumberedParaAR"/>
      </w:pPr>
      <w:r>
        <w:rPr>
          <w:rFonts w:hint="cs"/>
          <w:rtl/>
        </w:rPr>
        <w:t xml:space="preserve">كما سبق وأن أخبرت اللجنة في مايو 2014 (انظر الوثيقة </w:t>
      </w:r>
      <w:r>
        <w:t>CWS/4/6</w:t>
      </w:r>
      <w:r>
        <w:rPr>
          <w:rFonts w:hint="cs"/>
          <w:rtl/>
        </w:rPr>
        <w:t>)</w:t>
      </w:r>
      <w:r w:rsidR="009B77AA">
        <w:rPr>
          <w:rFonts w:hint="cs"/>
          <w:rtl/>
          <w:lang w:val="fr-CH"/>
        </w:rPr>
        <w:t xml:space="preserve">، </w:t>
      </w:r>
      <w:r w:rsidR="00B21FBB">
        <w:rPr>
          <w:rFonts w:hint="cs"/>
          <w:rtl/>
          <w:lang w:val="fr-CH"/>
        </w:rPr>
        <w:t xml:space="preserve">تعمل </w:t>
      </w:r>
      <w:r w:rsidR="00B21FBB">
        <w:rPr>
          <w:rtl/>
        </w:rPr>
        <w:t xml:space="preserve">فرقة عمل </w:t>
      </w:r>
      <w:r w:rsidR="00B21FBB">
        <w:t>XML4IP</w:t>
      </w:r>
      <w:r w:rsidR="00B21FBB">
        <w:rPr>
          <w:rFonts w:hint="cs"/>
          <w:rtl/>
        </w:rPr>
        <w:t xml:space="preserve"> على الإصدار</w:t>
      </w:r>
      <w:r w:rsidR="00B21FBB">
        <w:rPr>
          <w:rFonts w:hint="eastAsia"/>
          <w:rtl/>
        </w:rPr>
        <w:t> </w:t>
      </w:r>
      <w:r w:rsidR="00B21FBB">
        <w:rPr>
          <w:rFonts w:hint="cs"/>
          <w:rtl/>
        </w:rPr>
        <w:t xml:space="preserve">2.0 للمعيار </w:t>
      </w:r>
      <w:r w:rsidR="00B21FBB">
        <w:t>ST.96</w:t>
      </w:r>
      <w:r w:rsidR="00B21FBB">
        <w:rPr>
          <w:rFonts w:hint="cs"/>
          <w:rtl/>
          <w:lang w:val="fr-CH"/>
        </w:rPr>
        <w:t xml:space="preserve"> منذ 2012 وتمت الموافقة على هذا الإصدار في مايو 2015. وفي الإصدار 2.0، روجع متن المعيار </w:t>
      </w:r>
      <w:r w:rsidR="00B21FBB">
        <w:t>ST.96</w:t>
      </w:r>
      <w:r w:rsidR="00B21FBB">
        <w:rPr>
          <w:rFonts w:hint="cs"/>
          <w:rtl/>
          <w:lang w:val="fr-CH"/>
        </w:rPr>
        <w:t xml:space="preserve"> وكذلك مرفقاته الأربعة. </w:t>
      </w:r>
    </w:p>
    <w:p w:rsidR="00B21FBB" w:rsidRDefault="00B21FBB" w:rsidP="00E5682B">
      <w:pPr>
        <w:pStyle w:val="NumberedParaAR"/>
        <w:rPr>
          <w:rtl/>
        </w:rPr>
      </w:pPr>
      <w:r>
        <w:rPr>
          <w:rFonts w:hint="cs"/>
          <w:rtl/>
        </w:rPr>
        <w:t xml:space="preserve">وجاء الإصدار 2.0 بتحسينات كبيرة، مثل تعزيز توثيق مخططات </w:t>
      </w:r>
      <w:r>
        <w:t>XML</w:t>
      </w:r>
      <w:r w:rsidRPr="00B21FBB">
        <w:rPr>
          <w:rFonts w:hint="cs"/>
          <w:rtl/>
          <w:lang w:val="fr-CH"/>
        </w:rPr>
        <w:t xml:space="preserve">. </w:t>
      </w:r>
      <w:r w:rsidRPr="00B21FBB">
        <w:rPr>
          <w:rtl/>
        </w:rPr>
        <w:t>وتتصل التغييرات الرئيسية بما يلي:</w:t>
      </w:r>
    </w:p>
    <w:p w:rsidR="00B21FBB" w:rsidRDefault="00B21FBB" w:rsidP="009802F5">
      <w:pPr>
        <w:pStyle w:val="NumberedParaAR"/>
        <w:numPr>
          <w:ilvl w:val="0"/>
          <w:numId w:val="22"/>
        </w:numPr>
        <w:spacing w:after="120"/>
        <w:ind w:left="992" w:hanging="425"/>
        <w:rPr>
          <w:rtl/>
        </w:rPr>
      </w:pPr>
      <w:r w:rsidRPr="00B21FBB">
        <w:rPr>
          <w:rtl/>
        </w:rPr>
        <w:lastRenderedPageBreak/>
        <w:t xml:space="preserve">الصور والدفع </w:t>
      </w:r>
      <w:r>
        <w:rPr>
          <w:rFonts w:hint="cs"/>
          <w:rtl/>
        </w:rPr>
        <w:t xml:space="preserve">ومراجع </w:t>
      </w:r>
      <w:r w:rsidRPr="00B21FBB">
        <w:rPr>
          <w:rtl/>
        </w:rPr>
        <w:t xml:space="preserve">الفقرات والأرقام في </w:t>
      </w:r>
      <w:r>
        <w:rPr>
          <w:rFonts w:hint="cs"/>
          <w:rtl/>
        </w:rPr>
        <w:t>المجال العام</w:t>
      </w:r>
      <w:r w:rsidRPr="00B21FBB">
        <w:rPr>
          <w:rtl/>
        </w:rPr>
        <w:t>؛</w:t>
      </w:r>
    </w:p>
    <w:p w:rsidR="00B21FBB" w:rsidRDefault="00B21FBB" w:rsidP="0033506A">
      <w:pPr>
        <w:pStyle w:val="NumberedParaAR"/>
        <w:numPr>
          <w:ilvl w:val="0"/>
          <w:numId w:val="22"/>
        </w:numPr>
        <w:spacing w:after="120"/>
        <w:ind w:left="992" w:hanging="425"/>
        <w:rPr>
          <w:rtl/>
        </w:rPr>
      </w:pPr>
      <w:r w:rsidRPr="00B21FBB">
        <w:rPr>
          <w:rtl/>
        </w:rPr>
        <w:t>وتصنيف البراءات والبيانات الببليوغرافية ونشر البراءات وإعادة نشر البراءات في مجال البراءات؛</w:t>
      </w:r>
    </w:p>
    <w:p w:rsidR="00B21FBB" w:rsidRDefault="00B21FBB" w:rsidP="0033506A">
      <w:pPr>
        <w:pStyle w:val="NumberedParaAR"/>
        <w:numPr>
          <w:ilvl w:val="0"/>
          <w:numId w:val="22"/>
        </w:numPr>
        <w:spacing w:after="120"/>
        <w:ind w:left="992" w:hanging="425"/>
        <w:rPr>
          <w:rtl/>
        </w:rPr>
      </w:pPr>
      <w:r w:rsidRPr="00B21FBB">
        <w:rPr>
          <w:rtl/>
        </w:rPr>
        <w:t>وفئات العلامات والعلامات الجماعية وتصنيف السلع والخدمات في مجال العلامات التجارية؛</w:t>
      </w:r>
    </w:p>
    <w:p w:rsidR="00B21FBB" w:rsidRPr="007E6CF8" w:rsidRDefault="00B21FBB" w:rsidP="009802F5">
      <w:pPr>
        <w:pStyle w:val="NumberedParaAR"/>
        <w:numPr>
          <w:ilvl w:val="0"/>
          <w:numId w:val="22"/>
        </w:numPr>
        <w:ind w:left="991" w:hanging="425"/>
        <w:rPr>
          <w:rtl/>
        </w:rPr>
      </w:pPr>
      <w:r w:rsidRPr="00B21FBB">
        <w:rPr>
          <w:rtl/>
        </w:rPr>
        <w:t xml:space="preserve">وتصنيف لوكارنو </w:t>
      </w:r>
      <w:r w:rsidR="0033506A">
        <w:rPr>
          <w:rFonts w:hint="cs"/>
          <w:rtl/>
        </w:rPr>
        <w:t>و</w:t>
      </w:r>
      <w:r w:rsidRPr="00B21FBB">
        <w:rPr>
          <w:rtl/>
        </w:rPr>
        <w:t xml:space="preserve">فئة زاوية </w:t>
      </w:r>
      <w:r w:rsidR="009802F5">
        <w:rPr>
          <w:rFonts w:hint="cs"/>
          <w:rtl/>
        </w:rPr>
        <w:t xml:space="preserve">المنظور </w:t>
      </w:r>
      <w:r w:rsidRPr="00B21FBB">
        <w:rPr>
          <w:rtl/>
        </w:rPr>
        <w:t>في مجال التص</w:t>
      </w:r>
      <w:r w:rsidR="0033506A">
        <w:rPr>
          <w:rFonts w:hint="cs"/>
          <w:rtl/>
        </w:rPr>
        <w:t>ا</w:t>
      </w:r>
      <w:r w:rsidRPr="00B21FBB">
        <w:rPr>
          <w:rtl/>
        </w:rPr>
        <w:t>ميم.</w:t>
      </w:r>
    </w:p>
    <w:p w:rsidR="002F77FC" w:rsidRDefault="00E5682B" w:rsidP="00E5682B">
      <w:pPr>
        <w:pStyle w:val="NumberedParaAR"/>
      </w:pPr>
      <w:r>
        <w:rPr>
          <w:rFonts w:hint="cs"/>
          <w:rtl/>
        </w:rPr>
        <w:t xml:space="preserve">ونشر الإصدار 2.0 على موقع الويبو في: </w:t>
      </w:r>
      <w:hyperlink r:id="rId10" w:history="1">
        <w:r w:rsidRPr="00BA38FF">
          <w:rPr>
            <w:rStyle w:val="Hyperlink"/>
          </w:rPr>
          <w:t>http://www.wipo.int/standards/en/st96/v2-0</w:t>
        </w:r>
      </w:hyperlink>
      <w:r>
        <w:t>.</w:t>
      </w:r>
    </w:p>
    <w:p w:rsidR="00E5682B" w:rsidRDefault="00C2326B" w:rsidP="006A137E">
      <w:pPr>
        <w:pStyle w:val="Heading3AR"/>
        <w:spacing w:after="0"/>
      </w:pPr>
      <w:r>
        <w:rPr>
          <w:rFonts w:hint="cs"/>
          <w:rtl/>
        </w:rPr>
        <w:t>الإصدار 2.1</w:t>
      </w:r>
    </w:p>
    <w:p w:rsidR="00C2326B" w:rsidRPr="004F36F9" w:rsidRDefault="00C2326B" w:rsidP="00B50C86">
      <w:pPr>
        <w:pStyle w:val="NumberedParaAR"/>
      </w:pPr>
      <w:r>
        <w:rPr>
          <w:rFonts w:hint="cs"/>
          <w:rtl/>
        </w:rPr>
        <w:t xml:space="preserve">أطلق الإصدار 2.1 لتصحيح بعض الأخطاء الطفيفة وإضافة مكونات جديدة إلى مخطط </w:t>
      </w:r>
      <w:r>
        <w:t>XML</w:t>
      </w:r>
      <w:r>
        <w:rPr>
          <w:rFonts w:hint="cs"/>
          <w:rtl/>
          <w:lang w:val="fr-CH"/>
        </w:rPr>
        <w:t xml:space="preserve"> للمعيار </w:t>
      </w:r>
      <w:r>
        <w:t>ST.96</w:t>
      </w:r>
      <w:r>
        <w:rPr>
          <w:rFonts w:hint="cs"/>
          <w:rtl/>
          <w:lang w:val="fr-CH"/>
        </w:rPr>
        <w:t xml:space="preserve"> (المرفق الثالث)، </w:t>
      </w:r>
      <w:r w:rsidR="00B50C86">
        <w:rPr>
          <w:rFonts w:hint="cs"/>
          <w:rtl/>
          <w:lang w:val="fr-CH"/>
        </w:rPr>
        <w:t xml:space="preserve">وأيضا ارتقت أجزاء أخرى من المعيار </w:t>
      </w:r>
      <w:r w:rsidR="00B50C86">
        <w:t>ST.96</w:t>
      </w:r>
      <w:r w:rsidR="00B50C86">
        <w:rPr>
          <w:rFonts w:hint="cs"/>
          <w:rtl/>
          <w:lang w:val="fr-CH"/>
        </w:rPr>
        <w:t xml:space="preserve"> إلى الإصدار 2.1، بما فيها متن المعيار، وذلك لضمان الاتساق فيما بين مختلف الأجزاء. </w:t>
      </w:r>
      <w:r w:rsidR="004F36F9">
        <w:rPr>
          <w:rFonts w:hint="cs"/>
          <w:rtl/>
          <w:lang w:val="fr-CH"/>
        </w:rPr>
        <w:t>وتشمل التغييرات التي جاءت في الإصدار 2.1 ما يلي:</w:t>
      </w:r>
    </w:p>
    <w:p w:rsidR="004F36F9" w:rsidRDefault="004F36F9" w:rsidP="00BC6F77">
      <w:pPr>
        <w:pStyle w:val="NumberedParaAR"/>
        <w:numPr>
          <w:ilvl w:val="0"/>
          <w:numId w:val="22"/>
        </w:numPr>
        <w:spacing w:after="120"/>
        <w:ind w:left="992" w:hanging="425"/>
      </w:pPr>
      <w:r w:rsidRPr="004F36F9">
        <w:rPr>
          <w:rFonts w:hint="cs"/>
          <w:rtl/>
        </w:rPr>
        <w:t xml:space="preserve">تحديث بعض المكونات المتعلقة بالفقرات، مثل </w:t>
      </w:r>
      <w:proofErr w:type="spellStart"/>
      <w:r>
        <w:t>com:SmallCapital</w:t>
      </w:r>
      <w:proofErr w:type="spellEnd"/>
      <w:r w:rsidRPr="004F36F9">
        <w:rPr>
          <w:rFonts w:hint="cs"/>
          <w:rtl/>
        </w:rPr>
        <w:t xml:space="preserve"> و</w:t>
      </w:r>
      <w:proofErr w:type="spellStart"/>
      <w:r>
        <w:t>com:Sub</w:t>
      </w:r>
      <w:proofErr w:type="spellEnd"/>
      <w:r>
        <w:rPr>
          <w:rFonts w:hint="cs"/>
          <w:rtl/>
        </w:rPr>
        <w:t xml:space="preserve"> و</w:t>
      </w:r>
      <w:proofErr w:type="spellStart"/>
      <w:r w:rsidR="00BC6F77">
        <w:t>c</w:t>
      </w:r>
      <w:r>
        <w:t>om:Sup</w:t>
      </w:r>
      <w:proofErr w:type="spellEnd"/>
      <w:r w:rsidRPr="004F36F9">
        <w:rPr>
          <w:rFonts w:hint="cs"/>
          <w:rtl/>
        </w:rPr>
        <w:t>؛</w:t>
      </w:r>
    </w:p>
    <w:p w:rsidR="004F36F9" w:rsidRDefault="004F36F9" w:rsidP="004F36F9">
      <w:pPr>
        <w:pStyle w:val="NumberedParaAR"/>
        <w:numPr>
          <w:ilvl w:val="0"/>
          <w:numId w:val="22"/>
        </w:numPr>
        <w:spacing w:after="120"/>
        <w:ind w:left="992" w:hanging="425"/>
      </w:pPr>
      <w:r>
        <w:rPr>
          <w:rFonts w:hint="cs"/>
          <w:rtl/>
        </w:rPr>
        <w:t>وإضافة قيمة ترقيم جديدة</w:t>
      </w:r>
      <w:r w:rsidRPr="001C2428">
        <w:rPr>
          <w:szCs w:val="22"/>
        </w:rPr>
        <w:t xml:space="preserve">“Pt” (Points) </w:t>
      </w:r>
      <w:r>
        <w:rPr>
          <w:rFonts w:hint="cs"/>
          <w:rtl/>
        </w:rPr>
        <w:t xml:space="preserve"> إلى </w:t>
      </w:r>
      <w:proofErr w:type="spellStart"/>
      <w:r w:rsidRPr="001C2428">
        <w:rPr>
          <w:szCs w:val="22"/>
        </w:rPr>
        <w:t>com:MeasureUnitCodeType</w:t>
      </w:r>
      <w:proofErr w:type="spellEnd"/>
      <w:r>
        <w:rPr>
          <w:rFonts w:hint="cs"/>
          <w:rtl/>
        </w:rPr>
        <w:t>؛</w:t>
      </w:r>
    </w:p>
    <w:p w:rsidR="004F36F9" w:rsidRDefault="004F36F9" w:rsidP="004F36F9">
      <w:pPr>
        <w:pStyle w:val="NumberedParaAR"/>
        <w:numPr>
          <w:ilvl w:val="0"/>
          <w:numId w:val="22"/>
        </w:numPr>
        <w:spacing w:after="120"/>
        <w:ind w:left="992" w:hanging="425"/>
      </w:pPr>
      <w:r>
        <w:rPr>
          <w:rFonts w:hint="cs"/>
          <w:rtl/>
        </w:rPr>
        <w:t xml:space="preserve">وإضافة </w:t>
      </w:r>
      <w:proofErr w:type="spellStart"/>
      <w:r w:rsidRPr="001C2428">
        <w:rPr>
          <w:szCs w:val="22"/>
        </w:rPr>
        <w:t>com:PublicationContact</w:t>
      </w:r>
      <w:proofErr w:type="spellEnd"/>
      <w:r>
        <w:rPr>
          <w:rFonts w:hint="cs"/>
          <w:rtl/>
        </w:rPr>
        <w:t xml:space="preserve"> إلى بعض مكونات العلامات التجارية، مثل</w:t>
      </w:r>
      <w:r>
        <w:rPr>
          <w:rFonts w:hint="eastAsia"/>
          <w:rtl/>
        </w:rPr>
        <w:t> </w:t>
      </w:r>
      <w:proofErr w:type="spellStart"/>
      <w:r w:rsidRPr="001C2428">
        <w:rPr>
          <w:szCs w:val="22"/>
        </w:rPr>
        <w:t>tmk:ApplicantType</w:t>
      </w:r>
      <w:proofErr w:type="spellEnd"/>
      <w:r>
        <w:rPr>
          <w:rFonts w:hint="cs"/>
          <w:rtl/>
        </w:rPr>
        <w:t>؛</w:t>
      </w:r>
    </w:p>
    <w:p w:rsidR="004F36F9" w:rsidRPr="004F36F9" w:rsidRDefault="004F36F9" w:rsidP="004F36F9">
      <w:pPr>
        <w:pStyle w:val="NumberedParaAR"/>
        <w:numPr>
          <w:ilvl w:val="0"/>
          <w:numId w:val="22"/>
        </w:numPr>
        <w:ind w:left="992" w:hanging="425"/>
      </w:pPr>
      <w:r>
        <w:rPr>
          <w:rFonts w:hint="cs"/>
          <w:rtl/>
        </w:rPr>
        <w:t xml:space="preserve">وإضافة قيمة ترقيم جديدة </w:t>
      </w:r>
      <w:r>
        <w:t>“Breeder”</w:t>
      </w:r>
      <w:r>
        <w:rPr>
          <w:rFonts w:hint="cs"/>
          <w:rtl/>
          <w:lang w:val="fr-CH"/>
        </w:rPr>
        <w:t xml:space="preserve"> إلى المكوّن الموجود </w:t>
      </w:r>
      <w:proofErr w:type="spellStart"/>
      <w:r w:rsidRPr="001C2428">
        <w:rPr>
          <w:szCs w:val="22"/>
        </w:rPr>
        <w:t>com:RoleCategoryType</w:t>
      </w:r>
      <w:proofErr w:type="spellEnd"/>
      <w:r>
        <w:rPr>
          <w:rFonts w:hint="cs"/>
          <w:rtl/>
          <w:lang w:val="fr-CH"/>
        </w:rPr>
        <w:t>.</w:t>
      </w:r>
    </w:p>
    <w:p w:rsidR="004F36F9" w:rsidRDefault="00204A4C" w:rsidP="00BC6F77">
      <w:pPr>
        <w:pStyle w:val="NumberedParaAR"/>
      </w:pPr>
      <w:r>
        <w:rPr>
          <w:rFonts w:hint="cs"/>
          <w:rtl/>
        </w:rPr>
        <w:t xml:space="preserve">والإصدار 2.1 هو أحدث إصدار </w:t>
      </w:r>
      <w:r w:rsidR="00BC6F77">
        <w:rPr>
          <w:rFonts w:hint="cs"/>
          <w:rtl/>
        </w:rPr>
        <w:t>حتى</w:t>
      </w:r>
      <w:r>
        <w:rPr>
          <w:rFonts w:hint="cs"/>
          <w:rtl/>
        </w:rPr>
        <w:t xml:space="preserve"> تاريخ إعداد هذه الوثيقة، وهو منشور على موقع الويبو في: </w:t>
      </w:r>
      <w:hyperlink r:id="rId11" w:history="1">
        <w:r w:rsidRPr="00BA38FF">
          <w:rPr>
            <w:rStyle w:val="Hyperlink"/>
          </w:rPr>
          <w:t>http://www.wipo.int/standards/en/part_03_standards.html</w:t>
        </w:r>
      </w:hyperlink>
      <w:r>
        <w:t>.</w:t>
      </w:r>
    </w:p>
    <w:p w:rsidR="00204A4C" w:rsidRPr="004F36F9" w:rsidRDefault="000E54F2" w:rsidP="006A137E">
      <w:pPr>
        <w:pStyle w:val="Heading2AR"/>
        <w:spacing w:after="0"/>
      </w:pPr>
      <w:r>
        <w:rPr>
          <w:rFonts w:hint="cs"/>
          <w:rtl/>
        </w:rPr>
        <w:t>أنشطة أخرى ل</w:t>
      </w:r>
      <w:r w:rsidRPr="007E6CF8">
        <w:rPr>
          <w:rtl/>
        </w:rPr>
        <w:t xml:space="preserve">فرقة عمل </w:t>
      </w:r>
      <w:r w:rsidRPr="007E6CF8">
        <w:t>XML4IP</w:t>
      </w:r>
    </w:p>
    <w:p w:rsidR="004F36F9" w:rsidRDefault="000E54F2" w:rsidP="000E54F2">
      <w:pPr>
        <w:pStyle w:val="NumberedParaAR"/>
      </w:pPr>
      <w:r>
        <w:rPr>
          <w:rFonts w:hint="cs"/>
          <w:rtl/>
        </w:rPr>
        <w:t xml:space="preserve">بعد اجتماع اللجنة في مايو 2014، عقدت </w:t>
      </w:r>
      <w:r w:rsidRPr="007E6CF8">
        <w:rPr>
          <w:rtl/>
        </w:rPr>
        <w:t xml:space="preserve">فرقة عمل </w:t>
      </w:r>
      <w:r w:rsidRPr="007E6CF8">
        <w:t>XML4IP</w:t>
      </w:r>
      <w:r>
        <w:rPr>
          <w:rFonts w:hint="cs"/>
          <w:rtl/>
        </w:rPr>
        <w:t xml:space="preserve"> أربعة اجتماعات بأهداف محدّدة:</w:t>
      </w:r>
    </w:p>
    <w:p w:rsidR="000E54F2" w:rsidRDefault="000E54F2" w:rsidP="000E54F2">
      <w:pPr>
        <w:pStyle w:val="NumberedParaAR"/>
        <w:numPr>
          <w:ilvl w:val="0"/>
          <w:numId w:val="22"/>
        </w:numPr>
        <w:spacing w:after="120"/>
        <w:ind w:left="992" w:hanging="425"/>
      </w:pPr>
      <w:r>
        <w:rPr>
          <w:rFonts w:hint="cs"/>
          <w:rtl/>
        </w:rPr>
        <w:t xml:space="preserve">الاجتماع في ألكزاندريا، الولايات المتحدة الأمريكية (أكتوبر 2014)، عُقد أساسا لتطوير مخطط </w:t>
      </w:r>
      <w:r>
        <w:t>XML</w:t>
      </w:r>
      <w:r w:rsidRPr="000E54F2">
        <w:rPr>
          <w:rFonts w:hint="cs"/>
          <w:rtl/>
        </w:rPr>
        <w:t xml:space="preserve"> للعلامات التجارية، وتحديدا للإخطار الإلكتروني في نظام مدريد؛</w:t>
      </w:r>
    </w:p>
    <w:p w:rsidR="000E54F2" w:rsidRDefault="000E54F2" w:rsidP="000E54F2">
      <w:pPr>
        <w:pStyle w:val="NumberedParaAR"/>
        <w:numPr>
          <w:ilvl w:val="0"/>
          <w:numId w:val="22"/>
        </w:numPr>
        <w:spacing w:after="120"/>
        <w:ind w:left="992" w:hanging="425"/>
      </w:pPr>
      <w:r>
        <w:rPr>
          <w:rFonts w:hint="cs"/>
          <w:rtl/>
        </w:rPr>
        <w:t>والاجتماع في لندن، المملكة المتحدة (نوفمبر 2014)، عُقد أساسا لإعداد المشروع النهائي للمرفقين المتبقيين الخامس والسادس، ولتطوير الإصدار 2.0؛</w:t>
      </w:r>
    </w:p>
    <w:p w:rsidR="000E54F2" w:rsidRDefault="000E54F2" w:rsidP="000E54F2">
      <w:pPr>
        <w:pStyle w:val="NumberedParaAR"/>
        <w:numPr>
          <w:ilvl w:val="0"/>
          <w:numId w:val="22"/>
        </w:numPr>
        <w:spacing w:after="120"/>
        <w:ind w:left="992" w:hanging="425"/>
      </w:pPr>
      <w:r>
        <w:rPr>
          <w:rFonts w:hint="cs"/>
          <w:rtl/>
        </w:rPr>
        <w:t>والاجتماع في جنيف، سويسرا (يونيو 2015)، عُقد أساسا لاستكمال الصيغة النهائية للمرفقين الخامس والسادس؛</w:t>
      </w:r>
    </w:p>
    <w:p w:rsidR="000E54F2" w:rsidRPr="000E54F2" w:rsidRDefault="000E54F2" w:rsidP="000E54F2">
      <w:pPr>
        <w:pStyle w:val="NumberedParaAR"/>
        <w:numPr>
          <w:ilvl w:val="0"/>
          <w:numId w:val="22"/>
        </w:numPr>
        <w:ind w:left="992" w:hanging="425"/>
        <w:rPr>
          <w:rtl/>
        </w:rPr>
      </w:pPr>
      <w:r>
        <w:rPr>
          <w:rFonts w:hint="cs"/>
          <w:rtl/>
        </w:rPr>
        <w:t>والاجتماع في ألكزاندريا، الولايات المتحدة الأمريكية (أكتوبر 2015)، عُقد أساسا لإعداد مشروع مكونات المخططات لإخطارات نظام مدريد وإخطارات نظام لاهاي.</w:t>
      </w:r>
    </w:p>
    <w:p w:rsidR="000E54F2" w:rsidRDefault="000E54F2" w:rsidP="00BC6F77">
      <w:pPr>
        <w:pStyle w:val="NumberedParaAR"/>
      </w:pPr>
      <w:r>
        <w:rPr>
          <w:rFonts w:hint="cs"/>
          <w:rtl/>
        </w:rPr>
        <w:t xml:space="preserve">وكان من أنشطتها الأخرى مشاطرة خطة تنفيذ </w:t>
      </w:r>
      <w:r w:rsidR="006A137E">
        <w:rPr>
          <w:rFonts w:hint="cs"/>
          <w:rtl/>
        </w:rPr>
        <w:t xml:space="preserve">المعيار </w:t>
      </w:r>
      <w:r w:rsidR="006A137E">
        <w:t>ST.96</w:t>
      </w:r>
      <w:r w:rsidR="006A137E">
        <w:rPr>
          <w:rFonts w:hint="cs"/>
          <w:rtl/>
          <w:lang w:val="fr-CH"/>
        </w:rPr>
        <w:t xml:space="preserve"> </w:t>
      </w:r>
      <w:r>
        <w:rPr>
          <w:rFonts w:hint="cs"/>
          <w:rtl/>
        </w:rPr>
        <w:t xml:space="preserve">وتجارب كل مكتب </w:t>
      </w:r>
      <w:r w:rsidR="006A137E">
        <w:rPr>
          <w:rFonts w:hint="cs"/>
          <w:rtl/>
        </w:rPr>
        <w:t xml:space="preserve">مع المكاتب الأخرى في الاجتماع المباشر ومن خلال المنتدى الإلكتروني لفرقة العمل. وهذا النوع من </w:t>
      </w:r>
      <w:r w:rsidR="00BC6F77">
        <w:rPr>
          <w:rFonts w:hint="cs"/>
          <w:rtl/>
        </w:rPr>
        <w:t>التعاون</w:t>
      </w:r>
      <w:r w:rsidR="006A137E">
        <w:rPr>
          <w:rFonts w:hint="cs"/>
          <w:rtl/>
        </w:rPr>
        <w:t xml:space="preserve"> مفيد جدا </w:t>
      </w:r>
      <w:r w:rsidR="00BC6F77">
        <w:rPr>
          <w:rFonts w:hint="cs"/>
          <w:rtl/>
        </w:rPr>
        <w:t xml:space="preserve">للتكافل </w:t>
      </w:r>
      <w:r w:rsidR="006A137E">
        <w:rPr>
          <w:rFonts w:hint="cs"/>
          <w:rtl/>
        </w:rPr>
        <w:t>معاً من أجل تنفيذ المعيار</w:t>
      </w:r>
      <w:r w:rsidR="006A137E">
        <w:rPr>
          <w:rFonts w:hint="eastAsia"/>
          <w:rtl/>
        </w:rPr>
        <w:t> </w:t>
      </w:r>
      <w:r w:rsidR="006A137E">
        <w:t>ST.96</w:t>
      </w:r>
      <w:r w:rsidR="006A137E">
        <w:rPr>
          <w:rFonts w:hint="cs"/>
          <w:rtl/>
        </w:rPr>
        <w:t xml:space="preserve"> وتسهيل تبادل البيانات بين المكاتب.</w:t>
      </w:r>
    </w:p>
    <w:p w:rsidR="00E5682B" w:rsidRDefault="006A137E" w:rsidP="006A137E">
      <w:pPr>
        <w:pStyle w:val="NumberedParaAR"/>
      </w:pPr>
      <w:r>
        <w:rPr>
          <w:rFonts w:hint="cs"/>
          <w:rtl/>
        </w:rPr>
        <w:lastRenderedPageBreak/>
        <w:t xml:space="preserve">وللتجاوب مع القضايا أو الطلبات الخاصة، تستعمل </w:t>
      </w:r>
      <w:r w:rsidRPr="007E6CF8">
        <w:rPr>
          <w:rtl/>
        </w:rPr>
        <w:t xml:space="preserve">فرقة عمل </w:t>
      </w:r>
      <w:r w:rsidRPr="007E6CF8">
        <w:t>XML4IP</w:t>
      </w:r>
      <w:r>
        <w:rPr>
          <w:rFonts w:hint="cs"/>
          <w:rtl/>
        </w:rPr>
        <w:t xml:space="preserve"> سجل</w:t>
      </w:r>
      <w:r>
        <w:rPr>
          <w:rFonts w:hint="cs"/>
          <w:rtl/>
          <w:lang w:val="fr-CH"/>
        </w:rPr>
        <w:t>ها</w:t>
      </w:r>
      <w:r>
        <w:rPr>
          <w:rFonts w:hint="cs"/>
          <w:rtl/>
        </w:rPr>
        <w:t xml:space="preserve"> </w:t>
      </w:r>
      <w:r>
        <w:t>(Issue Register)</w:t>
      </w:r>
      <w:r>
        <w:rPr>
          <w:rFonts w:hint="cs"/>
          <w:rtl/>
        </w:rPr>
        <w:t xml:space="preserve"> الذي كان يحتوي على 585 قضية مسجّلة حتى تاريخ إعداد هذه الوثيقة. وقد أقفل العديد من هذه القضايا ولا تزال حوالي 40 قضية </w:t>
      </w:r>
      <w:r w:rsidR="00707F96">
        <w:rPr>
          <w:rFonts w:hint="cs"/>
          <w:rtl/>
        </w:rPr>
        <w:t xml:space="preserve">منها </w:t>
      </w:r>
      <w:r>
        <w:rPr>
          <w:rFonts w:hint="cs"/>
          <w:rtl/>
        </w:rPr>
        <w:t>مفتوحة حتى الآن.</w:t>
      </w:r>
    </w:p>
    <w:p w:rsidR="00E5682B" w:rsidRPr="00DC7E86" w:rsidRDefault="00DC7E86" w:rsidP="00DC7E86">
      <w:pPr>
        <w:pStyle w:val="Heading2AR"/>
        <w:spacing w:after="0"/>
      </w:pPr>
      <w:r w:rsidRPr="00DC7E86">
        <w:rPr>
          <w:rFonts w:hint="cs"/>
          <w:rtl/>
        </w:rPr>
        <w:t>خطة العمل</w:t>
      </w:r>
    </w:p>
    <w:p w:rsidR="00DC7E86" w:rsidRPr="00E6501D" w:rsidRDefault="00DC7E86" w:rsidP="00E5682B">
      <w:pPr>
        <w:pStyle w:val="NumberedParaAR"/>
      </w:pPr>
      <w:r>
        <w:rPr>
          <w:rFonts w:hint="cs"/>
          <w:rtl/>
        </w:rPr>
        <w:t xml:space="preserve">استلمت </w:t>
      </w:r>
      <w:r w:rsidRPr="007E6CF8">
        <w:rPr>
          <w:rtl/>
        </w:rPr>
        <w:t xml:space="preserve">فرقة عمل </w:t>
      </w:r>
      <w:r w:rsidRPr="007E6CF8">
        <w:t>XML4IP</w:t>
      </w:r>
      <w:r w:rsidR="00E6501D">
        <w:rPr>
          <w:rFonts w:hint="cs"/>
          <w:rtl/>
        </w:rPr>
        <w:t xml:space="preserve"> طلبات لتوسيع نطاق المعيار </w:t>
      </w:r>
      <w:r w:rsidR="00E6501D">
        <w:t>ST.96</w:t>
      </w:r>
      <w:r w:rsidR="00E6501D">
        <w:rPr>
          <w:rFonts w:hint="cs"/>
          <w:rtl/>
          <w:lang w:val="fr-CH"/>
        </w:rPr>
        <w:t xml:space="preserve"> من أجل تلبية متطلبات عمل إضافية. وقد عالجت العديد منها وبعضها لا يزال مطروحا كما هو مبين أدناه.</w:t>
      </w:r>
    </w:p>
    <w:p w:rsidR="00E6501D" w:rsidRPr="00E6501D" w:rsidRDefault="00E6501D" w:rsidP="00E6501D">
      <w:pPr>
        <w:pStyle w:val="NumberedParaAR"/>
        <w:keepNext/>
        <w:numPr>
          <w:ilvl w:val="0"/>
          <w:numId w:val="0"/>
        </w:numPr>
        <w:rPr>
          <w:u w:val="single"/>
          <w:rtl/>
          <w:lang w:val="fr-CH"/>
        </w:rPr>
      </w:pPr>
      <w:r w:rsidRPr="00E6501D">
        <w:rPr>
          <w:rFonts w:hint="cs"/>
          <w:u w:val="single"/>
          <w:rtl/>
          <w:lang w:val="fr-CH"/>
        </w:rPr>
        <w:t>مجال عام</w:t>
      </w:r>
    </w:p>
    <w:p w:rsidR="00E6501D" w:rsidRPr="00E6501D" w:rsidRDefault="00E6501D" w:rsidP="00BC6F77">
      <w:pPr>
        <w:pStyle w:val="NumberedParaAR"/>
        <w:numPr>
          <w:ilvl w:val="0"/>
          <w:numId w:val="25"/>
        </w:numPr>
      </w:pPr>
      <w:r>
        <w:rPr>
          <w:rFonts w:hint="cs"/>
          <w:rtl/>
          <w:lang w:val="fr-CH"/>
        </w:rPr>
        <w:t xml:space="preserve">رزمة/معاملة للإيداع الشبكي والتجديد الشبكي </w:t>
      </w:r>
      <w:r w:rsidR="00BC6F77">
        <w:rPr>
          <w:rFonts w:hint="cs"/>
          <w:rtl/>
          <w:lang w:val="fr-CH"/>
        </w:rPr>
        <w:t>في خدمة</w:t>
      </w:r>
      <w:r>
        <w:rPr>
          <w:rFonts w:hint="cs"/>
          <w:rtl/>
          <w:lang w:val="fr-CH"/>
        </w:rPr>
        <w:t xml:space="preserve"> الشباك الواحد</w:t>
      </w:r>
    </w:p>
    <w:p w:rsidR="00E6501D" w:rsidRPr="00E6501D" w:rsidRDefault="00E6501D" w:rsidP="00E6501D">
      <w:pPr>
        <w:pStyle w:val="NumberedParaAR"/>
        <w:keepNext/>
        <w:numPr>
          <w:ilvl w:val="0"/>
          <w:numId w:val="0"/>
        </w:numPr>
        <w:rPr>
          <w:u w:val="single"/>
          <w:rtl/>
          <w:lang w:val="fr-CH"/>
        </w:rPr>
      </w:pPr>
      <w:r w:rsidRPr="00E6501D">
        <w:rPr>
          <w:rFonts w:hint="cs"/>
          <w:u w:val="single"/>
          <w:rtl/>
          <w:lang w:val="fr-CH"/>
        </w:rPr>
        <w:t>مجال البراءات</w:t>
      </w:r>
    </w:p>
    <w:p w:rsidR="00E6501D" w:rsidRDefault="00E6501D" w:rsidP="00E6501D">
      <w:pPr>
        <w:pStyle w:val="NumberedParaAR"/>
        <w:numPr>
          <w:ilvl w:val="0"/>
          <w:numId w:val="25"/>
        </w:numPr>
        <w:spacing w:after="120"/>
        <w:ind w:left="1281" w:hanging="357"/>
        <w:rPr>
          <w:lang w:val="fr-CH"/>
        </w:rPr>
      </w:pPr>
      <w:r>
        <w:rPr>
          <w:rFonts w:hint="cs"/>
          <w:rtl/>
          <w:lang w:val="fr-CH"/>
        </w:rPr>
        <w:t>تقرير البحث/الرأي الكتابي</w:t>
      </w:r>
    </w:p>
    <w:p w:rsidR="00E6501D" w:rsidRPr="00E6501D" w:rsidRDefault="00E6501D" w:rsidP="00E6501D">
      <w:pPr>
        <w:pStyle w:val="NumberedParaAR"/>
        <w:numPr>
          <w:ilvl w:val="0"/>
          <w:numId w:val="25"/>
        </w:numPr>
        <w:spacing w:after="120"/>
        <w:ind w:left="1281" w:hanging="357"/>
        <w:rPr>
          <w:lang w:val="fr-CH"/>
        </w:rPr>
      </w:pPr>
      <w:r>
        <w:rPr>
          <w:rFonts w:hint="cs"/>
          <w:rtl/>
          <w:lang w:val="fr-CH"/>
        </w:rPr>
        <w:t xml:space="preserve">البيانات الببليوغرافية لأغراض شهادة الحماية التكميلية </w:t>
      </w:r>
      <w:r w:rsidRPr="007852EC">
        <w:rPr>
          <w:lang w:val="fr-CH"/>
        </w:rPr>
        <w:t>(SPC)</w:t>
      </w:r>
    </w:p>
    <w:p w:rsidR="00E6501D" w:rsidRPr="00E6501D" w:rsidRDefault="00E6501D" w:rsidP="00E6501D">
      <w:pPr>
        <w:pStyle w:val="NumberedParaAR"/>
        <w:numPr>
          <w:ilvl w:val="0"/>
          <w:numId w:val="25"/>
        </w:numPr>
        <w:spacing w:after="120"/>
        <w:ind w:left="1281" w:hanging="357"/>
        <w:rPr>
          <w:lang w:val="fr-CH"/>
        </w:rPr>
      </w:pPr>
      <w:r>
        <w:rPr>
          <w:rFonts w:hint="cs"/>
          <w:rtl/>
        </w:rPr>
        <w:t>تجديد البراءة</w:t>
      </w:r>
    </w:p>
    <w:p w:rsidR="00E6501D" w:rsidRPr="00E6501D" w:rsidRDefault="00E6501D" w:rsidP="00E6501D">
      <w:pPr>
        <w:pStyle w:val="NumberedParaAR"/>
        <w:numPr>
          <w:ilvl w:val="0"/>
          <w:numId w:val="25"/>
        </w:numPr>
        <w:spacing w:after="120"/>
        <w:ind w:left="1281" w:hanging="357"/>
        <w:rPr>
          <w:lang w:val="fr-CH"/>
        </w:rPr>
      </w:pPr>
      <w:r>
        <w:rPr>
          <w:rFonts w:hint="cs"/>
          <w:rtl/>
        </w:rPr>
        <w:t>وثيقة الأولوية</w:t>
      </w:r>
    </w:p>
    <w:p w:rsidR="00E6501D" w:rsidRPr="00E6501D" w:rsidRDefault="00E6501D" w:rsidP="00E6501D">
      <w:pPr>
        <w:pStyle w:val="NumberedParaAR"/>
        <w:numPr>
          <w:ilvl w:val="0"/>
          <w:numId w:val="25"/>
        </w:numPr>
        <w:spacing w:after="120"/>
        <w:ind w:left="1281" w:hanging="357"/>
        <w:rPr>
          <w:lang w:val="fr-CH"/>
        </w:rPr>
      </w:pPr>
      <w:r>
        <w:rPr>
          <w:rFonts w:hint="cs"/>
          <w:rtl/>
        </w:rPr>
        <w:t>بيانات الوضع القانوني</w:t>
      </w:r>
    </w:p>
    <w:p w:rsidR="00E6501D" w:rsidRDefault="00E6501D" w:rsidP="00E6501D">
      <w:pPr>
        <w:pStyle w:val="NumberedParaAR"/>
        <w:numPr>
          <w:ilvl w:val="0"/>
          <w:numId w:val="25"/>
        </w:numPr>
        <w:spacing w:after="120"/>
        <w:ind w:left="1281" w:hanging="357"/>
        <w:rPr>
          <w:lang w:val="fr-CH"/>
        </w:rPr>
      </w:pPr>
      <w:r>
        <w:rPr>
          <w:rFonts w:hint="cs"/>
          <w:rtl/>
        </w:rPr>
        <w:t xml:space="preserve">استمارات </w:t>
      </w:r>
      <w:r>
        <w:t>PCT</w:t>
      </w:r>
    </w:p>
    <w:p w:rsidR="00E6501D" w:rsidRDefault="00E6501D" w:rsidP="00E6501D">
      <w:pPr>
        <w:pStyle w:val="NumberedParaAR"/>
        <w:numPr>
          <w:ilvl w:val="0"/>
          <w:numId w:val="25"/>
        </w:numPr>
        <w:spacing w:after="120"/>
        <w:ind w:left="1281" w:hanging="357"/>
        <w:rPr>
          <w:lang w:val="fr-CH"/>
        </w:rPr>
      </w:pPr>
      <w:r>
        <w:rPr>
          <w:rFonts w:hint="cs"/>
          <w:rtl/>
          <w:lang w:val="fr-CH"/>
        </w:rPr>
        <w:t>المعاملات</w:t>
      </w:r>
    </w:p>
    <w:p w:rsidR="00E6501D" w:rsidRDefault="00E6501D" w:rsidP="00E6501D">
      <w:pPr>
        <w:pStyle w:val="NumberedParaAR"/>
        <w:numPr>
          <w:ilvl w:val="0"/>
          <w:numId w:val="25"/>
        </w:numPr>
        <w:rPr>
          <w:lang w:val="fr-CH"/>
        </w:rPr>
      </w:pPr>
      <w:r>
        <w:rPr>
          <w:rFonts w:hint="cs"/>
          <w:rtl/>
          <w:lang w:val="fr-CH"/>
        </w:rPr>
        <w:t>التعديل</w:t>
      </w:r>
    </w:p>
    <w:p w:rsidR="00E6501D" w:rsidRPr="00E6501D" w:rsidRDefault="00E6501D" w:rsidP="00E6501D">
      <w:pPr>
        <w:pStyle w:val="NumberedParaAR"/>
        <w:keepNext/>
        <w:numPr>
          <w:ilvl w:val="0"/>
          <w:numId w:val="0"/>
        </w:numPr>
        <w:rPr>
          <w:u w:val="single"/>
          <w:lang w:val="fr-CH"/>
        </w:rPr>
      </w:pPr>
      <w:r w:rsidRPr="00E6501D">
        <w:rPr>
          <w:rFonts w:hint="cs"/>
          <w:u w:val="single"/>
          <w:rtl/>
          <w:lang w:val="fr-CH"/>
        </w:rPr>
        <w:t>مجال العلامات التجارية</w:t>
      </w:r>
    </w:p>
    <w:p w:rsidR="00E6501D" w:rsidRDefault="00E6501D" w:rsidP="00E6501D">
      <w:pPr>
        <w:pStyle w:val="NumberedParaAR"/>
        <w:numPr>
          <w:ilvl w:val="0"/>
          <w:numId w:val="25"/>
        </w:numPr>
        <w:rPr>
          <w:lang w:val="fr-CH"/>
        </w:rPr>
      </w:pPr>
      <w:r>
        <w:rPr>
          <w:rFonts w:hint="cs"/>
          <w:rtl/>
          <w:lang w:val="fr-CH"/>
        </w:rPr>
        <w:t>الإخطار الإلكتروني في نظام مدريد</w:t>
      </w:r>
    </w:p>
    <w:p w:rsidR="00E6501D" w:rsidRPr="00E6501D" w:rsidRDefault="00E6501D" w:rsidP="00E6501D">
      <w:pPr>
        <w:pStyle w:val="NumberedParaAR"/>
        <w:keepNext/>
        <w:numPr>
          <w:ilvl w:val="0"/>
          <w:numId w:val="0"/>
        </w:numPr>
        <w:rPr>
          <w:u w:val="single"/>
          <w:lang w:val="fr-CH"/>
        </w:rPr>
      </w:pPr>
      <w:r w:rsidRPr="00E6501D">
        <w:rPr>
          <w:rFonts w:hint="cs"/>
          <w:u w:val="single"/>
          <w:rtl/>
          <w:lang w:val="fr-CH"/>
        </w:rPr>
        <w:t>مجال التصاميم</w:t>
      </w:r>
    </w:p>
    <w:p w:rsidR="00E6501D" w:rsidRPr="00E6501D" w:rsidRDefault="00E6501D" w:rsidP="00E6501D">
      <w:pPr>
        <w:pStyle w:val="NumberedParaAR"/>
        <w:numPr>
          <w:ilvl w:val="0"/>
          <w:numId w:val="25"/>
        </w:numPr>
        <w:spacing w:after="120"/>
        <w:ind w:left="1281" w:hanging="357"/>
      </w:pPr>
      <w:r w:rsidRPr="00E6501D">
        <w:rPr>
          <w:rFonts w:hint="cs"/>
          <w:rtl/>
        </w:rPr>
        <w:t>الإخطار الإلكتروني في نظام لاهاي</w:t>
      </w:r>
    </w:p>
    <w:p w:rsidR="00E6501D" w:rsidRPr="00E6501D" w:rsidRDefault="00E6501D" w:rsidP="00E6501D">
      <w:pPr>
        <w:pStyle w:val="NumberedParaAR"/>
        <w:numPr>
          <w:ilvl w:val="0"/>
          <w:numId w:val="25"/>
        </w:numPr>
        <w:rPr>
          <w:lang w:val="fr-CH"/>
        </w:rPr>
      </w:pPr>
      <w:r>
        <w:rPr>
          <w:rFonts w:hint="cs"/>
          <w:rtl/>
          <w:lang w:val="fr-CH"/>
        </w:rPr>
        <w:t>البيانات الببليوغرافية للتصاميم</w:t>
      </w:r>
    </w:p>
    <w:p w:rsidR="00E6501D" w:rsidRPr="007852EC" w:rsidRDefault="00C20B91" w:rsidP="00C20B91">
      <w:pPr>
        <w:pStyle w:val="NumberedParaAR"/>
        <w:rPr>
          <w:lang w:val="fr-CH"/>
        </w:rPr>
      </w:pPr>
      <w:r>
        <w:rPr>
          <w:rFonts w:hint="cs"/>
          <w:rtl/>
        </w:rPr>
        <w:t xml:space="preserve">واتفقت </w:t>
      </w:r>
      <w:r w:rsidRPr="007E6CF8">
        <w:rPr>
          <w:rtl/>
        </w:rPr>
        <w:t xml:space="preserve">فرقة عمل </w:t>
      </w:r>
      <w:r w:rsidRPr="007852EC">
        <w:rPr>
          <w:lang w:val="fr-CH"/>
        </w:rPr>
        <w:t>XML4IP</w:t>
      </w:r>
      <w:r>
        <w:rPr>
          <w:rFonts w:hint="cs"/>
          <w:rtl/>
        </w:rPr>
        <w:t xml:space="preserve"> مبدئيا على إضافة العناصر التالية في الإصدار المقبل لمخطط </w:t>
      </w:r>
      <w:r w:rsidRPr="007852EC">
        <w:rPr>
          <w:lang w:val="fr-CH"/>
        </w:rPr>
        <w:t>XML</w:t>
      </w:r>
      <w:r>
        <w:rPr>
          <w:rFonts w:hint="cs"/>
          <w:rtl/>
          <w:lang w:val="fr-CH"/>
        </w:rPr>
        <w:t xml:space="preserve"> للمعيار </w:t>
      </w:r>
      <w:r w:rsidRPr="007852EC">
        <w:rPr>
          <w:lang w:val="fr-CH"/>
        </w:rPr>
        <w:t>ST.96</w:t>
      </w:r>
      <w:r>
        <w:rPr>
          <w:rFonts w:hint="cs"/>
          <w:rtl/>
          <w:lang w:val="fr-CH"/>
        </w:rPr>
        <w:t>.</w:t>
      </w:r>
    </w:p>
    <w:p w:rsidR="00C20B91" w:rsidRPr="00C20B91" w:rsidRDefault="00C20B91" w:rsidP="00C20B91">
      <w:pPr>
        <w:pStyle w:val="NumberedParaAR"/>
        <w:numPr>
          <w:ilvl w:val="0"/>
          <w:numId w:val="25"/>
        </w:numPr>
        <w:spacing w:after="120"/>
        <w:ind w:left="1281" w:hanging="357"/>
      </w:pPr>
      <w:r w:rsidRPr="00C20B91">
        <w:rPr>
          <w:rFonts w:hint="cs"/>
          <w:rtl/>
        </w:rPr>
        <w:t>الإخطار الإلكتروني في نظام مدريد</w:t>
      </w:r>
    </w:p>
    <w:p w:rsidR="00C20B91" w:rsidRPr="00E6501D" w:rsidRDefault="00C20B91" w:rsidP="00C20B91">
      <w:pPr>
        <w:pStyle w:val="NumberedParaAR"/>
        <w:numPr>
          <w:ilvl w:val="0"/>
          <w:numId w:val="25"/>
        </w:numPr>
        <w:spacing w:after="120"/>
        <w:ind w:left="1281" w:hanging="357"/>
      </w:pPr>
      <w:r w:rsidRPr="00E6501D">
        <w:rPr>
          <w:rFonts w:hint="cs"/>
          <w:rtl/>
        </w:rPr>
        <w:t>الإخطار الإلكتروني في نظام لاهاي</w:t>
      </w:r>
    </w:p>
    <w:p w:rsidR="00C20B91" w:rsidRPr="00C20B91" w:rsidRDefault="00C20B91" w:rsidP="00C20B91">
      <w:pPr>
        <w:pStyle w:val="NumberedParaAR"/>
        <w:numPr>
          <w:ilvl w:val="0"/>
          <w:numId w:val="25"/>
        </w:numPr>
        <w:spacing w:after="120"/>
        <w:ind w:left="1281" w:hanging="357"/>
      </w:pPr>
      <w:r w:rsidRPr="00C20B91">
        <w:rPr>
          <w:rFonts w:hint="cs"/>
          <w:rtl/>
        </w:rPr>
        <w:t xml:space="preserve">البيانات الببليوغرافية لأغراض شهادة الحماية التكميلية </w:t>
      </w:r>
      <w:r>
        <w:t>(SPC)</w:t>
      </w:r>
    </w:p>
    <w:p w:rsidR="00C20B91" w:rsidRPr="00C20B91" w:rsidRDefault="00C20B91" w:rsidP="00C20B91">
      <w:pPr>
        <w:pStyle w:val="NumberedParaAR"/>
        <w:numPr>
          <w:ilvl w:val="0"/>
          <w:numId w:val="25"/>
        </w:numPr>
        <w:ind w:left="1281" w:hanging="357"/>
      </w:pPr>
      <w:r w:rsidRPr="00C20B91">
        <w:rPr>
          <w:rFonts w:hint="cs"/>
          <w:rtl/>
        </w:rPr>
        <w:t>تقرير البحث/الرأي الكتابي</w:t>
      </w:r>
    </w:p>
    <w:p w:rsidR="00C20B91" w:rsidRDefault="00C20B91" w:rsidP="00C20B91">
      <w:pPr>
        <w:pStyle w:val="NumberedParaAR"/>
        <w:keepNext/>
      </w:pPr>
      <w:r>
        <w:rPr>
          <w:rFonts w:hint="cs"/>
          <w:rtl/>
        </w:rPr>
        <w:lastRenderedPageBreak/>
        <w:t xml:space="preserve">ومن أجل إعداد الإصدار المقبل لمخطط </w:t>
      </w:r>
      <w:r>
        <w:t>XML</w:t>
      </w:r>
      <w:r>
        <w:rPr>
          <w:rFonts w:hint="cs"/>
          <w:rtl/>
          <w:lang w:val="fr-CH"/>
        </w:rPr>
        <w:t xml:space="preserve"> للمعيار </w:t>
      </w:r>
      <w:r>
        <w:t>ST.96</w:t>
      </w:r>
      <w:r>
        <w:rPr>
          <w:rFonts w:hint="cs"/>
          <w:rtl/>
          <w:lang w:val="fr-CH"/>
        </w:rPr>
        <w:t xml:space="preserve">، تعتزم </w:t>
      </w:r>
      <w:r w:rsidRPr="007E6CF8">
        <w:rPr>
          <w:rtl/>
        </w:rPr>
        <w:t xml:space="preserve">فرقة عمل </w:t>
      </w:r>
      <w:r w:rsidRPr="007E6CF8">
        <w:t>XML4IP</w:t>
      </w:r>
      <w:r>
        <w:rPr>
          <w:rFonts w:hint="cs"/>
          <w:rtl/>
        </w:rPr>
        <w:t xml:space="preserve"> تنظيم اجتماع مباشر في 2016.</w:t>
      </w:r>
    </w:p>
    <w:p w:rsidR="00C20B91" w:rsidRDefault="00C20B91" w:rsidP="00C20B91">
      <w:pPr>
        <w:pStyle w:val="DecisionParaAR"/>
        <w:keepNext/>
      </w:pPr>
      <w:r>
        <w:rPr>
          <w:rFonts w:hint="cs"/>
          <w:rtl/>
        </w:rPr>
        <w:t>إن اللجنة مدعوة إلى:</w:t>
      </w:r>
    </w:p>
    <w:p w:rsidR="00C20B91" w:rsidRDefault="00C20B91" w:rsidP="00C20B91">
      <w:pPr>
        <w:pStyle w:val="DecisionParaAR"/>
        <w:numPr>
          <w:ilvl w:val="0"/>
          <w:numId w:val="0"/>
        </w:numPr>
        <w:tabs>
          <w:tab w:val="left" w:pos="6661"/>
        </w:tabs>
        <w:ind w:left="5534" w:firstLine="560"/>
      </w:pPr>
      <w:r>
        <w:rPr>
          <w:rFonts w:hint="cs"/>
          <w:rtl/>
        </w:rPr>
        <w:t>(أ)</w:t>
      </w:r>
      <w:r>
        <w:rPr>
          <w:rFonts w:hint="cs"/>
          <w:rtl/>
        </w:rPr>
        <w:tab/>
        <w:t xml:space="preserve">الإحاطة علما بنتائج عمل </w:t>
      </w:r>
      <w:r w:rsidRPr="007E6CF8">
        <w:rPr>
          <w:rtl/>
        </w:rPr>
        <w:t xml:space="preserve">فرقة عمل </w:t>
      </w:r>
      <w:r w:rsidRPr="007E6CF8">
        <w:t>XML4IP</w:t>
      </w:r>
      <w:r w:rsidRPr="00C20B91">
        <w:rPr>
          <w:rtl/>
        </w:rPr>
        <w:t xml:space="preserve"> </w:t>
      </w:r>
      <w:r>
        <w:rPr>
          <w:rFonts w:hint="cs"/>
          <w:rtl/>
        </w:rPr>
        <w:t>وتقرير رئيس فرقة العمل، كما هو مفصّل في هذه الوثيقة؛</w:t>
      </w:r>
    </w:p>
    <w:p w:rsidR="00C20B91" w:rsidRDefault="00C20B91" w:rsidP="00C20B91">
      <w:pPr>
        <w:pStyle w:val="DecisionParaAR"/>
        <w:numPr>
          <w:ilvl w:val="0"/>
          <w:numId w:val="0"/>
        </w:numPr>
        <w:tabs>
          <w:tab w:val="left" w:pos="6661"/>
        </w:tabs>
        <w:ind w:left="5534" w:firstLine="560"/>
      </w:pPr>
      <w:r>
        <w:rPr>
          <w:rFonts w:hint="cs"/>
          <w:rtl/>
        </w:rPr>
        <w:t>(ب)</w:t>
      </w:r>
      <w:r>
        <w:rPr>
          <w:rFonts w:hint="cs"/>
          <w:rtl/>
        </w:rPr>
        <w:tab/>
        <w:t xml:space="preserve">والإحاطة علما بخطة عمل </w:t>
      </w:r>
      <w:r w:rsidRPr="007E6CF8">
        <w:rPr>
          <w:rtl/>
        </w:rPr>
        <w:t xml:space="preserve">فرقة عمل </w:t>
      </w:r>
      <w:r w:rsidRPr="007E6CF8">
        <w:t>XML4IP</w:t>
      </w:r>
      <w:r>
        <w:rPr>
          <w:rFonts w:hint="cs"/>
          <w:rtl/>
        </w:rPr>
        <w:t xml:space="preserve"> المشار إليها في الفقرات 11 إلى 13 أعلاه.</w:t>
      </w:r>
    </w:p>
    <w:p w:rsidR="00C20B91" w:rsidRDefault="00C20B91" w:rsidP="00C20B91">
      <w:pPr>
        <w:pStyle w:val="EndofDocumentAR"/>
      </w:pPr>
      <w:r>
        <w:rPr>
          <w:rFonts w:hint="cs"/>
          <w:rtl/>
        </w:rPr>
        <w:t>[نهاية الوثيقة]</w:t>
      </w:r>
    </w:p>
    <w:p w:rsidR="00E5682B" w:rsidRPr="007F38D1" w:rsidRDefault="00E5682B" w:rsidP="007F38D1">
      <w:pPr>
        <w:pStyle w:val="NormalParaAR"/>
        <w:rPr>
          <w:rtl/>
        </w:rPr>
      </w:pPr>
    </w:p>
    <w:p w:rsidR="009F513E" w:rsidRPr="007F38D1" w:rsidRDefault="009F513E" w:rsidP="007F38D1">
      <w:pPr>
        <w:pStyle w:val="NormalParaAR"/>
        <w:rPr>
          <w:rtl/>
        </w:rPr>
      </w:pPr>
    </w:p>
    <w:sectPr w:rsidR="009F513E" w:rsidRPr="007F38D1" w:rsidSect="00EB7752">
      <w:headerReference w:type="default" r:id="rId12"/>
      <w:pgSz w:w="11907" w:h="16840" w:code="9"/>
      <w:pgMar w:top="567" w:right="1418" w:bottom="1418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CF8" w:rsidRDefault="007E6CF8">
      <w:r>
        <w:separator/>
      </w:r>
    </w:p>
  </w:endnote>
  <w:endnote w:type="continuationSeparator" w:id="0">
    <w:p w:rsidR="007E6CF8" w:rsidRDefault="007E6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CF8" w:rsidRDefault="007E6CF8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7E6CF8" w:rsidRDefault="007E6CF8" w:rsidP="009622BF">
      <w:pPr>
        <w:bidi/>
      </w:pPr>
      <w:r>
        <w: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7FC" w:rsidRDefault="007828FF" w:rsidP="00707F96">
    <w:r>
      <w:t>CWS</w:t>
    </w:r>
    <w:r w:rsidR="002F77FC">
      <w:t>/</w:t>
    </w:r>
    <w:r w:rsidR="008D5779">
      <w:t>4</w:t>
    </w:r>
    <w:r w:rsidR="007205B1">
      <w:t>BIS</w:t>
    </w:r>
    <w:r w:rsidR="002F77FC">
      <w:t>/</w:t>
    </w:r>
    <w:r w:rsidR="00707F96">
      <w:t>4</w:t>
    </w:r>
  </w:p>
  <w:p w:rsidR="002F77FC" w:rsidRDefault="002F77FC" w:rsidP="00D61541">
    <w:r>
      <w:fldChar w:fldCharType="begin"/>
    </w:r>
    <w:r>
      <w:instrText xml:space="preserve"> PAGE  \* MERGEFORMAT </w:instrText>
    </w:r>
    <w:r>
      <w:fldChar w:fldCharType="separate"/>
    </w:r>
    <w:r w:rsidR="007852EC">
      <w:rPr>
        <w:noProof/>
      </w:rPr>
      <w:t>4</w:t>
    </w:r>
    <w:r>
      <w:fldChar w:fldCharType="end"/>
    </w:r>
  </w:p>
  <w:p w:rsidR="002F77FC" w:rsidRDefault="002F77FC" w:rsidP="00D6154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5B28C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5E87973"/>
    <w:multiLevelType w:val="hybridMultilevel"/>
    <w:tmpl w:val="025AB0C2"/>
    <w:lvl w:ilvl="0" w:tplc="D09EF666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A5F081D"/>
    <w:multiLevelType w:val="hybridMultilevel"/>
    <w:tmpl w:val="F738A50C"/>
    <w:lvl w:ilvl="0" w:tplc="FE6C0D5A">
      <w:start w:val="17"/>
      <w:numFmt w:val="bullet"/>
      <w:lvlText w:val="•"/>
      <w:lvlJc w:val="left"/>
      <w:pPr>
        <w:ind w:left="1286" w:hanging="360"/>
      </w:pPr>
      <w:rPr>
        <w:rFonts w:ascii="Arabic Typesetting" w:eastAsia="Times New Roman" w:hAnsi="Arabic Typesetting" w:hint="default"/>
      </w:rPr>
    </w:lvl>
    <w:lvl w:ilvl="1" w:tplc="040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56123C99"/>
    <w:multiLevelType w:val="hybridMultilevel"/>
    <w:tmpl w:val="E314F72A"/>
    <w:lvl w:ilvl="0" w:tplc="FE6C0D5A">
      <w:start w:val="17"/>
      <w:numFmt w:val="bullet"/>
      <w:lvlText w:val="•"/>
      <w:lvlJc w:val="left"/>
      <w:pPr>
        <w:ind w:left="720" w:hanging="360"/>
      </w:pPr>
      <w:rPr>
        <w:rFonts w:ascii="Arabic Typesetting" w:eastAsia="Times New Roman" w:hAnsi="Arabic Typesett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4916910"/>
    <w:multiLevelType w:val="hybridMultilevel"/>
    <w:tmpl w:val="AF9EE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1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15"/>
  </w:num>
  <w:num w:numId="3">
    <w:abstractNumId w:val="10"/>
  </w:num>
  <w:num w:numId="4">
    <w:abstractNumId w:val="20"/>
  </w:num>
  <w:num w:numId="5">
    <w:abstractNumId w:val="8"/>
  </w:num>
  <w:num w:numId="6">
    <w:abstractNumId w:val="21"/>
  </w:num>
  <w:num w:numId="7">
    <w:abstractNumId w:val="13"/>
  </w:num>
  <w:num w:numId="8">
    <w:abstractNumId w:val="19"/>
  </w:num>
  <w:num w:numId="9">
    <w:abstractNumId w:val="17"/>
  </w:num>
  <w:num w:numId="10">
    <w:abstractNumId w:val="22"/>
  </w:num>
  <w:num w:numId="11">
    <w:abstractNumId w:val="12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8"/>
  </w:num>
  <w:num w:numId="22">
    <w:abstractNumId w:val="16"/>
  </w:num>
  <w:num w:numId="23">
    <w:abstractNumId w:val="12"/>
  </w:num>
  <w:num w:numId="24">
    <w:abstractNumId w:val="12"/>
  </w:num>
  <w:num w:numId="25">
    <w:abstractNumId w:val="14"/>
  </w:num>
  <w:num w:numId="26">
    <w:abstractNumId w:val="12"/>
  </w:num>
  <w:num w:numId="27">
    <w:abstractNumId w:val="12"/>
  </w:num>
  <w:num w:numId="28">
    <w:abstractNumId w:val="12"/>
  </w:num>
  <w:num w:numId="29">
    <w:abstractNumId w:val="12"/>
  </w:num>
  <w:num w:numId="30">
    <w:abstractNumId w:val="12"/>
  </w:num>
  <w:num w:numId="31">
    <w:abstractNumId w:val="12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displayBackgroundShape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CF8"/>
    <w:rsid w:val="00002CBE"/>
    <w:rsid w:val="00003232"/>
    <w:rsid w:val="000033DA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76F"/>
    <w:rsid w:val="00024E17"/>
    <w:rsid w:val="000258DB"/>
    <w:rsid w:val="000259E5"/>
    <w:rsid w:val="00031B2C"/>
    <w:rsid w:val="00033D2C"/>
    <w:rsid w:val="00035CE8"/>
    <w:rsid w:val="00036041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FF5"/>
    <w:rsid w:val="00062502"/>
    <w:rsid w:val="00063C91"/>
    <w:rsid w:val="000640E7"/>
    <w:rsid w:val="00066DC7"/>
    <w:rsid w:val="0006794A"/>
    <w:rsid w:val="00067F31"/>
    <w:rsid w:val="00071138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7DB6"/>
    <w:rsid w:val="00090139"/>
    <w:rsid w:val="0009024C"/>
    <w:rsid w:val="00090ADD"/>
    <w:rsid w:val="000913C0"/>
    <w:rsid w:val="00091F52"/>
    <w:rsid w:val="00092982"/>
    <w:rsid w:val="00092DD6"/>
    <w:rsid w:val="00094C85"/>
    <w:rsid w:val="00094D7E"/>
    <w:rsid w:val="0009517B"/>
    <w:rsid w:val="00095AE2"/>
    <w:rsid w:val="000962DF"/>
    <w:rsid w:val="0009661E"/>
    <w:rsid w:val="000973A0"/>
    <w:rsid w:val="000A12BC"/>
    <w:rsid w:val="000A1306"/>
    <w:rsid w:val="000A1521"/>
    <w:rsid w:val="000A2FC1"/>
    <w:rsid w:val="000A3A57"/>
    <w:rsid w:val="000A5408"/>
    <w:rsid w:val="000A6510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E06A5"/>
    <w:rsid w:val="000E16EB"/>
    <w:rsid w:val="000E54F2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AA0"/>
    <w:rsid w:val="00121FE6"/>
    <w:rsid w:val="00123F16"/>
    <w:rsid w:val="0012405D"/>
    <w:rsid w:val="001252B1"/>
    <w:rsid w:val="00126897"/>
    <w:rsid w:val="0012696D"/>
    <w:rsid w:val="00130FC9"/>
    <w:rsid w:val="001310EE"/>
    <w:rsid w:val="0013191A"/>
    <w:rsid w:val="00131E8F"/>
    <w:rsid w:val="00135C24"/>
    <w:rsid w:val="00136389"/>
    <w:rsid w:val="00136A1A"/>
    <w:rsid w:val="00136A96"/>
    <w:rsid w:val="001376B6"/>
    <w:rsid w:val="00140A35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4A9C"/>
    <w:rsid w:val="001A6B88"/>
    <w:rsid w:val="001A6C33"/>
    <w:rsid w:val="001A6E68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F36"/>
    <w:rsid w:val="001F76FD"/>
    <w:rsid w:val="002004C0"/>
    <w:rsid w:val="002012F2"/>
    <w:rsid w:val="002014D7"/>
    <w:rsid w:val="00202F07"/>
    <w:rsid w:val="00203030"/>
    <w:rsid w:val="00203D45"/>
    <w:rsid w:val="00204A4C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28A8"/>
    <w:rsid w:val="00213213"/>
    <w:rsid w:val="0021457F"/>
    <w:rsid w:val="0021505D"/>
    <w:rsid w:val="0021604B"/>
    <w:rsid w:val="00216545"/>
    <w:rsid w:val="00220227"/>
    <w:rsid w:val="0022176B"/>
    <w:rsid w:val="00222760"/>
    <w:rsid w:val="00222782"/>
    <w:rsid w:val="0022360A"/>
    <w:rsid w:val="00226B82"/>
    <w:rsid w:val="00227103"/>
    <w:rsid w:val="00230249"/>
    <w:rsid w:val="00230D5F"/>
    <w:rsid w:val="00231BE3"/>
    <w:rsid w:val="00232C51"/>
    <w:rsid w:val="00233414"/>
    <w:rsid w:val="00233D69"/>
    <w:rsid w:val="00234E82"/>
    <w:rsid w:val="00235C9D"/>
    <w:rsid w:val="00237419"/>
    <w:rsid w:val="002412D4"/>
    <w:rsid w:val="0024220D"/>
    <w:rsid w:val="00242BD3"/>
    <w:rsid w:val="00242C02"/>
    <w:rsid w:val="00243155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520A"/>
    <w:rsid w:val="00275419"/>
    <w:rsid w:val="00275A2D"/>
    <w:rsid w:val="0027655E"/>
    <w:rsid w:val="002772A5"/>
    <w:rsid w:val="002806F8"/>
    <w:rsid w:val="002810B5"/>
    <w:rsid w:val="00281F4F"/>
    <w:rsid w:val="0028491D"/>
    <w:rsid w:val="00286744"/>
    <w:rsid w:val="002909B9"/>
    <w:rsid w:val="00292CEE"/>
    <w:rsid w:val="00292D22"/>
    <w:rsid w:val="0029470D"/>
    <w:rsid w:val="00297B80"/>
    <w:rsid w:val="002A076C"/>
    <w:rsid w:val="002A1059"/>
    <w:rsid w:val="002A3C9D"/>
    <w:rsid w:val="002A5250"/>
    <w:rsid w:val="002A5403"/>
    <w:rsid w:val="002A6C9F"/>
    <w:rsid w:val="002A77F3"/>
    <w:rsid w:val="002B14F0"/>
    <w:rsid w:val="002B1F0F"/>
    <w:rsid w:val="002B53D3"/>
    <w:rsid w:val="002B6202"/>
    <w:rsid w:val="002C014C"/>
    <w:rsid w:val="002C060C"/>
    <w:rsid w:val="002C0BA6"/>
    <w:rsid w:val="002C12A7"/>
    <w:rsid w:val="002C1C07"/>
    <w:rsid w:val="002C2B6F"/>
    <w:rsid w:val="002C314F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1453"/>
    <w:rsid w:val="003114C9"/>
    <w:rsid w:val="0031229D"/>
    <w:rsid w:val="00314E12"/>
    <w:rsid w:val="003166A5"/>
    <w:rsid w:val="00316C8C"/>
    <w:rsid w:val="003174C2"/>
    <w:rsid w:val="00317CE4"/>
    <w:rsid w:val="00320DF4"/>
    <w:rsid w:val="003219A9"/>
    <w:rsid w:val="00321B00"/>
    <w:rsid w:val="00321C54"/>
    <w:rsid w:val="00321DCD"/>
    <w:rsid w:val="0032261F"/>
    <w:rsid w:val="003237A2"/>
    <w:rsid w:val="00324729"/>
    <w:rsid w:val="00325C8B"/>
    <w:rsid w:val="00327011"/>
    <w:rsid w:val="00334127"/>
    <w:rsid w:val="0033506A"/>
    <w:rsid w:val="00335CA6"/>
    <w:rsid w:val="003365F0"/>
    <w:rsid w:val="00336C50"/>
    <w:rsid w:val="00337388"/>
    <w:rsid w:val="0034007D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818B3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46AD"/>
    <w:rsid w:val="003B5C96"/>
    <w:rsid w:val="003B65FB"/>
    <w:rsid w:val="003B6A26"/>
    <w:rsid w:val="003C218D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7D4"/>
    <w:rsid w:val="003D47A7"/>
    <w:rsid w:val="003D56B5"/>
    <w:rsid w:val="003D5DCC"/>
    <w:rsid w:val="003D6B84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40033D"/>
    <w:rsid w:val="004007E1"/>
    <w:rsid w:val="00400B1F"/>
    <w:rsid w:val="004032D2"/>
    <w:rsid w:val="00403C4F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3FA6"/>
    <w:rsid w:val="00414FD0"/>
    <w:rsid w:val="00417E93"/>
    <w:rsid w:val="00422A2A"/>
    <w:rsid w:val="00424BB4"/>
    <w:rsid w:val="004258CD"/>
    <w:rsid w:val="004261D2"/>
    <w:rsid w:val="004303D1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FFC"/>
    <w:rsid w:val="00490ED4"/>
    <w:rsid w:val="00491B91"/>
    <w:rsid w:val="00491C21"/>
    <w:rsid w:val="00491C66"/>
    <w:rsid w:val="004935D6"/>
    <w:rsid w:val="00494195"/>
    <w:rsid w:val="004945FB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C9"/>
    <w:rsid w:val="004C627F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C1A"/>
    <w:rsid w:val="004E6C8C"/>
    <w:rsid w:val="004E6CC7"/>
    <w:rsid w:val="004E776F"/>
    <w:rsid w:val="004F111D"/>
    <w:rsid w:val="004F1219"/>
    <w:rsid w:val="004F1843"/>
    <w:rsid w:val="004F1EEC"/>
    <w:rsid w:val="004F24C8"/>
    <w:rsid w:val="004F30D6"/>
    <w:rsid w:val="004F34A5"/>
    <w:rsid w:val="004F36F9"/>
    <w:rsid w:val="004F40D6"/>
    <w:rsid w:val="004F6925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66BD"/>
    <w:rsid w:val="0052772D"/>
    <w:rsid w:val="00530442"/>
    <w:rsid w:val="00534AF0"/>
    <w:rsid w:val="00535060"/>
    <w:rsid w:val="00535738"/>
    <w:rsid w:val="005409EB"/>
    <w:rsid w:val="00540F30"/>
    <w:rsid w:val="00541DD2"/>
    <w:rsid w:val="00543A63"/>
    <w:rsid w:val="00543AB5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4A75"/>
    <w:rsid w:val="00555631"/>
    <w:rsid w:val="0055621D"/>
    <w:rsid w:val="0055764D"/>
    <w:rsid w:val="00560C6A"/>
    <w:rsid w:val="00560F85"/>
    <w:rsid w:val="005610A0"/>
    <w:rsid w:val="0056248F"/>
    <w:rsid w:val="00564985"/>
    <w:rsid w:val="00565379"/>
    <w:rsid w:val="005674C3"/>
    <w:rsid w:val="00567990"/>
    <w:rsid w:val="00567C4C"/>
    <w:rsid w:val="005728C8"/>
    <w:rsid w:val="005733AD"/>
    <w:rsid w:val="0057381A"/>
    <w:rsid w:val="00573ABD"/>
    <w:rsid w:val="00574B91"/>
    <w:rsid w:val="00574E5C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C6D"/>
    <w:rsid w:val="00591C71"/>
    <w:rsid w:val="00592392"/>
    <w:rsid w:val="00592484"/>
    <w:rsid w:val="0059283D"/>
    <w:rsid w:val="005928D3"/>
    <w:rsid w:val="00592D5D"/>
    <w:rsid w:val="005955C0"/>
    <w:rsid w:val="00595B68"/>
    <w:rsid w:val="00595EAA"/>
    <w:rsid w:val="0059672B"/>
    <w:rsid w:val="005A0C60"/>
    <w:rsid w:val="005A255F"/>
    <w:rsid w:val="005A330E"/>
    <w:rsid w:val="005A5554"/>
    <w:rsid w:val="005A5651"/>
    <w:rsid w:val="005A6AFE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0754"/>
    <w:rsid w:val="005C1D45"/>
    <w:rsid w:val="005C3C9B"/>
    <w:rsid w:val="005C42AB"/>
    <w:rsid w:val="005C45C0"/>
    <w:rsid w:val="005C5335"/>
    <w:rsid w:val="005C5D7B"/>
    <w:rsid w:val="005C5E29"/>
    <w:rsid w:val="005C6474"/>
    <w:rsid w:val="005C6A68"/>
    <w:rsid w:val="005D0AE3"/>
    <w:rsid w:val="005D1103"/>
    <w:rsid w:val="005D276D"/>
    <w:rsid w:val="005D5912"/>
    <w:rsid w:val="005D794C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4EB1"/>
    <w:rsid w:val="00614F67"/>
    <w:rsid w:val="00615277"/>
    <w:rsid w:val="00615519"/>
    <w:rsid w:val="00615CED"/>
    <w:rsid w:val="00615CFC"/>
    <w:rsid w:val="00617A92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F89"/>
    <w:rsid w:val="0063700D"/>
    <w:rsid w:val="00637470"/>
    <w:rsid w:val="00637E13"/>
    <w:rsid w:val="00640D89"/>
    <w:rsid w:val="00640F58"/>
    <w:rsid w:val="00641203"/>
    <w:rsid w:val="00641776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70865"/>
    <w:rsid w:val="00671AED"/>
    <w:rsid w:val="006725B5"/>
    <w:rsid w:val="00673521"/>
    <w:rsid w:val="00673767"/>
    <w:rsid w:val="00673F39"/>
    <w:rsid w:val="006746AC"/>
    <w:rsid w:val="0067571B"/>
    <w:rsid w:val="00675E37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601"/>
    <w:rsid w:val="006977FA"/>
    <w:rsid w:val="006A137E"/>
    <w:rsid w:val="006A20FB"/>
    <w:rsid w:val="006A339D"/>
    <w:rsid w:val="006A4462"/>
    <w:rsid w:val="006A5B59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6E46"/>
    <w:rsid w:val="006D7FA8"/>
    <w:rsid w:val="006E4601"/>
    <w:rsid w:val="006E5B86"/>
    <w:rsid w:val="006E63FF"/>
    <w:rsid w:val="006E652D"/>
    <w:rsid w:val="006E7572"/>
    <w:rsid w:val="006F2F22"/>
    <w:rsid w:val="006F434A"/>
    <w:rsid w:val="006F7974"/>
    <w:rsid w:val="00700A60"/>
    <w:rsid w:val="00705027"/>
    <w:rsid w:val="00707F96"/>
    <w:rsid w:val="00710494"/>
    <w:rsid w:val="007117BD"/>
    <w:rsid w:val="00715129"/>
    <w:rsid w:val="007154CE"/>
    <w:rsid w:val="00715B25"/>
    <w:rsid w:val="00716020"/>
    <w:rsid w:val="007205B1"/>
    <w:rsid w:val="00720860"/>
    <w:rsid w:val="00721087"/>
    <w:rsid w:val="00721530"/>
    <w:rsid w:val="00723422"/>
    <w:rsid w:val="007260FE"/>
    <w:rsid w:val="00726DD6"/>
    <w:rsid w:val="0073076E"/>
    <w:rsid w:val="00733416"/>
    <w:rsid w:val="0073377E"/>
    <w:rsid w:val="00733E05"/>
    <w:rsid w:val="00735C8A"/>
    <w:rsid w:val="00735FE2"/>
    <w:rsid w:val="0073719A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28FF"/>
    <w:rsid w:val="00783D11"/>
    <w:rsid w:val="007852EC"/>
    <w:rsid w:val="00785E46"/>
    <w:rsid w:val="00787917"/>
    <w:rsid w:val="00791489"/>
    <w:rsid w:val="007915BE"/>
    <w:rsid w:val="00791683"/>
    <w:rsid w:val="00792F0C"/>
    <w:rsid w:val="00795460"/>
    <w:rsid w:val="00796CF7"/>
    <w:rsid w:val="007A0313"/>
    <w:rsid w:val="007A0A83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25E9"/>
    <w:rsid w:val="007C2F78"/>
    <w:rsid w:val="007C34C5"/>
    <w:rsid w:val="007C4079"/>
    <w:rsid w:val="007C4827"/>
    <w:rsid w:val="007C4A20"/>
    <w:rsid w:val="007D0B7F"/>
    <w:rsid w:val="007D1266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6CF8"/>
    <w:rsid w:val="007E7997"/>
    <w:rsid w:val="007E7B47"/>
    <w:rsid w:val="007F04EF"/>
    <w:rsid w:val="007F342F"/>
    <w:rsid w:val="007F38D1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62AE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5C28"/>
    <w:rsid w:val="00875E75"/>
    <w:rsid w:val="0087658F"/>
    <w:rsid w:val="0087762E"/>
    <w:rsid w:val="00877823"/>
    <w:rsid w:val="008803F5"/>
    <w:rsid w:val="008812BF"/>
    <w:rsid w:val="00881341"/>
    <w:rsid w:val="00882931"/>
    <w:rsid w:val="00884939"/>
    <w:rsid w:val="008853E0"/>
    <w:rsid w:val="00885BE2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779"/>
    <w:rsid w:val="008D5E47"/>
    <w:rsid w:val="008D7D8C"/>
    <w:rsid w:val="008E004E"/>
    <w:rsid w:val="008E04FB"/>
    <w:rsid w:val="008E3E79"/>
    <w:rsid w:val="008E5282"/>
    <w:rsid w:val="008E5E2C"/>
    <w:rsid w:val="008E78F1"/>
    <w:rsid w:val="008F03CE"/>
    <w:rsid w:val="008F075B"/>
    <w:rsid w:val="008F0E9E"/>
    <w:rsid w:val="008F2913"/>
    <w:rsid w:val="008F2A4E"/>
    <w:rsid w:val="008F2AE9"/>
    <w:rsid w:val="008F332B"/>
    <w:rsid w:val="008F52D0"/>
    <w:rsid w:val="008F58BB"/>
    <w:rsid w:val="008F6106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F3"/>
    <w:rsid w:val="0096587A"/>
    <w:rsid w:val="009666E7"/>
    <w:rsid w:val="00967278"/>
    <w:rsid w:val="0097058D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02F5"/>
    <w:rsid w:val="00983CEA"/>
    <w:rsid w:val="00984198"/>
    <w:rsid w:val="00984E04"/>
    <w:rsid w:val="00986194"/>
    <w:rsid w:val="009861D2"/>
    <w:rsid w:val="00986E53"/>
    <w:rsid w:val="00987CE5"/>
    <w:rsid w:val="00993CF0"/>
    <w:rsid w:val="0099428D"/>
    <w:rsid w:val="009949A7"/>
    <w:rsid w:val="00995CDC"/>
    <w:rsid w:val="009975CA"/>
    <w:rsid w:val="009A0C15"/>
    <w:rsid w:val="009A1088"/>
    <w:rsid w:val="009A14CB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7AA"/>
    <w:rsid w:val="009B77DD"/>
    <w:rsid w:val="009C0CE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2376"/>
    <w:rsid w:val="009D2D48"/>
    <w:rsid w:val="009D3103"/>
    <w:rsid w:val="009D4409"/>
    <w:rsid w:val="009D4724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925"/>
    <w:rsid w:val="00A01DEB"/>
    <w:rsid w:val="00A06D32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7348"/>
    <w:rsid w:val="00AC13B0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2328"/>
    <w:rsid w:val="00AE473C"/>
    <w:rsid w:val="00AE55E7"/>
    <w:rsid w:val="00AE6363"/>
    <w:rsid w:val="00AE6CD6"/>
    <w:rsid w:val="00AE7348"/>
    <w:rsid w:val="00AE7394"/>
    <w:rsid w:val="00AE7CD2"/>
    <w:rsid w:val="00AF0B77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6048"/>
    <w:rsid w:val="00B2028C"/>
    <w:rsid w:val="00B21771"/>
    <w:rsid w:val="00B2191C"/>
    <w:rsid w:val="00B21B30"/>
    <w:rsid w:val="00B21FBB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8A7"/>
    <w:rsid w:val="00B50C86"/>
    <w:rsid w:val="00B52081"/>
    <w:rsid w:val="00B52695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C0D"/>
    <w:rsid w:val="00B77D0D"/>
    <w:rsid w:val="00B80817"/>
    <w:rsid w:val="00B827E6"/>
    <w:rsid w:val="00B82A28"/>
    <w:rsid w:val="00B82B8D"/>
    <w:rsid w:val="00B82C97"/>
    <w:rsid w:val="00B851D5"/>
    <w:rsid w:val="00B85B06"/>
    <w:rsid w:val="00B90558"/>
    <w:rsid w:val="00B92958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7D9E"/>
    <w:rsid w:val="00BC16AC"/>
    <w:rsid w:val="00BC2B7B"/>
    <w:rsid w:val="00BC3AE8"/>
    <w:rsid w:val="00BC3AF4"/>
    <w:rsid w:val="00BC43A8"/>
    <w:rsid w:val="00BC5C6D"/>
    <w:rsid w:val="00BC6F77"/>
    <w:rsid w:val="00BC7120"/>
    <w:rsid w:val="00BC76A3"/>
    <w:rsid w:val="00BD00D1"/>
    <w:rsid w:val="00BD07A2"/>
    <w:rsid w:val="00BD2603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0B91"/>
    <w:rsid w:val="00C222FF"/>
    <w:rsid w:val="00C2326B"/>
    <w:rsid w:val="00C2338E"/>
    <w:rsid w:val="00C23FB0"/>
    <w:rsid w:val="00C24021"/>
    <w:rsid w:val="00C248AF"/>
    <w:rsid w:val="00C24B09"/>
    <w:rsid w:val="00C24BDE"/>
    <w:rsid w:val="00C24E9F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261B"/>
    <w:rsid w:val="00C42BFB"/>
    <w:rsid w:val="00C44DDC"/>
    <w:rsid w:val="00C5128B"/>
    <w:rsid w:val="00C51423"/>
    <w:rsid w:val="00C5294D"/>
    <w:rsid w:val="00C52F83"/>
    <w:rsid w:val="00C54C1B"/>
    <w:rsid w:val="00C54DBA"/>
    <w:rsid w:val="00C57ED3"/>
    <w:rsid w:val="00C61640"/>
    <w:rsid w:val="00C61AA7"/>
    <w:rsid w:val="00C61B8E"/>
    <w:rsid w:val="00C668DE"/>
    <w:rsid w:val="00C7044F"/>
    <w:rsid w:val="00C720F8"/>
    <w:rsid w:val="00C7294B"/>
    <w:rsid w:val="00C75139"/>
    <w:rsid w:val="00C7525C"/>
    <w:rsid w:val="00C76CF7"/>
    <w:rsid w:val="00C83A4C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651B"/>
    <w:rsid w:val="00CA796A"/>
    <w:rsid w:val="00CB2575"/>
    <w:rsid w:val="00CB3677"/>
    <w:rsid w:val="00CB368F"/>
    <w:rsid w:val="00CB4C42"/>
    <w:rsid w:val="00CB4DFA"/>
    <w:rsid w:val="00CB7BD7"/>
    <w:rsid w:val="00CC4CB6"/>
    <w:rsid w:val="00CC4DB0"/>
    <w:rsid w:val="00CC5038"/>
    <w:rsid w:val="00CC5326"/>
    <w:rsid w:val="00CC7426"/>
    <w:rsid w:val="00CC7910"/>
    <w:rsid w:val="00CD0C20"/>
    <w:rsid w:val="00CD297A"/>
    <w:rsid w:val="00CD3DB0"/>
    <w:rsid w:val="00CD4129"/>
    <w:rsid w:val="00CD5DBB"/>
    <w:rsid w:val="00CD67E7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559"/>
    <w:rsid w:val="00D405B8"/>
    <w:rsid w:val="00D41493"/>
    <w:rsid w:val="00D4200A"/>
    <w:rsid w:val="00D4267F"/>
    <w:rsid w:val="00D441E9"/>
    <w:rsid w:val="00D44425"/>
    <w:rsid w:val="00D44FC8"/>
    <w:rsid w:val="00D45D8F"/>
    <w:rsid w:val="00D50332"/>
    <w:rsid w:val="00D52B95"/>
    <w:rsid w:val="00D5362B"/>
    <w:rsid w:val="00D53A09"/>
    <w:rsid w:val="00D54AAB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7BB"/>
    <w:rsid w:val="00D70544"/>
    <w:rsid w:val="00D71463"/>
    <w:rsid w:val="00D7194A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3CD3"/>
    <w:rsid w:val="00D83E51"/>
    <w:rsid w:val="00D84719"/>
    <w:rsid w:val="00D856EA"/>
    <w:rsid w:val="00D85ACD"/>
    <w:rsid w:val="00D86460"/>
    <w:rsid w:val="00D912D5"/>
    <w:rsid w:val="00D91AAF"/>
    <w:rsid w:val="00D94564"/>
    <w:rsid w:val="00D9536E"/>
    <w:rsid w:val="00D97426"/>
    <w:rsid w:val="00D97568"/>
    <w:rsid w:val="00DA06B0"/>
    <w:rsid w:val="00DA29BA"/>
    <w:rsid w:val="00DA3249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C7E86"/>
    <w:rsid w:val="00DD0839"/>
    <w:rsid w:val="00DD26D0"/>
    <w:rsid w:val="00DD47D5"/>
    <w:rsid w:val="00DD6729"/>
    <w:rsid w:val="00DD7960"/>
    <w:rsid w:val="00DD7B0D"/>
    <w:rsid w:val="00DE1F29"/>
    <w:rsid w:val="00DE3FEB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71D8"/>
    <w:rsid w:val="00E00CCA"/>
    <w:rsid w:val="00E01623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682B"/>
    <w:rsid w:val="00E5712F"/>
    <w:rsid w:val="00E601DA"/>
    <w:rsid w:val="00E60547"/>
    <w:rsid w:val="00E609FF"/>
    <w:rsid w:val="00E61AA8"/>
    <w:rsid w:val="00E6247F"/>
    <w:rsid w:val="00E62E59"/>
    <w:rsid w:val="00E63E99"/>
    <w:rsid w:val="00E6454D"/>
    <w:rsid w:val="00E6501D"/>
    <w:rsid w:val="00E65301"/>
    <w:rsid w:val="00E6598A"/>
    <w:rsid w:val="00E667A7"/>
    <w:rsid w:val="00E679B3"/>
    <w:rsid w:val="00E7190A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02A4"/>
    <w:rsid w:val="00E915CB"/>
    <w:rsid w:val="00E91964"/>
    <w:rsid w:val="00E91FB1"/>
    <w:rsid w:val="00E94468"/>
    <w:rsid w:val="00E94A0E"/>
    <w:rsid w:val="00E94A1A"/>
    <w:rsid w:val="00E96226"/>
    <w:rsid w:val="00E96DDE"/>
    <w:rsid w:val="00EA04AE"/>
    <w:rsid w:val="00EA062F"/>
    <w:rsid w:val="00EA17A9"/>
    <w:rsid w:val="00EA311B"/>
    <w:rsid w:val="00EA36CA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C7D45"/>
    <w:rsid w:val="00ED1877"/>
    <w:rsid w:val="00ED247F"/>
    <w:rsid w:val="00ED27E4"/>
    <w:rsid w:val="00ED2F27"/>
    <w:rsid w:val="00ED3370"/>
    <w:rsid w:val="00ED4D96"/>
    <w:rsid w:val="00ED5A40"/>
    <w:rsid w:val="00ED5F21"/>
    <w:rsid w:val="00ED602C"/>
    <w:rsid w:val="00ED62B5"/>
    <w:rsid w:val="00ED6DDB"/>
    <w:rsid w:val="00ED7985"/>
    <w:rsid w:val="00EE270D"/>
    <w:rsid w:val="00EE6989"/>
    <w:rsid w:val="00EE6C77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4E62"/>
    <w:rsid w:val="00F050AA"/>
    <w:rsid w:val="00F05E6D"/>
    <w:rsid w:val="00F11800"/>
    <w:rsid w:val="00F11B61"/>
    <w:rsid w:val="00F135D6"/>
    <w:rsid w:val="00F13922"/>
    <w:rsid w:val="00F13DBC"/>
    <w:rsid w:val="00F15FCF"/>
    <w:rsid w:val="00F16613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1570"/>
    <w:rsid w:val="00F33355"/>
    <w:rsid w:val="00F34363"/>
    <w:rsid w:val="00F34CE9"/>
    <w:rsid w:val="00F354B9"/>
    <w:rsid w:val="00F35705"/>
    <w:rsid w:val="00F35B93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3775"/>
    <w:rsid w:val="00F539A6"/>
    <w:rsid w:val="00F55E0E"/>
    <w:rsid w:val="00F5611D"/>
    <w:rsid w:val="00F56E3E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5896"/>
    <w:rsid w:val="00F76666"/>
    <w:rsid w:val="00F76ECB"/>
    <w:rsid w:val="00F76EF7"/>
    <w:rsid w:val="00F776B7"/>
    <w:rsid w:val="00F77758"/>
    <w:rsid w:val="00F77BDB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C4B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2BEF"/>
    <w:rsid w:val="00FB36CA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E54"/>
    <w:rsid w:val="00FE01B5"/>
    <w:rsid w:val="00FE03BB"/>
    <w:rsid w:val="00FE0BF0"/>
    <w:rsid w:val="00FE15A2"/>
    <w:rsid w:val="00FE3B37"/>
    <w:rsid w:val="00FE4B40"/>
    <w:rsid w:val="00FE5DC4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73076E"/>
    <w:pPr>
      <w:keepNext/>
      <w:spacing w:before="24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character" w:styleId="Hyperlink">
    <w:name w:val="Hyperlink"/>
    <w:basedOn w:val="DefaultParagraphFont"/>
    <w:rsid w:val="00E5682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7852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852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73076E"/>
    <w:pPr>
      <w:keepNext/>
      <w:spacing w:before="24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character" w:styleId="Hyperlink">
    <w:name w:val="Hyperlink"/>
    <w:basedOn w:val="DefaultParagraphFont"/>
    <w:rsid w:val="00E5682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7852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852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wipo.int/standards/en/part_03_standards.html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wipo.int/standards/en/st96/v2-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D05F3-6738-4E12-A6FC-D458AA3E7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706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CWS/4BIS/-- (Arabic)</vt:lpstr>
    </vt:vector>
  </TitlesOfParts>
  <Company>World Intellectual Property Organization</Company>
  <LinksUpToDate>false</LinksUpToDate>
  <CharactersWithSpaces>4731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CWS/4BIS/4 (Arabic)</dc:title>
  <dc:subject>الويبو ST.96 تقرير مرحلي عن إعداد المرفقين الخامس والسادس، ومراجعة معيار </dc:subject>
  <dc:creator>WIPO</dc:creator>
  <cp:keywords>CWS</cp:keywords>
  <cp:lastModifiedBy>SCHLESSINGER Caroline</cp:lastModifiedBy>
  <cp:revision>3</cp:revision>
  <cp:lastPrinted>2016-02-23T16:53:00Z</cp:lastPrinted>
  <dcterms:created xsi:type="dcterms:W3CDTF">2016-02-24T14:34:00Z</dcterms:created>
  <dcterms:modified xsi:type="dcterms:W3CDTF">2016-02-24T14:35:00Z</dcterms:modified>
</cp:coreProperties>
</file>