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828FF" w:rsidP="008E3FD4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100F97">
              <w:t>/</w:t>
            </w:r>
            <w:r w:rsidR="008D5779">
              <w:t>4</w:t>
            </w:r>
            <w:r w:rsidR="007205B1">
              <w:t>BIS</w:t>
            </w:r>
            <w:r w:rsidR="00B6101C" w:rsidRPr="00B6101C">
              <w:t>/</w:t>
            </w:r>
            <w:r w:rsidR="008E3FD4">
              <w:t>12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E3FD4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8E3FD4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E3FD4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E3FD4">
              <w:rPr>
                <w:rFonts w:hint="cs"/>
                <w:rtl/>
              </w:rPr>
              <w:t xml:space="preserve">22 </w:t>
            </w:r>
            <w:proofErr w:type="gramStart"/>
            <w:r w:rsidR="008E3FD4">
              <w:rPr>
                <w:rFonts w:hint="cs"/>
                <w:rtl/>
              </w:rPr>
              <w:t>فبراير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7828FF" w:rsidP="00796CF7">
      <w:pPr>
        <w:pStyle w:val="MeetingTitleAR"/>
        <w:bidi/>
        <w:ind w:right="550"/>
        <w:rPr>
          <w:rtl/>
        </w:rPr>
      </w:pPr>
      <w:r w:rsidRPr="007828FF">
        <w:rPr>
          <w:rtl/>
        </w:rPr>
        <w:t xml:space="preserve">اللجنة المعنية بمعايير </w:t>
      </w:r>
      <w:proofErr w:type="spellStart"/>
      <w:r w:rsidRPr="007828FF">
        <w:rPr>
          <w:rtl/>
        </w:rPr>
        <w:t>الويبو</w:t>
      </w:r>
      <w:proofErr w:type="spellEnd"/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7915BE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8D5779">
        <w:rPr>
          <w:rFonts w:ascii="Cambria Math" w:hAnsi="Cambria Math" w:hint="cs"/>
          <w:rtl/>
        </w:rPr>
        <w:t>الرابعة</w:t>
      </w:r>
      <w:r w:rsidR="007205B1">
        <w:rPr>
          <w:rFonts w:ascii="Cambria Math" w:hAnsi="Cambria Math" w:hint="cs"/>
          <w:rtl/>
        </w:rPr>
        <w:t xml:space="preserve"> </w:t>
      </w:r>
      <w:r w:rsidR="007915BE">
        <w:rPr>
          <w:rFonts w:ascii="Cambria Math" w:hAnsi="Cambria Math" w:hint="cs"/>
          <w:rtl/>
        </w:rPr>
        <w:t>المجتمعة</w:t>
      </w:r>
      <w:r w:rsidR="007205B1">
        <w:rPr>
          <w:rFonts w:ascii="Cambria Math" w:hAnsi="Cambria Math" w:hint="cs"/>
          <w:rtl/>
        </w:rPr>
        <w:t xml:space="preserve"> </w:t>
      </w:r>
      <w:proofErr w:type="gramStart"/>
      <w:r w:rsidR="007915BE">
        <w:rPr>
          <w:rFonts w:ascii="Cambria Math" w:hAnsi="Cambria Math" w:hint="cs"/>
          <w:rtl/>
        </w:rPr>
        <w:t>مجددا</w:t>
      </w:r>
      <w:proofErr w:type="gramEnd"/>
    </w:p>
    <w:p w:rsidR="00D61541" w:rsidRPr="00D61541" w:rsidRDefault="00D61541" w:rsidP="007205B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7205B1">
        <w:rPr>
          <w:rFonts w:hint="cs"/>
          <w:rtl/>
        </w:rPr>
        <w:t>21</w:t>
      </w:r>
      <w:r w:rsidR="00100F97">
        <w:rPr>
          <w:rFonts w:hint="cs"/>
          <w:rtl/>
        </w:rPr>
        <w:t xml:space="preserve"> إلى </w:t>
      </w:r>
      <w:r w:rsidR="007205B1">
        <w:rPr>
          <w:rFonts w:hint="cs"/>
          <w:rtl/>
        </w:rPr>
        <w:t>24</w:t>
      </w:r>
      <w:r w:rsidR="00783D11">
        <w:rPr>
          <w:rFonts w:hint="cs"/>
          <w:rtl/>
        </w:rPr>
        <w:t xml:space="preserve"> </w:t>
      </w:r>
      <w:r w:rsidR="007205B1">
        <w:rPr>
          <w:rFonts w:hint="cs"/>
          <w:rtl/>
        </w:rPr>
        <w:t xml:space="preserve">مارس </w:t>
      </w:r>
      <w:r w:rsidR="008D5779">
        <w:rPr>
          <w:rFonts w:hint="cs"/>
          <w:rtl/>
        </w:rPr>
        <w:t>201</w:t>
      </w:r>
      <w:r w:rsidR="007205B1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bookmarkStart w:id="2" w:name="_GoBack"/>
      <w:bookmarkEnd w:id="2"/>
    </w:p>
    <w:p w:rsidR="00D61541" w:rsidRPr="00D61541" w:rsidRDefault="008E3FD4" w:rsidP="002F111B">
      <w:pPr>
        <w:pStyle w:val="DocumentTitleAR"/>
        <w:bidi/>
      </w:pPr>
      <w:r>
        <w:rPr>
          <w:rFonts w:hint="cs"/>
          <w:rtl/>
        </w:rPr>
        <w:t xml:space="preserve">اقتراح بشأن المرفقين الخامس والسادس من معيار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</w:t>
      </w:r>
      <w:r>
        <w:t>ST.96</w:t>
      </w:r>
    </w:p>
    <w:p w:rsidR="00D61541" w:rsidRPr="008E3FD4" w:rsidRDefault="008E3FD4" w:rsidP="008E3FD4">
      <w:pPr>
        <w:pStyle w:val="PreparedbyAR"/>
        <w:bidi/>
        <w:rPr>
          <w:rtl/>
          <w:lang w:val="fr-CH"/>
        </w:rPr>
      </w:pPr>
      <w:proofErr w:type="gramStart"/>
      <w:r>
        <w:rPr>
          <w:rFonts w:hint="cs"/>
          <w:rtl/>
        </w:rPr>
        <w:t>وثيقة</w:t>
      </w:r>
      <w:proofErr w:type="gramEnd"/>
      <w:r>
        <w:rPr>
          <w:rFonts w:hint="cs"/>
          <w:rtl/>
        </w:rPr>
        <w:t xml:space="preserve">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D61541" w:rsidRPr="00C90255" w:rsidRDefault="00465EBB" w:rsidP="00C90255">
      <w:pPr>
        <w:pStyle w:val="Heading2"/>
        <w:rPr>
          <w:rtl/>
        </w:rPr>
      </w:pPr>
      <w:r w:rsidRPr="00C90255">
        <w:rPr>
          <w:rFonts w:hint="cs"/>
          <w:rtl/>
        </w:rPr>
        <w:t>مقدمة</w:t>
      </w:r>
    </w:p>
    <w:p w:rsidR="002F77FC" w:rsidRPr="0075773B" w:rsidRDefault="00465EBB" w:rsidP="0075773B">
      <w:pPr>
        <w:pStyle w:val="NumberedParaAR"/>
      </w:pPr>
      <w:r>
        <w:rPr>
          <w:rFonts w:hint="cs"/>
          <w:rtl/>
        </w:rPr>
        <w:t xml:space="preserve">اعتمدت اللجنة المعنية بمعايير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>، في دورتها الثانية في 2012، مع</w:t>
      </w:r>
      <w:r w:rsidR="0075773B">
        <w:rPr>
          <w:rFonts w:hint="cs"/>
          <w:rtl/>
        </w:rPr>
        <w:t>ي</w:t>
      </w:r>
      <w:r>
        <w:rPr>
          <w:rFonts w:hint="cs"/>
          <w:rtl/>
        </w:rPr>
        <w:t xml:space="preserve">ار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</w:t>
      </w:r>
      <w:r>
        <w:t>ST.96</w:t>
      </w:r>
      <w:r>
        <w:rPr>
          <w:rFonts w:hint="cs"/>
          <w:rtl/>
          <w:lang w:val="fr-CH"/>
        </w:rPr>
        <w:t xml:space="preserve"> إلى جانب المرفقات من الأول إلى الرابع، </w:t>
      </w:r>
      <w:r w:rsidRPr="00465EBB">
        <w:rPr>
          <w:rtl/>
        </w:rPr>
        <w:t>ولاحظت أن مشروعي مرفقين آخرين، أي المرفق الخامس (قواعد التنفيذ وإرشاداته) والمرفق السادس (قواعد التحويل وإرشاداته</w:t>
      </w:r>
      <w:proofErr w:type="gramStart"/>
      <w:r w:rsidRPr="00465EBB">
        <w:rPr>
          <w:rtl/>
        </w:rPr>
        <w:t>)،</w:t>
      </w:r>
      <w:proofErr w:type="gramEnd"/>
      <w:r w:rsidRPr="00465EBB">
        <w:rPr>
          <w:rtl/>
        </w:rPr>
        <w:t xml:space="preserve"> واللذين قدما أثناء الدورة، يحتاجان إلى مزيد من التفصيل </w:t>
      </w:r>
      <w:r>
        <w:rPr>
          <w:rFonts w:hint="cs"/>
          <w:rtl/>
        </w:rPr>
        <w:t xml:space="preserve">قبل </w:t>
      </w:r>
      <w:r w:rsidRPr="00465EBB">
        <w:rPr>
          <w:rtl/>
        </w:rPr>
        <w:t>اعتمادهما.</w:t>
      </w:r>
      <w:r>
        <w:rPr>
          <w:rFonts w:hint="cs"/>
          <w:rtl/>
        </w:rPr>
        <w:t xml:space="preserve"> ولذلك، التمست اللجنة أن تعدّ فرقة عمل </w:t>
      </w:r>
      <w:r>
        <w:t>XML4IP</w:t>
      </w:r>
      <w:r>
        <w:rPr>
          <w:rFonts w:hint="cs"/>
          <w:rtl/>
          <w:lang w:bidi="ar-EG"/>
        </w:rPr>
        <w:t xml:space="preserve"> اقتراحا يرمي إلى اعتماد المرفقين كجزء من </w:t>
      </w:r>
      <w:r w:rsidR="0075773B">
        <w:rPr>
          <w:rFonts w:hint="cs"/>
          <w:rtl/>
        </w:rPr>
        <w:t>معيا</w:t>
      </w:r>
      <w:r>
        <w:rPr>
          <w:rFonts w:hint="cs"/>
          <w:rtl/>
        </w:rPr>
        <w:t xml:space="preserve">ر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</w:t>
      </w:r>
      <w:r>
        <w:t>ST.96</w:t>
      </w:r>
      <w:r>
        <w:rPr>
          <w:rFonts w:hint="cs"/>
          <w:rtl/>
        </w:rPr>
        <w:t xml:space="preserve"> من قبل اللجنة.</w:t>
      </w:r>
    </w:p>
    <w:p w:rsidR="0075773B" w:rsidRDefault="0075773B" w:rsidP="0075773B">
      <w:pPr>
        <w:pStyle w:val="NumberedParaAR"/>
      </w:pPr>
      <w:proofErr w:type="gramStart"/>
      <w:r>
        <w:rPr>
          <w:rFonts w:hint="cs"/>
          <w:rtl/>
          <w:lang w:val="fr-CH"/>
        </w:rPr>
        <w:t>ومنذ</w:t>
      </w:r>
      <w:proofErr w:type="gramEnd"/>
      <w:r>
        <w:rPr>
          <w:rFonts w:hint="cs"/>
          <w:rtl/>
          <w:lang w:val="fr-CH"/>
        </w:rPr>
        <w:t xml:space="preserve"> عام 2011، أجرت </w:t>
      </w:r>
      <w:r>
        <w:rPr>
          <w:rFonts w:hint="cs"/>
          <w:rtl/>
        </w:rPr>
        <w:t xml:space="preserve">فرقة عمل </w:t>
      </w:r>
      <w:r>
        <w:t>XML4IP</w:t>
      </w:r>
      <w:r>
        <w:rPr>
          <w:rFonts w:hint="cs"/>
          <w:rtl/>
        </w:rPr>
        <w:t xml:space="preserve"> عدة جولات من المناقشات لإعداد اقتراح بشأن المرفقين الخامس والسادس. وبفضل التعاون الفعال بين جميع أعضاء فرقة العمل، استكملت الأعمال التحضيرية بشأن المرفقين الخامس </w:t>
      </w:r>
      <w:proofErr w:type="gramStart"/>
      <w:r>
        <w:rPr>
          <w:rFonts w:hint="cs"/>
          <w:rtl/>
        </w:rPr>
        <w:t>والسادس</w:t>
      </w:r>
      <w:proofErr w:type="gramEnd"/>
      <w:r>
        <w:rPr>
          <w:rFonts w:hint="cs"/>
          <w:rtl/>
        </w:rPr>
        <w:t>.</w:t>
      </w:r>
    </w:p>
    <w:p w:rsidR="0075773B" w:rsidRDefault="0075773B" w:rsidP="00A816B8">
      <w:pPr>
        <w:pStyle w:val="NumberedParaAR"/>
      </w:pPr>
      <w:r>
        <w:rPr>
          <w:rFonts w:hint="cs"/>
          <w:rtl/>
        </w:rPr>
        <w:t>و</w:t>
      </w:r>
      <w:r w:rsidR="00BD33D7">
        <w:rPr>
          <w:rFonts w:hint="cs"/>
          <w:rtl/>
        </w:rPr>
        <w:t>ال</w:t>
      </w:r>
      <w:r>
        <w:rPr>
          <w:rFonts w:hint="cs"/>
          <w:rtl/>
        </w:rPr>
        <w:t xml:space="preserve">صيغتان النهائيتان لمشروعي المرفقين الخامس والسادس المعروضتان على نظر اللجنة لاعتمادهما تستندان إلى </w:t>
      </w:r>
      <w:r w:rsidR="00172057">
        <w:rPr>
          <w:rFonts w:hint="cs"/>
          <w:rtl/>
        </w:rPr>
        <w:t>الإصدار</w:t>
      </w:r>
      <w:r w:rsidR="00172057">
        <w:rPr>
          <w:rFonts w:hint="eastAsia"/>
          <w:rtl/>
        </w:rPr>
        <w:t> </w:t>
      </w:r>
      <w:r w:rsidR="00172057">
        <w:rPr>
          <w:rFonts w:hint="cs"/>
          <w:rtl/>
        </w:rPr>
        <w:t xml:space="preserve">2.0 </w:t>
      </w:r>
      <w:proofErr w:type="gramStart"/>
      <w:r w:rsidR="00172057">
        <w:rPr>
          <w:rFonts w:hint="cs"/>
          <w:rtl/>
        </w:rPr>
        <w:t>لمخطط</w:t>
      </w:r>
      <w:proofErr w:type="gramEnd"/>
      <w:r w:rsidR="00172057">
        <w:rPr>
          <w:rFonts w:hint="cs"/>
          <w:rtl/>
        </w:rPr>
        <w:t xml:space="preserve"> </w:t>
      </w:r>
      <w:r w:rsidR="00172057">
        <w:t>XML</w:t>
      </w:r>
      <w:r w:rsidR="00172057">
        <w:rPr>
          <w:rFonts w:hint="cs"/>
          <w:rtl/>
          <w:lang w:val="fr-CH"/>
        </w:rPr>
        <w:t xml:space="preserve"> لل</w:t>
      </w:r>
      <w:r w:rsidR="00172057">
        <w:rPr>
          <w:rFonts w:hint="cs"/>
          <w:rtl/>
        </w:rPr>
        <w:t xml:space="preserve">معيار </w:t>
      </w:r>
      <w:r w:rsidR="00172057">
        <w:t>ST.96</w:t>
      </w:r>
      <w:r w:rsidR="00172057">
        <w:rPr>
          <w:rFonts w:hint="cs"/>
          <w:rtl/>
        </w:rPr>
        <w:t xml:space="preserve">. </w:t>
      </w:r>
      <w:r w:rsidR="00A816B8">
        <w:rPr>
          <w:rFonts w:hint="cs"/>
          <w:rtl/>
        </w:rPr>
        <w:t>ويرد في المرفق الأول لهذه الوثيقة الاقتراح الخاص بالمرفق الخامس وله ملحقان اثنان، ويرد في المرفق الثاني لهذه الوثيقة الاقتراح الخاص بالمرفق السادس وله ثلاثة ملحقات.</w:t>
      </w:r>
    </w:p>
    <w:p w:rsidR="00A816B8" w:rsidRDefault="00A816B8" w:rsidP="00C90255">
      <w:pPr>
        <w:pStyle w:val="Heading2"/>
      </w:pPr>
      <w:r>
        <w:rPr>
          <w:rFonts w:hint="cs"/>
          <w:rtl/>
        </w:rPr>
        <w:t xml:space="preserve">المرفق الخامس </w:t>
      </w:r>
      <w:r w:rsidRPr="00A816B8">
        <w:rPr>
          <w:rtl/>
        </w:rPr>
        <w:t xml:space="preserve">للمعيار </w:t>
      </w:r>
      <w:r w:rsidRPr="00A816B8">
        <w:t>ST.96</w:t>
      </w:r>
    </w:p>
    <w:p w:rsidR="00A816B8" w:rsidRPr="00786BB1" w:rsidRDefault="00A816B8" w:rsidP="00786BB1">
      <w:pPr>
        <w:pStyle w:val="NumberedParaAR"/>
      </w:pPr>
      <w:r w:rsidRPr="00A816B8">
        <w:rPr>
          <w:rtl/>
        </w:rPr>
        <w:t xml:space="preserve">المرفق الخامس للمعيار </w:t>
      </w:r>
      <w:r w:rsidRPr="00A816B8">
        <w:t>ST.96</w:t>
      </w:r>
      <w:r w:rsidRPr="00A816B8">
        <w:rPr>
          <w:rtl/>
        </w:rPr>
        <w:t xml:space="preserve">، </w:t>
      </w:r>
      <w:r w:rsidRPr="00A816B8">
        <w:rPr>
          <w:i/>
          <w:iCs/>
          <w:rtl/>
        </w:rPr>
        <w:t>قواعد التنفيذ وإرشاداته</w:t>
      </w:r>
      <w:r w:rsidRPr="00A816B8">
        <w:rPr>
          <w:rtl/>
        </w:rPr>
        <w:t xml:space="preserve">، </w:t>
      </w:r>
      <w:r>
        <w:rPr>
          <w:rFonts w:hint="cs"/>
          <w:rtl/>
        </w:rPr>
        <w:t xml:space="preserve">يرمي إلى </w:t>
      </w:r>
      <w:r w:rsidRPr="00A816B8">
        <w:rPr>
          <w:rtl/>
        </w:rPr>
        <w:t xml:space="preserve">تقديم الإرشاد اللازم لتكييف مخططات لغة الترميز الموسعة المعرفة في المرفق الثالث من المعيار </w:t>
      </w:r>
      <w:r w:rsidRPr="00A816B8">
        <w:t>ST.96</w:t>
      </w:r>
      <w:r w:rsidRPr="00A816B8">
        <w:rPr>
          <w:rtl/>
        </w:rPr>
        <w:t xml:space="preserve">، بطريقة عامة، لكي تلائم حاجة العمل الخاصة في مكتب الملكية </w:t>
      </w:r>
      <w:r>
        <w:rPr>
          <w:rFonts w:hint="cs"/>
          <w:rtl/>
        </w:rPr>
        <w:t>الفكرية</w:t>
      </w:r>
      <w:r w:rsidRPr="00A816B8">
        <w:rPr>
          <w:rtl/>
        </w:rPr>
        <w:t xml:space="preserve">، رغم أن مخطط </w:t>
      </w:r>
      <w:r w:rsidR="00786BB1">
        <w:t>XML</w:t>
      </w:r>
      <w:r w:rsidR="00786BB1">
        <w:rPr>
          <w:rFonts w:hint="cs"/>
          <w:rtl/>
          <w:lang w:val="fr-CH"/>
        </w:rPr>
        <w:t xml:space="preserve"> لل</w:t>
      </w:r>
      <w:r w:rsidR="00786BB1">
        <w:rPr>
          <w:rFonts w:hint="cs"/>
          <w:rtl/>
        </w:rPr>
        <w:t xml:space="preserve">معيار </w:t>
      </w:r>
      <w:r w:rsidR="00786BB1">
        <w:t>ST.96</w:t>
      </w:r>
      <w:r w:rsidRPr="00A816B8">
        <w:rPr>
          <w:rtl/>
        </w:rPr>
        <w:t>، في حالات كثيرة، يمكن استخدامه "كما هو".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ومع</w:t>
      </w:r>
      <w:proofErr w:type="gramEnd"/>
      <w:r>
        <w:rPr>
          <w:rFonts w:hint="cs"/>
          <w:rtl/>
        </w:rPr>
        <w:t xml:space="preserve"> ذلك، قد يحتاج مكتب </w:t>
      </w:r>
      <w:r>
        <w:rPr>
          <w:rFonts w:hint="cs"/>
          <w:rtl/>
        </w:rPr>
        <w:lastRenderedPageBreak/>
        <w:t xml:space="preserve">الملكية الفكرية إلى التعامل مع حالات استخدام خاصة لها متطلبات لا </w:t>
      </w:r>
      <w:r w:rsidR="00786BB1">
        <w:rPr>
          <w:rFonts w:hint="cs"/>
          <w:rtl/>
        </w:rPr>
        <w:t>ت</w:t>
      </w:r>
      <w:r>
        <w:rPr>
          <w:rFonts w:hint="cs"/>
          <w:rtl/>
        </w:rPr>
        <w:t xml:space="preserve">لبيها </w:t>
      </w:r>
      <w:r w:rsidR="00786BB1">
        <w:rPr>
          <w:rFonts w:hint="cs"/>
          <w:rtl/>
        </w:rPr>
        <w:t xml:space="preserve">مخططات </w:t>
      </w:r>
      <w:r w:rsidR="00786BB1">
        <w:t>XML</w:t>
      </w:r>
      <w:r w:rsidR="00786BB1">
        <w:rPr>
          <w:rFonts w:hint="cs"/>
          <w:rtl/>
          <w:lang w:val="fr-CH"/>
        </w:rPr>
        <w:t xml:space="preserve"> لل</w:t>
      </w:r>
      <w:r w:rsidR="00786BB1">
        <w:rPr>
          <w:rFonts w:hint="cs"/>
          <w:rtl/>
        </w:rPr>
        <w:t xml:space="preserve">معيار </w:t>
      </w:r>
      <w:r w:rsidR="00786BB1">
        <w:t>ST.96</w:t>
      </w:r>
      <w:r w:rsidR="00786BB1">
        <w:rPr>
          <w:rFonts w:hint="cs"/>
          <w:rtl/>
        </w:rPr>
        <w:t>، والغرض من المرفق الخامس هو إرشاد مكاتب الملكية الفكرية نحو سبل تطوير مخططاتها بالاستناد إلى مخططات ا</w:t>
      </w:r>
      <w:r w:rsidR="00786BB1">
        <w:rPr>
          <w:rFonts w:hint="cs"/>
          <w:rtl/>
          <w:lang w:val="fr-CH"/>
        </w:rPr>
        <w:t>ل</w:t>
      </w:r>
      <w:r w:rsidR="00786BB1">
        <w:rPr>
          <w:rFonts w:hint="cs"/>
          <w:rtl/>
        </w:rPr>
        <w:t xml:space="preserve">معيار </w:t>
      </w:r>
      <w:r w:rsidR="00786BB1">
        <w:t>ST.96</w:t>
      </w:r>
      <w:r w:rsidR="00786BB1">
        <w:rPr>
          <w:rFonts w:hint="cs"/>
          <w:rtl/>
        </w:rPr>
        <w:t xml:space="preserve"> وموارد </w:t>
      </w:r>
      <w:r w:rsidR="00786BB1">
        <w:t>XML</w:t>
      </w:r>
      <w:r w:rsidR="00786BB1">
        <w:rPr>
          <w:rFonts w:hint="cs"/>
          <w:rtl/>
          <w:lang w:val="fr-CH"/>
        </w:rPr>
        <w:t xml:space="preserve"> أخرى.</w:t>
      </w:r>
    </w:p>
    <w:p w:rsidR="00AC66A6" w:rsidRDefault="00F7429B" w:rsidP="0049520B">
      <w:pPr>
        <w:pStyle w:val="NumberedParaAR"/>
      </w:pPr>
      <w:r w:rsidRPr="00F7429B">
        <w:rPr>
          <w:rtl/>
        </w:rPr>
        <w:t xml:space="preserve">وثمة نوعان من مخططات التكييف حسب الحاجة، هما المخطط المتوافق مع معيار </w:t>
      </w:r>
      <w:proofErr w:type="spellStart"/>
      <w:r w:rsidRPr="00F7429B">
        <w:rPr>
          <w:rtl/>
        </w:rPr>
        <w:t>الويبو</w:t>
      </w:r>
      <w:proofErr w:type="spellEnd"/>
      <w:r w:rsidRPr="00F7429B">
        <w:rPr>
          <w:rtl/>
        </w:rPr>
        <w:t xml:space="preserve"> </w:t>
      </w:r>
      <w:r w:rsidRPr="00F7429B">
        <w:t>ST.96</w:t>
      </w:r>
      <w:r w:rsidRPr="00F7429B">
        <w:rPr>
          <w:rtl/>
        </w:rPr>
        <w:t xml:space="preserve"> </w:t>
      </w:r>
      <w:r w:rsidR="00CD6A67">
        <w:rPr>
          <w:rtl/>
        </w:rPr>
        <w:t>والمخطط المطابق لهذا المعيار.</w:t>
      </w:r>
      <w:r w:rsidR="00CD6A67">
        <w:rPr>
          <w:rFonts w:hint="cs"/>
          <w:rtl/>
        </w:rPr>
        <w:t xml:space="preserve"> </w:t>
      </w:r>
      <w:proofErr w:type="gramStart"/>
      <w:r w:rsidRPr="00F7429B">
        <w:rPr>
          <w:rtl/>
        </w:rPr>
        <w:t>وبمجرد</w:t>
      </w:r>
      <w:proofErr w:type="gramEnd"/>
      <w:r w:rsidRPr="00F7429B">
        <w:rPr>
          <w:rtl/>
        </w:rPr>
        <w:t xml:space="preserve"> </w:t>
      </w:r>
      <w:r w:rsidR="00CD6A67">
        <w:rPr>
          <w:rFonts w:hint="cs"/>
          <w:rtl/>
        </w:rPr>
        <w:t xml:space="preserve">ما </w:t>
      </w:r>
      <w:r w:rsidRPr="00F7429B">
        <w:rPr>
          <w:rtl/>
        </w:rPr>
        <w:t xml:space="preserve">أن يقرر مكتب الملكية </w:t>
      </w:r>
      <w:r w:rsidR="00CD6A67">
        <w:rPr>
          <w:rFonts w:hint="cs"/>
          <w:rtl/>
        </w:rPr>
        <w:t xml:space="preserve">الفكرية </w:t>
      </w:r>
      <w:r w:rsidRPr="00F7429B">
        <w:rPr>
          <w:rtl/>
        </w:rPr>
        <w:t xml:space="preserve">تكييف مخطط المعيار </w:t>
      </w:r>
      <w:r w:rsidRPr="00F7429B">
        <w:t>ST.96</w:t>
      </w:r>
      <w:r w:rsidRPr="00F7429B">
        <w:rPr>
          <w:rtl/>
        </w:rPr>
        <w:t xml:space="preserve">، عليه أن يبتّ في أن تكون النتيجة </w:t>
      </w:r>
      <w:r w:rsidRPr="0049520B">
        <w:rPr>
          <w:i/>
          <w:iCs/>
          <w:rtl/>
        </w:rPr>
        <w:t>مطابقة</w:t>
      </w:r>
      <w:r w:rsidRPr="00F7429B">
        <w:rPr>
          <w:rtl/>
        </w:rPr>
        <w:t xml:space="preserve"> للمعيار </w:t>
      </w:r>
      <w:r w:rsidRPr="00F7429B">
        <w:t>ST.96</w:t>
      </w:r>
      <w:r w:rsidRPr="00F7429B">
        <w:rPr>
          <w:rtl/>
        </w:rPr>
        <w:t xml:space="preserve"> أو </w:t>
      </w:r>
      <w:proofErr w:type="spellStart"/>
      <w:r w:rsidRPr="0049520B">
        <w:rPr>
          <w:i/>
          <w:iCs/>
          <w:rtl/>
        </w:rPr>
        <w:t>متوافقه</w:t>
      </w:r>
      <w:proofErr w:type="spellEnd"/>
      <w:r w:rsidRPr="0049520B">
        <w:rPr>
          <w:i/>
          <w:iCs/>
          <w:rtl/>
        </w:rPr>
        <w:t xml:space="preserve"> معه</w:t>
      </w:r>
      <w:r w:rsidRPr="00F7429B">
        <w:rPr>
          <w:rtl/>
        </w:rPr>
        <w:t>.</w:t>
      </w:r>
      <w:r w:rsidR="00AC66A6">
        <w:rPr>
          <w:rFonts w:hint="cs"/>
          <w:rtl/>
        </w:rPr>
        <w:t xml:space="preserve"> </w:t>
      </w:r>
      <w:r w:rsidR="0049520B" w:rsidRPr="0049520B">
        <w:rPr>
          <w:rFonts w:hint="cs"/>
          <w:rtl/>
          <w:lang w:val="fr-CH"/>
        </w:rPr>
        <w:t xml:space="preserve">ويتيح المرفق الخامس مجموعة من القواعد والإرشادات بشأن تكييف مخططات </w:t>
      </w:r>
      <w:r w:rsidR="0049520B">
        <w:t>XML</w:t>
      </w:r>
      <w:r w:rsidR="0049520B" w:rsidRPr="0049520B">
        <w:rPr>
          <w:rFonts w:hint="cs"/>
          <w:rtl/>
          <w:lang w:val="fr-CH"/>
        </w:rPr>
        <w:t xml:space="preserve"> لل</w:t>
      </w:r>
      <w:r w:rsidR="0049520B">
        <w:rPr>
          <w:rFonts w:hint="cs"/>
          <w:rtl/>
        </w:rPr>
        <w:t xml:space="preserve">معيار </w:t>
      </w:r>
      <w:r w:rsidR="0049520B">
        <w:t>ST.96</w:t>
      </w:r>
      <w:r w:rsidR="0049520B">
        <w:rPr>
          <w:rFonts w:hint="cs"/>
          <w:rtl/>
        </w:rPr>
        <w:t xml:space="preserve"> وتنفيذها. </w:t>
      </w:r>
      <w:proofErr w:type="gramStart"/>
      <w:r w:rsidR="0049520B">
        <w:rPr>
          <w:rFonts w:hint="cs"/>
          <w:rtl/>
        </w:rPr>
        <w:t>ولإرشاد</w:t>
      </w:r>
      <w:proofErr w:type="gramEnd"/>
      <w:r w:rsidR="0049520B">
        <w:rPr>
          <w:rFonts w:hint="cs"/>
          <w:rtl/>
        </w:rPr>
        <w:t xml:space="preserve"> </w:t>
      </w:r>
      <w:r w:rsidR="00AC66A6" w:rsidRPr="00AC66A6">
        <w:rPr>
          <w:rtl/>
        </w:rPr>
        <w:t xml:space="preserve">مكاتب الملكية </w:t>
      </w:r>
      <w:r w:rsidR="0049520B">
        <w:rPr>
          <w:rFonts w:hint="cs"/>
          <w:rtl/>
        </w:rPr>
        <w:t>الفكرية ب</w:t>
      </w:r>
      <w:r w:rsidR="00AC66A6" w:rsidRPr="00AC66A6">
        <w:rPr>
          <w:rtl/>
        </w:rPr>
        <w:t>أمثلة عملية</w:t>
      </w:r>
      <w:r w:rsidR="0049520B">
        <w:rPr>
          <w:rFonts w:hint="cs"/>
          <w:rtl/>
        </w:rPr>
        <w:t xml:space="preserve">، يحتوي المرفق الخامس على ملحقين اثنين، </w:t>
      </w:r>
      <w:r w:rsidR="00AC66A6" w:rsidRPr="00AC66A6">
        <w:rPr>
          <w:rtl/>
        </w:rPr>
        <w:t xml:space="preserve">فالملحق ألف يورد أمثلة على المخططات المطابقة للمعيار </w:t>
      </w:r>
      <w:r w:rsidR="00AC66A6" w:rsidRPr="00AC66A6">
        <w:t>ST.96</w:t>
      </w:r>
      <w:r w:rsidR="00AC66A6" w:rsidRPr="00AC66A6">
        <w:rPr>
          <w:rtl/>
        </w:rPr>
        <w:t>، ويورد الملحق باء أمثلة على المخططات المتوافقة مع المعيار </w:t>
      </w:r>
      <w:r w:rsidR="00AC66A6" w:rsidRPr="00AC66A6">
        <w:t>ST.96</w:t>
      </w:r>
      <w:r w:rsidR="00AC66A6" w:rsidRPr="00AC66A6">
        <w:rPr>
          <w:rtl/>
        </w:rPr>
        <w:t>.</w:t>
      </w:r>
    </w:p>
    <w:p w:rsidR="0049520B" w:rsidRDefault="0049520B" w:rsidP="00660C71">
      <w:pPr>
        <w:pStyle w:val="NumberedParaAR"/>
      </w:pPr>
      <w:proofErr w:type="gramStart"/>
      <w:r>
        <w:rPr>
          <w:rFonts w:hint="cs"/>
          <w:rtl/>
        </w:rPr>
        <w:t>وبالإضافة</w:t>
      </w:r>
      <w:proofErr w:type="gramEnd"/>
      <w:r>
        <w:rPr>
          <w:rFonts w:hint="cs"/>
          <w:rtl/>
        </w:rPr>
        <w:t xml:space="preserve"> إلى ذلك، أصبح </w:t>
      </w:r>
      <w:r w:rsidRPr="0049520B">
        <w:rPr>
          <w:i/>
          <w:iCs/>
        </w:rPr>
        <w:t>ST96XSDValicator</w:t>
      </w:r>
      <w:r>
        <w:rPr>
          <w:rFonts w:hint="cs"/>
          <w:rtl/>
        </w:rPr>
        <w:t xml:space="preserve"> الآن جزءا من المرفق الخامس. و</w:t>
      </w:r>
      <w:r w:rsidRPr="0049520B">
        <w:rPr>
          <w:i/>
          <w:iCs/>
        </w:rPr>
        <w:t>ST96XSDValicator</w:t>
      </w:r>
      <w:r>
        <w:rPr>
          <w:rFonts w:hint="cs"/>
          <w:rtl/>
        </w:rPr>
        <w:t xml:space="preserve"> هو </w:t>
      </w:r>
      <w:proofErr w:type="gramStart"/>
      <w:r>
        <w:rPr>
          <w:rFonts w:hint="cs"/>
          <w:rtl/>
        </w:rPr>
        <w:t>أداة</w:t>
      </w:r>
      <w:proofErr w:type="gramEnd"/>
      <w:r>
        <w:rPr>
          <w:rFonts w:hint="cs"/>
          <w:rtl/>
        </w:rPr>
        <w:t xml:space="preserve"> تستعمل </w:t>
      </w:r>
      <w:proofErr w:type="spellStart"/>
      <w:r w:rsidRPr="0049520B">
        <w:rPr>
          <w:i/>
          <w:iCs/>
        </w:rPr>
        <w:t>Schematron</w:t>
      </w:r>
      <w:proofErr w:type="spellEnd"/>
      <w:r>
        <w:rPr>
          <w:rFonts w:hint="cs"/>
          <w:rtl/>
          <w:lang w:val="fr-CH"/>
        </w:rPr>
        <w:t xml:space="preserve"> لتثبيت مخطط </w:t>
      </w:r>
      <w:r>
        <w:rPr>
          <w:lang w:val="fr-CH"/>
        </w:rPr>
        <w:t>XML</w:t>
      </w:r>
      <w:r>
        <w:rPr>
          <w:rFonts w:hint="cs"/>
          <w:rtl/>
          <w:lang w:val="fr-CH"/>
        </w:rPr>
        <w:t xml:space="preserve"> وفقا ل</w:t>
      </w:r>
      <w:r w:rsidRPr="0049520B">
        <w:rPr>
          <w:rtl/>
        </w:rPr>
        <w:t xml:space="preserve">لمعيار </w:t>
      </w:r>
      <w:r w:rsidRPr="0049520B">
        <w:t>ST.96</w:t>
      </w:r>
      <w:r w:rsidRPr="0049520B">
        <w:rPr>
          <w:rtl/>
        </w:rPr>
        <w:t xml:space="preserve">، </w:t>
      </w:r>
      <w:r w:rsidRPr="006827EF">
        <w:rPr>
          <w:i/>
          <w:iCs/>
          <w:rtl/>
        </w:rPr>
        <w:t xml:space="preserve">قواعد وأعراف تصميم </w:t>
      </w:r>
      <w:r w:rsidRPr="006827EF">
        <w:rPr>
          <w:i/>
          <w:iCs/>
        </w:rPr>
        <w:t>XML</w:t>
      </w:r>
      <w:r>
        <w:rPr>
          <w:rFonts w:hint="cs"/>
          <w:rtl/>
          <w:lang w:val="fr-CH"/>
        </w:rPr>
        <w:t xml:space="preserve"> (المرفق الأول من المعيار </w:t>
      </w:r>
      <w:r>
        <w:t>ST.96</w:t>
      </w:r>
      <w:r>
        <w:rPr>
          <w:rFonts w:hint="cs"/>
          <w:rtl/>
          <w:lang w:val="fr-CH"/>
        </w:rPr>
        <w:t xml:space="preserve">). والأداة مناسبة </w:t>
      </w:r>
      <w:proofErr w:type="gramStart"/>
      <w:r>
        <w:rPr>
          <w:rFonts w:hint="cs"/>
          <w:rtl/>
          <w:lang w:val="fr-CH"/>
        </w:rPr>
        <w:t>جدا</w:t>
      </w:r>
      <w:proofErr w:type="gramEnd"/>
      <w:r>
        <w:rPr>
          <w:rFonts w:hint="cs"/>
          <w:rtl/>
          <w:lang w:val="fr-CH"/>
        </w:rPr>
        <w:t xml:space="preserve"> لمكاتب الملكية الفكرية التي تريد تثبيت مخططاتها</w:t>
      </w:r>
      <w:r w:rsidR="00660C71">
        <w:rPr>
          <w:rFonts w:hint="cs"/>
          <w:rtl/>
          <w:lang w:val="fr-CH"/>
        </w:rPr>
        <w:t xml:space="preserve"> التنفيذية </w:t>
      </w:r>
      <w:r>
        <w:rPr>
          <w:lang w:val="fr-CH"/>
        </w:rPr>
        <w:t>XML</w:t>
      </w:r>
      <w:r w:rsidR="00660C71">
        <w:rPr>
          <w:rFonts w:hint="cs"/>
          <w:rtl/>
          <w:lang w:val="fr-CH"/>
        </w:rPr>
        <w:t xml:space="preserve"> وفقا ل</w:t>
      </w:r>
      <w:r w:rsidR="00660C71" w:rsidRPr="0049520B">
        <w:rPr>
          <w:rtl/>
        </w:rPr>
        <w:t>لمعيار</w:t>
      </w:r>
      <w:r w:rsidR="00660C71">
        <w:rPr>
          <w:rFonts w:hint="cs"/>
          <w:rtl/>
        </w:rPr>
        <w:t> </w:t>
      </w:r>
      <w:r w:rsidR="00660C71" w:rsidRPr="0049520B">
        <w:t>ST.96</w:t>
      </w:r>
      <w:r w:rsidR="00660C71">
        <w:rPr>
          <w:rFonts w:hint="cs"/>
          <w:rtl/>
        </w:rPr>
        <w:t>.</w:t>
      </w:r>
    </w:p>
    <w:p w:rsidR="00F3645B" w:rsidRDefault="00F3645B" w:rsidP="00C90255">
      <w:pPr>
        <w:pStyle w:val="Heading2"/>
      </w:pPr>
      <w:r>
        <w:rPr>
          <w:rFonts w:hint="cs"/>
          <w:rtl/>
        </w:rPr>
        <w:t xml:space="preserve">المرفق السادس </w:t>
      </w:r>
      <w:r w:rsidRPr="00A816B8">
        <w:rPr>
          <w:rtl/>
        </w:rPr>
        <w:t xml:space="preserve">للمعيار </w:t>
      </w:r>
      <w:r w:rsidRPr="00A816B8">
        <w:t>ST.96</w:t>
      </w:r>
    </w:p>
    <w:p w:rsidR="00F3645B" w:rsidRPr="001F6D62" w:rsidRDefault="00F3645B" w:rsidP="001F6D62">
      <w:pPr>
        <w:pStyle w:val="NumberedParaAR"/>
      </w:pPr>
      <w:r>
        <w:rPr>
          <w:rFonts w:hint="cs"/>
          <w:rtl/>
        </w:rPr>
        <w:t xml:space="preserve">قبل اعتماد معيار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</w:t>
      </w:r>
      <w:r>
        <w:t>ST.96</w:t>
      </w:r>
      <w:r>
        <w:rPr>
          <w:rFonts w:hint="cs"/>
          <w:rtl/>
          <w:lang w:val="fr-CH"/>
        </w:rPr>
        <w:t xml:space="preserve">، كانت مكاتب الملكية الفكرية قد استعملت معايير </w:t>
      </w:r>
      <w:proofErr w:type="spellStart"/>
      <w:r>
        <w:rPr>
          <w:rFonts w:hint="cs"/>
          <w:rtl/>
          <w:lang w:val="fr-CH"/>
        </w:rPr>
        <w:t>الويبو</w:t>
      </w:r>
      <w:proofErr w:type="spellEnd"/>
      <w:r>
        <w:rPr>
          <w:rFonts w:hint="cs"/>
          <w:rtl/>
          <w:lang w:val="fr-CH"/>
        </w:rPr>
        <w:t xml:space="preserve"> </w:t>
      </w:r>
      <w:r>
        <w:t>ST.36</w:t>
      </w:r>
      <w:r>
        <w:rPr>
          <w:rFonts w:hint="cs"/>
          <w:rtl/>
          <w:lang w:val="fr-CH"/>
        </w:rPr>
        <w:t xml:space="preserve"> و</w:t>
      </w:r>
      <w:r>
        <w:t>ST.66</w:t>
      </w:r>
      <w:r>
        <w:rPr>
          <w:rFonts w:hint="cs"/>
          <w:rtl/>
          <w:lang w:val="fr-CH"/>
        </w:rPr>
        <w:t xml:space="preserve"> و</w:t>
      </w:r>
      <w:r>
        <w:t>ST.86</w:t>
      </w:r>
      <w:r>
        <w:rPr>
          <w:rFonts w:hint="cs"/>
          <w:rtl/>
          <w:lang w:val="fr-CH"/>
        </w:rPr>
        <w:t xml:space="preserve">؛ ولذلك، كانت المحافظة على إمكانية التحويل مع </w:t>
      </w:r>
      <w:r w:rsidR="001F6D62">
        <w:rPr>
          <w:rFonts w:hint="cs"/>
          <w:rtl/>
          <w:lang w:val="fr-CH"/>
        </w:rPr>
        <w:t>مثائل</w:t>
      </w:r>
      <w:r>
        <w:rPr>
          <w:rFonts w:hint="cs"/>
          <w:rtl/>
          <w:lang w:val="fr-CH"/>
        </w:rPr>
        <w:t xml:space="preserve"> </w:t>
      </w:r>
      <w:r>
        <w:t>XML</w:t>
      </w:r>
      <w:r>
        <w:rPr>
          <w:rFonts w:hint="cs"/>
          <w:rtl/>
          <w:lang w:val="fr-CH"/>
        </w:rPr>
        <w:t xml:space="preserve"> المطابقة لتلك المعايير في مقدمة المسائل التي شغلت فرقة عمل </w:t>
      </w:r>
      <w:r>
        <w:t>XML4IP</w:t>
      </w:r>
      <w:r>
        <w:rPr>
          <w:rFonts w:hint="cs"/>
          <w:rtl/>
          <w:lang w:val="fr-CH"/>
        </w:rPr>
        <w:t xml:space="preserve">. </w:t>
      </w:r>
      <w:proofErr w:type="gramStart"/>
      <w:r>
        <w:rPr>
          <w:rFonts w:hint="cs"/>
          <w:rtl/>
          <w:lang w:val="fr-CH"/>
        </w:rPr>
        <w:t>ومن</w:t>
      </w:r>
      <w:proofErr w:type="gramEnd"/>
      <w:r>
        <w:rPr>
          <w:rFonts w:hint="cs"/>
          <w:rtl/>
          <w:lang w:val="fr-CH"/>
        </w:rPr>
        <w:t xml:space="preserve"> أجل تيسير تبادل البيانات والتشغيل المشترك فيما بين مكتب يستعمل المعايير </w:t>
      </w:r>
      <w:r w:rsidRPr="004F4E09">
        <w:t>ST.36/ST.66/ST.86</w:t>
      </w:r>
      <w:r>
        <w:rPr>
          <w:rFonts w:hint="cs"/>
          <w:rtl/>
          <w:lang w:val="fr-CH"/>
        </w:rPr>
        <w:t xml:space="preserve"> ومكتب يستعمل المعيار </w:t>
      </w:r>
      <w:r>
        <w:t>ST.96</w:t>
      </w:r>
      <w:r>
        <w:rPr>
          <w:rFonts w:hint="cs"/>
          <w:rtl/>
          <w:lang w:val="fr-CH"/>
        </w:rPr>
        <w:t xml:space="preserve">، كان لا بدّ من ضمان التحويل بين المعيار </w:t>
      </w:r>
      <w:r>
        <w:t>ST.96</w:t>
      </w:r>
      <w:r>
        <w:rPr>
          <w:rFonts w:hint="cs"/>
          <w:rtl/>
          <w:lang w:val="fr-CH"/>
        </w:rPr>
        <w:t xml:space="preserve"> والمعايير الجاري استعمالها؛ وبناء على ذلك شرعت فرقة عمل </w:t>
      </w:r>
      <w:r>
        <w:t>XML4IP</w:t>
      </w:r>
      <w:r>
        <w:rPr>
          <w:rFonts w:hint="cs"/>
          <w:rtl/>
          <w:lang w:val="fr-CH"/>
        </w:rPr>
        <w:t xml:space="preserve"> في تطو</w:t>
      </w:r>
      <w:r w:rsidR="001F6D62">
        <w:rPr>
          <w:rFonts w:hint="cs"/>
          <w:rtl/>
          <w:lang w:val="fr-CH"/>
        </w:rPr>
        <w:t>ي</w:t>
      </w:r>
      <w:r>
        <w:rPr>
          <w:rFonts w:hint="cs"/>
          <w:rtl/>
          <w:lang w:val="fr-CH"/>
        </w:rPr>
        <w:t>ر المرفق السادس.</w:t>
      </w:r>
    </w:p>
    <w:p w:rsidR="001F6D62" w:rsidRPr="001351C5" w:rsidRDefault="001F6D62" w:rsidP="001351C5">
      <w:pPr>
        <w:pStyle w:val="NumberedParaAR"/>
        <w:rPr>
          <w:rStyle w:val="Hyperlink"/>
          <w:color w:val="auto"/>
          <w:u w:val="none"/>
        </w:rPr>
      </w:pPr>
      <w:r w:rsidRPr="001F6D62">
        <w:rPr>
          <w:rtl/>
        </w:rPr>
        <w:t xml:space="preserve">والمرفق السادس للمعيار </w:t>
      </w:r>
      <w:r w:rsidRPr="001F6D62">
        <w:t>ST.96</w:t>
      </w:r>
      <w:r w:rsidRPr="001F6D62">
        <w:rPr>
          <w:rtl/>
        </w:rPr>
        <w:t xml:space="preserve">، </w:t>
      </w:r>
      <w:r w:rsidRPr="001F6D62">
        <w:rPr>
          <w:i/>
          <w:iCs/>
          <w:rtl/>
        </w:rPr>
        <w:t>قواعد التحويل وإرشاداته</w:t>
      </w:r>
      <w:r w:rsidRPr="001F6D62">
        <w:rPr>
          <w:rtl/>
        </w:rPr>
        <w:t xml:space="preserve">، </w:t>
      </w:r>
      <w:r>
        <w:rPr>
          <w:rFonts w:hint="cs"/>
          <w:rtl/>
        </w:rPr>
        <w:t xml:space="preserve">يرمي إلى </w:t>
      </w:r>
      <w:r w:rsidRPr="001F6D62">
        <w:rPr>
          <w:rtl/>
        </w:rPr>
        <w:t xml:space="preserve">تقديم قواعد ومبادئ توجيهية للتحويل بين مثائل </w:t>
      </w:r>
      <w:r>
        <w:t>XML</w:t>
      </w:r>
      <w:r w:rsidRPr="001F6D62">
        <w:rPr>
          <w:rtl/>
        </w:rPr>
        <w:t xml:space="preserve"> المطابقة للمعيار </w:t>
      </w:r>
      <w:r w:rsidRPr="001F6D62">
        <w:t>ST.96</w:t>
      </w:r>
      <w:r w:rsidRPr="001F6D62">
        <w:rPr>
          <w:rtl/>
        </w:rPr>
        <w:t xml:space="preserve"> ومثائل </w:t>
      </w:r>
      <w:r>
        <w:t>XML</w:t>
      </w:r>
      <w:r w:rsidRPr="001F6D62">
        <w:rPr>
          <w:rtl/>
        </w:rPr>
        <w:t xml:space="preserve"> </w:t>
      </w:r>
      <w:r>
        <w:rPr>
          <w:rFonts w:hint="cs"/>
          <w:rtl/>
        </w:rPr>
        <w:t xml:space="preserve">المتوافقة </w:t>
      </w:r>
      <w:r w:rsidRPr="001F6D62">
        <w:rPr>
          <w:rtl/>
        </w:rPr>
        <w:t xml:space="preserve">مع المعيار </w:t>
      </w:r>
      <w:r w:rsidRPr="001F6D62">
        <w:t>ST.36</w:t>
      </w:r>
      <w:r w:rsidRPr="001F6D62">
        <w:rPr>
          <w:rtl/>
        </w:rPr>
        <w:t xml:space="preserve"> أو </w:t>
      </w:r>
      <w:r w:rsidRPr="001F6D62">
        <w:t>ST.66</w:t>
      </w:r>
      <w:r w:rsidRPr="001F6D62">
        <w:rPr>
          <w:rtl/>
        </w:rPr>
        <w:t xml:space="preserve"> أو </w:t>
      </w:r>
      <w:r w:rsidRPr="001F6D62">
        <w:t>ST.86</w:t>
      </w:r>
      <w:r w:rsidRPr="001F6D62">
        <w:rPr>
          <w:rtl/>
        </w:rPr>
        <w:t>.</w:t>
      </w:r>
      <w:r>
        <w:rPr>
          <w:rFonts w:hint="cs"/>
          <w:rtl/>
        </w:rPr>
        <w:t xml:space="preserve"> </w:t>
      </w:r>
      <w:r w:rsidRPr="001F6D62">
        <w:rPr>
          <w:rtl/>
        </w:rPr>
        <w:t xml:space="preserve">ويلاحظ أن الغرض من المرفق السادس ليس التعامل مع التحويلات من أجل عمليات التنفيذ الوطنية أو تحويل مثائل </w:t>
      </w:r>
      <w:r w:rsidR="0076737C">
        <w:t>XML</w:t>
      </w:r>
      <w:r w:rsidRPr="001F6D62">
        <w:rPr>
          <w:rtl/>
        </w:rPr>
        <w:t xml:space="preserve"> بين </w:t>
      </w:r>
      <w:r w:rsidR="0076737C">
        <w:rPr>
          <w:rFonts w:hint="cs"/>
          <w:rtl/>
        </w:rPr>
        <w:t>الإصدارات</w:t>
      </w:r>
      <w:r w:rsidRPr="001F6D62">
        <w:rPr>
          <w:rtl/>
        </w:rPr>
        <w:t xml:space="preserve"> المختلفة </w:t>
      </w:r>
      <w:r w:rsidR="0076737C">
        <w:rPr>
          <w:rFonts w:hint="cs"/>
          <w:rtl/>
        </w:rPr>
        <w:t>ل</w:t>
      </w:r>
      <w:r w:rsidRPr="001F6D62">
        <w:rPr>
          <w:rtl/>
        </w:rPr>
        <w:t xml:space="preserve">لمعيار </w:t>
      </w:r>
      <w:r w:rsidRPr="001F6D62">
        <w:t>ST.96</w:t>
      </w:r>
      <w:r w:rsidRPr="001F6D62">
        <w:rPr>
          <w:rtl/>
        </w:rPr>
        <w:t>.</w:t>
      </w:r>
      <w:r w:rsidR="001351C5">
        <w:rPr>
          <w:rFonts w:hint="cs"/>
          <w:rtl/>
        </w:rPr>
        <w:t xml:space="preserve"> </w:t>
      </w:r>
      <w:r w:rsidR="001351C5" w:rsidRPr="001351C5">
        <w:rPr>
          <w:rtl/>
        </w:rPr>
        <w:t>و</w:t>
      </w:r>
      <w:r w:rsidR="001351C5">
        <w:rPr>
          <w:rFonts w:hint="cs"/>
          <w:rtl/>
        </w:rPr>
        <w:t>ل</w:t>
      </w:r>
      <w:r w:rsidR="001351C5" w:rsidRPr="001351C5">
        <w:rPr>
          <w:rtl/>
        </w:rPr>
        <w:t xml:space="preserve">إرشاد مكاتب الملكية </w:t>
      </w:r>
      <w:r w:rsidR="001351C5">
        <w:rPr>
          <w:rFonts w:hint="cs"/>
          <w:rtl/>
        </w:rPr>
        <w:t xml:space="preserve">الفكرية </w:t>
      </w:r>
      <w:r w:rsidR="001351C5" w:rsidRPr="001351C5">
        <w:rPr>
          <w:rtl/>
        </w:rPr>
        <w:t xml:space="preserve">إلى كيفية تحويل بياناتها المطابقة للمعيار </w:t>
      </w:r>
      <w:r w:rsidR="001351C5" w:rsidRPr="001351C5">
        <w:t>ST.36</w:t>
      </w:r>
      <w:r w:rsidR="001351C5" w:rsidRPr="001351C5">
        <w:rPr>
          <w:rtl/>
        </w:rPr>
        <w:t xml:space="preserve"> أو </w:t>
      </w:r>
      <w:r w:rsidR="001351C5" w:rsidRPr="001351C5">
        <w:t>ST.66</w:t>
      </w:r>
      <w:r w:rsidR="001351C5" w:rsidRPr="001351C5">
        <w:rPr>
          <w:rtl/>
        </w:rPr>
        <w:t xml:space="preserve"> أو </w:t>
      </w:r>
      <w:r w:rsidR="001351C5" w:rsidRPr="001351C5">
        <w:t>ST.86</w:t>
      </w:r>
      <w:r w:rsidR="001351C5" w:rsidRPr="001351C5">
        <w:rPr>
          <w:rtl/>
        </w:rPr>
        <w:t xml:space="preserve"> إلى بيانات مطابقة للمعيار </w:t>
      </w:r>
      <w:r w:rsidR="001351C5" w:rsidRPr="001351C5">
        <w:t>ST.96</w:t>
      </w:r>
      <w:r w:rsidR="001351C5" w:rsidRPr="001351C5">
        <w:rPr>
          <w:rtl/>
        </w:rPr>
        <w:t xml:space="preserve"> والعك</w:t>
      </w:r>
      <w:r w:rsidR="001351C5">
        <w:rPr>
          <w:rtl/>
        </w:rPr>
        <w:t>س، يتضمن المرفق السادس ثلاثة مل</w:t>
      </w:r>
      <w:r w:rsidR="001351C5" w:rsidRPr="001351C5">
        <w:rPr>
          <w:rtl/>
        </w:rPr>
        <w:t>حق</w:t>
      </w:r>
      <w:r w:rsidR="001351C5">
        <w:rPr>
          <w:rFonts w:hint="cs"/>
          <w:rtl/>
        </w:rPr>
        <w:t>ات</w:t>
      </w:r>
      <w:r w:rsidR="001351C5" w:rsidRPr="001351C5">
        <w:rPr>
          <w:rtl/>
        </w:rPr>
        <w:t xml:space="preserve">: الملحق ألف الذي يحتوي على جداول تخطيط العناصر والصفات المميزة، والملحق باء الذي يحتوي على جداول تخطيط قيم التعداد، والملحق جيم الذي يحتوي على أمثلة لشفرات لغة صفحات الأنماط الموسعة </w:t>
      </w:r>
      <w:r w:rsidR="001351C5" w:rsidRPr="001351C5">
        <w:t>XSLT</w:t>
      </w:r>
      <w:r w:rsidR="001351C5" w:rsidRPr="001351C5">
        <w:rPr>
          <w:rtl/>
        </w:rPr>
        <w:t xml:space="preserve"> بناء على جداول تخطيط الملحقين ألف وباء.</w:t>
      </w:r>
      <w:r w:rsidR="001351C5">
        <w:rPr>
          <w:rFonts w:hint="cs"/>
          <w:rtl/>
        </w:rPr>
        <w:t xml:space="preserve"> والملحقات الثلاثة متاحة على موقع </w:t>
      </w:r>
      <w:proofErr w:type="spellStart"/>
      <w:r w:rsidR="001351C5">
        <w:rPr>
          <w:rFonts w:hint="cs"/>
          <w:rtl/>
        </w:rPr>
        <w:t>الويبو</w:t>
      </w:r>
      <w:proofErr w:type="spellEnd"/>
      <w:r w:rsidR="001351C5">
        <w:rPr>
          <w:rFonts w:hint="cs"/>
          <w:rtl/>
        </w:rPr>
        <w:t xml:space="preserve"> في: </w:t>
      </w:r>
      <w:hyperlink r:id="rId9" w:history="1">
        <w:r w:rsidR="001351C5" w:rsidRPr="00FE647D">
          <w:rPr>
            <w:rStyle w:val="Hyperlink"/>
          </w:rPr>
          <w:t>http://www.wipo.int/edocs/mdocs/cws/en/cws_4_bis/cws_4_bis_12-appendix1.zip</w:t>
        </w:r>
      </w:hyperlink>
      <w:r w:rsidR="001351C5">
        <w:rPr>
          <w:rStyle w:val="Hyperlink"/>
        </w:rPr>
        <w:t>.</w:t>
      </w:r>
    </w:p>
    <w:p w:rsidR="001351C5" w:rsidRDefault="001351C5" w:rsidP="00C90255">
      <w:pPr>
        <w:pStyle w:val="Heading2"/>
        <w:rPr>
          <w:rtl/>
        </w:rPr>
      </w:pPr>
      <w:r>
        <w:rPr>
          <w:rtl/>
        </w:rPr>
        <w:t xml:space="preserve">تعديل </w:t>
      </w:r>
      <w:proofErr w:type="gramStart"/>
      <w:r>
        <w:rPr>
          <w:rtl/>
        </w:rPr>
        <w:t>المهمة</w:t>
      </w:r>
      <w:proofErr w:type="gramEnd"/>
      <w:r>
        <w:rPr>
          <w:rtl/>
        </w:rPr>
        <w:t xml:space="preserve"> رقم 41</w:t>
      </w:r>
    </w:p>
    <w:p w:rsidR="001351C5" w:rsidRDefault="001351C5" w:rsidP="006827EF">
      <w:pPr>
        <w:pStyle w:val="NumberedParaAR"/>
      </w:pPr>
      <w:proofErr w:type="gramStart"/>
      <w:r>
        <w:rPr>
          <w:rFonts w:hint="cs"/>
          <w:rtl/>
        </w:rPr>
        <w:t>بما</w:t>
      </w:r>
      <w:proofErr w:type="gramEnd"/>
      <w:r>
        <w:rPr>
          <w:rFonts w:hint="cs"/>
          <w:rtl/>
        </w:rPr>
        <w:t xml:space="preserve"> أن </w:t>
      </w:r>
      <w:r w:rsidRPr="001351C5">
        <w:rPr>
          <w:rtl/>
        </w:rPr>
        <w:t xml:space="preserve">فرقة عمل </w:t>
      </w:r>
      <w:r w:rsidRPr="001351C5">
        <w:t>XML4IP</w:t>
      </w:r>
      <w:r w:rsidRPr="001351C5">
        <w:rPr>
          <w:rtl/>
        </w:rPr>
        <w:t xml:space="preserve"> </w:t>
      </w:r>
      <w:r>
        <w:rPr>
          <w:rFonts w:hint="cs"/>
          <w:rtl/>
        </w:rPr>
        <w:t xml:space="preserve">قد انتهت من إعداد الاقتراح بشأن المرفقين الخامس والسادس للمعيار </w:t>
      </w:r>
      <w:r>
        <w:t>ST.96</w:t>
      </w:r>
      <w:r>
        <w:rPr>
          <w:rFonts w:hint="cs"/>
          <w:rtl/>
          <w:lang w:val="fr-CH"/>
        </w:rPr>
        <w:t xml:space="preserve">، يقترح المكتب الدولي حذف الجزء الأول من المهمة رقم 41 والاحتفاظ بجزئها الثاني فقط. </w:t>
      </w:r>
      <w:r>
        <w:rPr>
          <w:rFonts w:hint="cs"/>
          <w:rtl/>
        </w:rPr>
        <w:t>وعليه، ستصبح الصياغة الجديدة للمهمة رقم 41 كما يلي</w:t>
      </w:r>
      <w:r w:rsidRPr="001351C5">
        <w:rPr>
          <w:rtl/>
        </w:rPr>
        <w:t xml:space="preserve">: "المهمة رقم 41: التأكد من إجراء المراجعات والتحديثات اللازمة على المعيار </w:t>
      </w:r>
      <w:r w:rsidRPr="001351C5">
        <w:t>ST.96</w:t>
      </w:r>
      <w:r w:rsidRPr="001351C5">
        <w:rPr>
          <w:rtl/>
        </w:rPr>
        <w:t xml:space="preserve">". </w:t>
      </w:r>
      <w:proofErr w:type="gramStart"/>
      <w:r w:rsidRPr="001351C5">
        <w:rPr>
          <w:rtl/>
        </w:rPr>
        <w:t>كما</w:t>
      </w:r>
      <w:proofErr w:type="gramEnd"/>
      <w:r w:rsidRPr="001351C5">
        <w:rPr>
          <w:rtl/>
        </w:rPr>
        <w:t xml:space="preserve"> يقترح المكتب الدولي أن </w:t>
      </w:r>
      <w:r>
        <w:rPr>
          <w:rFonts w:hint="cs"/>
          <w:rtl/>
        </w:rPr>
        <w:t xml:space="preserve">تواصل </w:t>
      </w:r>
      <w:r w:rsidRPr="001351C5">
        <w:rPr>
          <w:rtl/>
        </w:rPr>
        <w:t xml:space="preserve">فرقة عمل </w:t>
      </w:r>
      <w:r w:rsidRPr="001351C5">
        <w:t>XML4IP</w:t>
      </w:r>
      <w:r w:rsidRPr="001351C5">
        <w:rPr>
          <w:rtl/>
        </w:rPr>
        <w:t xml:space="preserve"> </w:t>
      </w:r>
      <w:r>
        <w:rPr>
          <w:rFonts w:hint="cs"/>
          <w:rtl/>
        </w:rPr>
        <w:t>عم</w:t>
      </w:r>
      <w:r w:rsidR="006827EF">
        <w:rPr>
          <w:rFonts w:hint="cs"/>
          <w:rtl/>
        </w:rPr>
        <w:t>ل</w:t>
      </w:r>
      <w:r>
        <w:rPr>
          <w:rFonts w:hint="cs"/>
          <w:rtl/>
        </w:rPr>
        <w:t xml:space="preserve">ها على مراجعة </w:t>
      </w:r>
      <w:r w:rsidRPr="001351C5">
        <w:rPr>
          <w:rtl/>
        </w:rPr>
        <w:t>المهمة المنقحة رقم 41.</w:t>
      </w:r>
    </w:p>
    <w:p w:rsidR="001351C5" w:rsidRDefault="001351C5" w:rsidP="001351C5">
      <w:pPr>
        <w:pStyle w:val="DecisionParaAR"/>
        <w:keepNext/>
      </w:pPr>
      <w:r>
        <w:rPr>
          <w:rFonts w:hint="cs"/>
          <w:rtl/>
        </w:rPr>
        <w:lastRenderedPageBreak/>
        <w:t xml:space="preserve">إن اللجنة مدعوة </w:t>
      </w:r>
      <w:proofErr w:type="gramStart"/>
      <w:r>
        <w:rPr>
          <w:rFonts w:hint="cs"/>
          <w:rtl/>
        </w:rPr>
        <w:t>إلى</w:t>
      </w:r>
      <w:proofErr w:type="gramEnd"/>
      <w:r>
        <w:rPr>
          <w:rFonts w:hint="cs"/>
          <w:rtl/>
        </w:rPr>
        <w:t>:</w:t>
      </w:r>
    </w:p>
    <w:p w:rsidR="001351C5" w:rsidRDefault="001351C5" w:rsidP="001351C5">
      <w:pPr>
        <w:pStyle w:val="DecisionParaAR"/>
        <w:numPr>
          <w:ilvl w:val="0"/>
          <w:numId w:val="0"/>
        </w:numPr>
        <w:tabs>
          <w:tab w:val="left" w:pos="6803"/>
        </w:tabs>
        <w:ind w:left="5534" w:firstLine="702"/>
        <w:rPr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  <w:t>الإحاطة علما بالمعلومات الواردة في هذه الوثيقة؛</w:t>
      </w:r>
    </w:p>
    <w:p w:rsidR="001351C5" w:rsidRDefault="001351C5" w:rsidP="001351C5">
      <w:pPr>
        <w:pStyle w:val="DecisionParaAR"/>
        <w:numPr>
          <w:ilvl w:val="0"/>
          <w:numId w:val="0"/>
        </w:numPr>
        <w:tabs>
          <w:tab w:val="left" w:pos="6803"/>
        </w:tabs>
        <w:ind w:left="5534" w:firstLine="702"/>
        <w:rPr>
          <w:rtl/>
          <w:lang w:val="fr-CH"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  <w:t xml:space="preserve">والنظر في المرفق الخامس لمعيار 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 xml:space="preserve"> </w:t>
      </w:r>
      <w:r>
        <w:t>ST.96</w:t>
      </w:r>
      <w:r w:rsidR="000009F0">
        <w:rPr>
          <w:rFonts w:hint="cs"/>
          <w:rtl/>
          <w:lang w:val="fr-CH"/>
        </w:rPr>
        <w:t>، الوارد في المرفق الأول لهذه الوثيقة، واعتماده؛</w:t>
      </w:r>
    </w:p>
    <w:p w:rsidR="000009F0" w:rsidRDefault="000009F0" w:rsidP="000009F0">
      <w:pPr>
        <w:pStyle w:val="DecisionParaAR"/>
        <w:numPr>
          <w:ilvl w:val="0"/>
          <w:numId w:val="0"/>
        </w:numPr>
        <w:tabs>
          <w:tab w:val="left" w:pos="6803"/>
        </w:tabs>
        <w:ind w:left="5534" w:firstLine="702"/>
        <w:rPr>
          <w:rtl/>
        </w:rPr>
      </w:pPr>
      <w:r>
        <w:rPr>
          <w:rFonts w:hint="cs"/>
          <w:rtl/>
          <w:lang w:val="fr-CH"/>
        </w:rPr>
        <w:t>(ج)</w:t>
      </w:r>
      <w:r>
        <w:rPr>
          <w:rFonts w:hint="cs"/>
          <w:rtl/>
          <w:lang w:val="fr-CH"/>
        </w:rPr>
        <w:tab/>
        <w:t xml:space="preserve">والنظر في المرفق السادس لمعيار </w:t>
      </w:r>
      <w:proofErr w:type="spellStart"/>
      <w:r>
        <w:rPr>
          <w:rFonts w:hint="cs"/>
          <w:rtl/>
          <w:lang w:val="fr-CH"/>
        </w:rPr>
        <w:t>الويبو</w:t>
      </w:r>
      <w:proofErr w:type="spellEnd"/>
      <w:r>
        <w:rPr>
          <w:rFonts w:hint="cs"/>
          <w:rtl/>
          <w:lang w:val="fr-CH"/>
        </w:rPr>
        <w:t xml:space="preserve"> </w:t>
      </w:r>
      <w:r>
        <w:t>ST.96</w:t>
      </w:r>
      <w:r>
        <w:rPr>
          <w:rFonts w:hint="cs"/>
          <w:rtl/>
        </w:rPr>
        <w:t xml:space="preserve">، الوارد في المرفق الثاني لهذه الوثيقة، والملحقات الثلاثة للمرفق السادس المقترح للمعيار </w:t>
      </w:r>
      <w:r>
        <w:t>ST.96</w:t>
      </w:r>
      <w:r>
        <w:rPr>
          <w:rFonts w:hint="cs"/>
          <w:rtl/>
        </w:rPr>
        <w:t xml:space="preserve"> كما أشير إلى ذلك في الفقرة 8، واعتماده؛</w:t>
      </w:r>
    </w:p>
    <w:p w:rsidR="000009F0" w:rsidRPr="000009F0" w:rsidRDefault="000009F0" w:rsidP="000009F0">
      <w:pPr>
        <w:pStyle w:val="DecisionParaAR"/>
        <w:numPr>
          <w:ilvl w:val="0"/>
          <w:numId w:val="0"/>
        </w:numPr>
        <w:tabs>
          <w:tab w:val="left" w:pos="6803"/>
        </w:tabs>
        <w:ind w:left="5534" w:firstLine="702"/>
        <w:rPr>
          <w:rtl/>
          <w:lang w:val="fr-CH"/>
        </w:rPr>
      </w:pPr>
      <w:r>
        <w:rPr>
          <w:rFonts w:hint="cs"/>
          <w:rtl/>
        </w:rPr>
        <w:t>(د)</w:t>
      </w:r>
      <w:r>
        <w:rPr>
          <w:rFonts w:hint="cs"/>
          <w:rtl/>
        </w:rPr>
        <w:tab/>
      </w:r>
      <w:proofErr w:type="gramStart"/>
      <w:r>
        <w:rPr>
          <w:rFonts w:hint="cs"/>
          <w:rtl/>
        </w:rPr>
        <w:t>والموافقة</w:t>
      </w:r>
      <w:proofErr w:type="gramEnd"/>
      <w:r>
        <w:rPr>
          <w:rFonts w:hint="cs"/>
          <w:rtl/>
        </w:rPr>
        <w:t xml:space="preserve"> على تعديل المهمة رقم 41 وإسناد المهمة رقم 41 المنقّحة لفرقة عمل </w:t>
      </w:r>
      <w:r>
        <w:t>XML4IP</w:t>
      </w:r>
      <w:r>
        <w:rPr>
          <w:rFonts w:hint="cs"/>
          <w:rtl/>
          <w:lang w:val="fr-CH"/>
        </w:rPr>
        <w:t xml:space="preserve"> كما هو مقترح في الفقرة 9 أعلاه.</w:t>
      </w:r>
    </w:p>
    <w:p w:rsidR="001351C5" w:rsidRDefault="001351C5" w:rsidP="000009F0">
      <w:pPr>
        <w:pStyle w:val="NumberedParaAR"/>
        <w:numPr>
          <w:ilvl w:val="0"/>
          <w:numId w:val="0"/>
        </w:numPr>
      </w:pPr>
    </w:p>
    <w:p w:rsidR="00F3645B" w:rsidRDefault="000009F0" w:rsidP="002F111B">
      <w:pPr>
        <w:pStyle w:val="EndofDocumentAR"/>
        <w:rPr>
          <w:rtl/>
        </w:rPr>
      </w:pPr>
      <w:r>
        <w:rPr>
          <w:rFonts w:hint="cs"/>
          <w:rtl/>
        </w:rPr>
        <w:t xml:space="preserve">[يلي ذلك </w:t>
      </w:r>
      <w:proofErr w:type="gramStart"/>
      <w:r w:rsidR="002F111B">
        <w:rPr>
          <w:rFonts w:hint="cs"/>
          <w:rtl/>
        </w:rPr>
        <w:t>المرفق</w:t>
      </w:r>
      <w:proofErr w:type="gramEnd"/>
      <w:r w:rsidR="002F111B">
        <w:rPr>
          <w:rFonts w:hint="cs"/>
          <w:rtl/>
        </w:rPr>
        <w:t xml:space="preserve"> الأول</w:t>
      </w:r>
      <w:r>
        <w:rPr>
          <w:rFonts w:hint="cs"/>
          <w:rtl/>
        </w:rPr>
        <w:t>]</w:t>
      </w:r>
    </w:p>
    <w:p w:rsidR="009F513E" w:rsidRPr="007F38D1" w:rsidRDefault="009F513E" w:rsidP="007F38D1">
      <w:pPr>
        <w:pStyle w:val="NormalParaAR"/>
        <w:rPr>
          <w:rtl/>
        </w:rPr>
      </w:pPr>
    </w:p>
    <w:p w:rsidR="009F513E" w:rsidRDefault="009F513E" w:rsidP="007F38D1">
      <w:pPr>
        <w:pStyle w:val="NormalParaAR"/>
        <w:rPr>
          <w:rtl/>
        </w:rPr>
      </w:pPr>
    </w:p>
    <w:p w:rsidR="000009F0" w:rsidRDefault="000009F0" w:rsidP="007F38D1">
      <w:pPr>
        <w:pStyle w:val="NormalParaAR"/>
        <w:rPr>
          <w:rtl/>
        </w:rPr>
      </w:pPr>
    </w:p>
    <w:p w:rsidR="000009F0" w:rsidRPr="007F38D1" w:rsidRDefault="000009F0" w:rsidP="007F38D1">
      <w:pPr>
        <w:pStyle w:val="NormalParaAR"/>
        <w:rPr>
          <w:rtl/>
        </w:rPr>
      </w:pPr>
    </w:p>
    <w:sectPr w:rsidR="000009F0" w:rsidRPr="007F38D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D4" w:rsidRDefault="008E3FD4">
      <w:r>
        <w:separator/>
      </w:r>
    </w:p>
  </w:endnote>
  <w:endnote w:type="continuationSeparator" w:id="0">
    <w:p w:rsidR="008E3FD4" w:rsidRDefault="008E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D4" w:rsidRDefault="008E3FD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E3FD4" w:rsidRDefault="008E3FD4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49520B">
    <w:r>
      <w:t>CWS</w:t>
    </w:r>
    <w:r w:rsidR="002F77FC">
      <w:t>/</w:t>
    </w:r>
    <w:r w:rsidR="008D5779">
      <w:t>4</w:t>
    </w:r>
    <w:r w:rsidR="007205B1">
      <w:t>BIS</w:t>
    </w:r>
    <w:r w:rsidR="002F77FC">
      <w:t>/</w:t>
    </w:r>
    <w:r w:rsidR="0049520B">
      <w:t>12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D03DE8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D4"/>
    <w:rsid w:val="000009F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1C5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2057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D62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11B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0673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5EBB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520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0C71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7EF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73B"/>
    <w:rsid w:val="00757B82"/>
    <w:rsid w:val="0076281A"/>
    <w:rsid w:val="00762ADE"/>
    <w:rsid w:val="0076365D"/>
    <w:rsid w:val="007642DC"/>
    <w:rsid w:val="007660E6"/>
    <w:rsid w:val="007661A9"/>
    <w:rsid w:val="007662C0"/>
    <w:rsid w:val="0076737C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6BB1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C5D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3FD4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5D22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16B8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C66A6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33D7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0255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6A6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3DE8"/>
    <w:rsid w:val="00D04AA9"/>
    <w:rsid w:val="00D04F76"/>
    <w:rsid w:val="00D053D2"/>
    <w:rsid w:val="00D073B4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645B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429B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Heading2AR"/>
    <w:next w:val="Normal"/>
    <w:qFormat/>
    <w:rsid w:val="00C90255"/>
    <w:pPr>
      <w:outlineLvl w:val="1"/>
    </w:p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styleId="Hyperlink">
    <w:name w:val="Hyperlink"/>
    <w:basedOn w:val="DefaultParagraphFont"/>
    <w:rsid w:val="001351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40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0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Heading2AR"/>
    <w:next w:val="Normal"/>
    <w:qFormat/>
    <w:rsid w:val="00C90255"/>
    <w:pPr>
      <w:outlineLvl w:val="1"/>
    </w:p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styleId="Hyperlink">
    <w:name w:val="Hyperlink"/>
    <w:basedOn w:val="DefaultParagraphFont"/>
    <w:rsid w:val="001351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40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0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edocs/mdocs/cws/en/cws_4_bis/cws_4_bis_12-appendix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CWS/4BIS/-- (Arabic)</vt:lpstr>
    </vt:vector>
  </TitlesOfParts>
  <Company>World Intellectual Property Organization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CWS/4BIS/12 (Arabic)</dc:title>
  <dc:subject>اقتراح بشأن المرفقين الخامس والسادس من معيار الويبو ST.96</dc:subject>
  <dc:creator>WIPO</dc:creator>
  <cp:lastModifiedBy>RODRIGUEZ Geraldine</cp:lastModifiedBy>
  <cp:revision>3</cp:revision>
  <cp:lastPrinted>2016-02-23T13:32:00Z</cp:lastPrinted>
  <dcterms:created xsi:type="dcterms:W3CDTF">2016-03-07T10:07:00Z</dcterms:created>
  <dcterms:modified xsi:type="dcterms:W3CDTF">2016-03-07T10:11:00Z</dcterms:modified>
</cp:coreProperties>
</file>