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00" w:rsidRPr="003F1089" w:rsidRDefault="00D75600" w:rsidP="00922253">
      <w:pPr>
        <w:pStyle w:val="NormalParaAR"/>
        <w:rPr>
          <w:b/>
          <w:bCs/>
          <w:rtl/>
        </w:rPr>
      </w:pPr>
      <w:r w:rsidRPr="003F1089">
        <w:rPr>
          <w:b/>
          <w:bCs/>
          <w:rtl/>
        </w:rPr>
        <w:t xml:space="preserve">تقرير عن إعداد معيار جديد </w:t>
      </w:r>
      <w:proofErr w:type="spellStart"/>
      <w:r w:rsidRPr="003F1089">
        <w:rPr>
          <w:b/>
          <w:bCs/>
          <w:rtl/>
        </w:rPr>
        <w:t>للويبو</w:t>
      </w:r>
      <w:proofErr w:type="spellEnd"/>
      <w:r w:rsidRPr="003F1089">
        <w:rPr>
          <w:b/>
          <w:bCs/>
          <w:rtl/>
        </w:rPr>
        <w:t xml:space="preserve"> بشأن عرض قوائم تسلسل </w:t>
      </w:r>
      <w:proofErr w:type="spellStart"/>
      <w:r w:rsidRPr="003F1089">
        <w:rPr>
          <w:b/>
          <w:bCs/>
          <w:rtl/>
        </w:rPr>
        <w:t>النوويدات</w:t>
      </w:r>
      <w:proofErr w:type="spellEnd"/>
      <w:r w:rsidRPr="003F1089">
        <w:rPr>
          <w:b/>
          <w:bCs/>
          <w:rtl/>
        </w:rPr>
        <w:t xml:space="preserve"> والأحماض الأمينية باستخدام لغة الترميز الموسعة</w:t>
      </w:r>
      <w:r w:rsidR="00922253">
        <w:rPr>
          <w:b/>
          <w:bCs/>
        </w:rPr>
        <w:t> </w:t>
      </w:r>
      <w:r w:rsidRPr="003F1089">
        <w:rPr>
          <w:b/>
          <w:bCs/>
          <w:rtl/>
        </w:rPr>
        <w:t>(</w:t>
      </w:r>
      <w:r w:rsidRPr="003F1089">
        <w:rPr>
          <w:b/>
          <w:bCs/>
        </w:rPr>
        <w:t>XML</w:t>
      </w:r>
      <w:r w:rsidRPr="003F1089">
        <w:rPr>
          <w:b/>
          <w:bCs/>
          <w:rtl/>
        </w:rPr>
        <w:t>)</w:t>
      </w:r>
    </w:p>
    <w:p w:rsidR="00D75600" w:rsidRPr="004405C3" w:rsidRDefault="00D75600" w:rsidP="00D75600">
      <w:pPr>
        <w:pStyle w:val="NormalParaAR"/>
        <w:spacing w:after="360"/>
        <w:rPr>
          <w:i/>
          <w:iCs/>
          <w:rtl/>
        </w:rPr>
      </w:pPr>
      <w:r w:rsidRPr="004405C3">
        <w:rPr>
          <w:rFonts w:hint="cs"/>
          <w:i/>
          <w:iCs/>
          <w:rtl/>
        </w:rPr>
        <w:t>وثيقة من إعداد المكتب الأوروبي للبراءات (</w:t>
      </w:r>
      <w:bookmarkStart w:id="2" w:name="_GoBack"/>
      <w:bookmarkEnd w:id="2"/>
      <w:r w:rsidRPr="004405C3">
        <w:rPr>
          <w:i/>
          <w:iCs/>
        </w:rPr>
        <w:t>EPO</w:t>
      </w:r>
      <w:r w:rsidRPr="004405C3">
        <w:rPr>
          <w:rFonts w:hint="cs"/>
          <w:i/>
          <w:iCs/>
          <w:rtl/>
        </w:rPr>
        <w:t>)</w:t>
      </w:r>
    </w:p>
    <w:p w:rsidR="00D75600" w:rsidRDefault="00D75600" w:rsidP="00922253">
      <w:pPr>
        <w:pStyle w:val="NumberedParaAR"/>
        <w:keepLines/>
        <w:numPr>
          <w:ilvl w:val="0"/>
          <w:numId w:val="0"/>
        </w:numPr>
      </w:pPr>
      <w:proofErr w:type="gramStart"/>
      <w:r>
        <w:rPr>
          <w:rFonts w:hint="cs"/>
          <w:rtl/>
        </w:rPr>
        <w:t>معلومات</w:t>
      </w:r>
      <w:proofErr w:type="gramEnd"/>
      <w:r>
        <w:rPr>
          <w:rFonts w:hint="cs"/>
          <w:rtl/>
        </w:rPr>
        <w:t xml:space="preserve"> أساسية</w:t>
      </w:r>
    </w:p>
    <w:p w:rsidR="00D75600" w:rsidRDefault="00D75600" w:rsidP="00922253">
      <w:pPr>
        <w:pStyle w:val="NumberedParaAR"/>
        <w:rPr>
          <w:rtl/>
        </w:rPr>
      </w:pPr>
      <w:r>
        <w:rPr>
          <w:rFonts w:hint="cs"/>
          <w:rtl/>
        </w:rPr>
        <w:t>أنشئت فرقة العمل المعنية بقوائم التسلسل (</w:t>
      </w:r>
      <w:r w:rsidRPr="00C91CFF">
        <w:t>SEQL</w:t>
      </w:r>
      <w:r>
        <w:rPr>
          <w:rFonts w:hint="cs"/>
          <w:rtl/>
        </w:rPr>
        <w:t xml:space="preserve">) من قبل اللجنة المعنية بمعايير </w:t>
      </w:r>
      <w:proofErr w:type="spellStart"/>
      <w:r>
        <w:rPr>
          <w:rFonts w:hint="cs"/>
          <w:rtl/>
        </w:rPr>
        <w:t>الويبو</w:t>
      </w:r>
      <w:proofErr w:type="spellEnd"/>
      <w:r>
        <w:rPr>
          <w:rFonts w:hint="cs"/>
          <w:rtl/>
        </w:rPr>
        <w:t xml:space="preserve"> (اللجنة)، في دورتها الأولى (من 25 إلى 29 أكتوبر 2010) من أجل إنجاز المهمة 44</w:t>
      </w:r>
      <w:r w:rsidR="00922253">
        <w:rPr>
          <w:rFonts w:hint="cs"/>
          <w:rtl/>
        </w:rPr>
        <w:t xml:space="preserve"> (انظر الفقرة 29 من الوثيقة </w:t>
      </w:r>
      <w:r w:rsidR="00922253" w:rsidRPr="00922253">
        <w:t>CWS/1/10</w:t>
      </w:r>
      <w:r>
        <w:rPr>
          <w:rFonts w:hint="cs"/>
          <w:rtl/>
        </w:rPr>
        <w:t>:</w:t>
      </w:r>
    </w:p>
    <w:p w:rsidR="00D75600" w:rsidRDefault="00D75600" w:rsidP="00D75600">
      <w:pPr>
        <w:pStyle w:val="NumberedParaAR"/>
        <w:numPr>
          <w:ilvl w:val="0"/>
          <w:numId w:val="0"/>
        </w:numPr>
        <w:ind w:left="555"/>
        <w:rPr>
          <w:rtl/>
        </w:rPr>
      </w:pPr>
      <w:r>
        <w:rPr>
          <w:rFonts w:hint="cs"/>
          <w:rtl/>
        </w:rPr>
        <w:t xml:space="preserve">"صياغة توصية بشأن </w:t>
      </w:r>
      <w:r w:rsidRPr="008461BE">
        <w:rPr>
          <w:rtl/>
        </w:rPr>
        <w:t>عر</w:t>
      </w:r>
      <w:r>
        <w:rPr>
          <w:rtl/>
        </w:rPr>
        <w:t xml:space="preserve">ض قوائم تسلسل </w:t>
      </w:r>
      <w:proofErr w:type="spellStart"/>
      <w:r>
        <w:rPr>
          <w:rtl/>
        </w:rPr>
        <w:t>النوويدات</w:t>
      </w:r>
      <w:proofErr w:type="spellEnd"/>
      <w:r>
        <w:rPr>
          <w:rtl/>
        </w:rPr>
        <w:t xml:space="preserve"> وال</w:t>
      </w:r>
      <w:r>
        <w:rPr>
          <w:rFonts w:hint="cs"/>
          <w:rtl/>
        </w:rPr>
        <w:t>أحماض</w:t>
      </w:r>
      <w:r w:rsidRPr="008461BE">
        <w:rPr>
          <w:rtl/>
        </w:rPr>
        <w:t xml:space="preserve"> الأمينية باستخدام لغة الترميز الموسعة</w:t>
      </w:r>
      <w:r>
        <w:rPr>
          <w:rFonts w:hint="cs"/>
          <w:rtl/>
        </w:rPr>
        <w:t xml:space="preserve"> </w:t>
      </w:r>
      <w:r w:rsidRPr="004E05DB">
        <w:rPr>
          <w:rtl/>
        </w:rPr>
        <w:t>(</w:t>
      </w:r>
      <w:r w:rsidRPr="004E05DB">
        <w:t>XML</w:t>
      </w:r>
      <w:r w:rsidRPr="004E05DB">
        <w:rPr>
          <w:rtl/>
        </w:rPr>
        <w:t>)</w:t>
      </w:r>
      <w:r>
        <w:rPr>
          <w:rFonts w:hint="cs"/>
          <w:rtl/>
        </w:rPr>
        <w:t xml:space="preserve"> لاعتمادها معيارا </w:t>
      </w:r>
      <w:proofErr w:type="spellStart"/>
      <w:r>
        <w:rPr>
          <w:rFonts w:hint="cs"/>
          <w:rtl/>
        </w:rPr>
        <w:t>للويبو</w:t>
      </w:r>
      <w:proofErr w:type="spellEnd"/>
      <w:r>
        <w:rPr>
          <w:rFonts w:hint="cs"/>
          <w:rtl/>
        </w:rPr>
        <w:t xml:space="preserve">. وينبغي تقديم اقتراح معيار </w:t>
      </w:r>
      <w:proofErr w:type="spellStart"/>
      <w:r>
        <w:rPr>
          <w:rFonts w:hint="cs"/>
          <w:rtl/>
        </w:rPr>
        <w:t>الويبو</w:t>
      </w:r>
      <w:proofErr w:type="spellEnd"/>
      <w:r>
        <w:rPr>
          <w:rFonts w:hint="cs"/>
          <w:rtl/>
        </w:rPr>
        <w:t xml:space="preserve"> الجديد إلى جانب تقرير بشأن وقع المعيار المذكور على معيار </w:t>
      </w:r>
      <w:proofErr w:type="spellStart"/>
      <w:r>
        <w:rPr>
          <w:rFonts w:hint="cs"/>
          <w:rtl/>
        </w:rPr>
        <w:t>الويبو</w:t>
      </w:r>
      <w:proofErr w:type="spellEnd"/>
      <w:r>
        <w:rPr>
          <w:rFonts w:hint="cs"/>
          <w:rtl/>
        </w:rPr>
        <w:t xml:space="preserve"> الحالي </w:t>
      </w:r>
      <w:r w:rsidRPr="000A6086">
        <w:t>ST.</w:t>
      </w:r>
      <w:proofErr w:type="gramStart"/>
      <w:r>
        <w:t>25</w:t>
      </w:r>
      <w:r>
        <w:rPr>
          <w:rFonts w:hint="cs"/>
          <w:rtl/>
        </w:rPr>
        <w:t>، إضافة إلى التغييرات الضرورية المقترح إدخالها على المعيار </w:t>
      </w:r>
      <w:r w:rsidRPr="000A6086">
        <w:t>ST.</w:t>
      </w:r>
      <w:r>
        <w:t>25</w:t>
      </w:r>
      <w:r>
        <w:rPr>
          <w:rFonts w:hint="cs"/>
          <w:rtl/>
        </w:rPr>
        <w:t>."</w:t>
      </w:r>
      <w:proofErr w:type="gramEnd"/>
    </w:p>
    <w:p w:rsidR="00D75600" w:rsidRDefault="00D75600" w:rsidP="00922253">
      <w:pPr>
        <w:pStyle w:val="NumberedParaAR"/>
        <w:rPr>
          <w:rtl/>
        </w:rPr>
      </w:pPr>
      <w:r>
        <w:rPr>
          <w:rFonts w:hint="cs"/>
          <w:rtl/>
        </w:rPr>
        <w:t>وطُلب من فرقة العمل أيضا ما يلي:</w:t>
      </w:r>
    </w:p>
    <w:p w:rsidR="00D75600" w:rsidRDefault="00D75600" w:rsidP="00D75600">
      <w:pPr>
        <w:pStyle w:val="NumberedParaAR"/>
        <w:numPr>
          <w:ilvl w:val="0"/>
          <w:numId w:val="0"/>
        </w:numPr>
        <w:ind w:left="555"/>
        <w:rPr>
          <w:rtl/>
        </w:rPr>
      </w:pPr>
      <w:r>
        <w:rPr>
          <w:rFonts w:hint="cs"/>
          <w:rtl/>
        </w:rPr>
        <w:t>"التنسيق مع الهيئة المناسبة من هيئات معاهدة التعاون بشأن البراءات فيما يخص الأثر المحتمل لذلك المعيار على المرفق جيم للتعليمات الإدارية الخاصة بتلك المعاهدة."</w:t>
      </w:r>
    </w:p>
    <w:p w:rsidR="00D75600" w:rsidRDefault="00D75600" w:rsidP="005F3680">
      <w:pPr>
        <w:pStyle w:val="NumberedParaAR"/>
      </w:pPr>
      <w:r>
        <w:rPr>
          <w:rFonts w:hint="cs"/>
          <w:rtl/>
        </w:rPr>
        <w:t>وأ</w:t>
      </w:r>
      <w:r w:rsidR="00782232">
        <w:rPr>
          <w:rFonts w:hint="cs"/>
          <w:rtl/>
        </w:rPr>
        <w:t>ُ</w:t>
      </w:r>
      <w:r>
        <w:rPr>
          <w:rFonts w:hint="cs"/>
          <w:rtl/>
        </w:rPr>
        <w:t xml:space="preserve">سند </w:t>
      </w:r>
      <w:r w:rsidR="00782232">
        <w:rPr>
          <w:rFonts w:hint="cs"/>
          <w:rtl/>
        </w:rPr>
        <w:t>إلى ا</w:t>
      </w:r>
      <w:r>
        <w:rPr>
          <w:rFonts w:hint="cs"/>
          <w:rtl/>
        </w:rPr>
        <w:t xml:space="preserve">لمكتب الأوروبي للبراءات دور المشرف على فرقة العمل وأجرى، منذ ذلك الوقت، </w:t>
      </w:r>
      <w:r w:rsidR="00EC1714">
        <w:rPr>
          <w:rFonts w:hint="cs"/>
          <w:rtl/>
        </w:rPr>
        <w:t>ست</w:t>
      </w:r>
      <w:r>
        <w:rPr>
          <w:rFonts w:hint="cs"/>
          <w:rtl/>
        </w:rPr>
        <w:t xml:space="preserve"> جولات من المناقشات على</w:t>
      </w:r>
      <w:r w:rsidR="00782232">
        <w:rPr>
          <w:rFonts w:hint="cs"/>
          <w:rtl/>
        </w:rPr>
        <w:t xml:space="preserve"> المنتدى الإلكتروني </w:t>
      </w:r>
      <w:proofErr w:type="spellStart"/>
      <w:r w:rsidR="00782232">
        <w:rPr>
          <w:rFonts w:hint="cs"/>
          <w:rtl/>
        </w:rPr>
        <w:t>للويبو</w:t>
      </w:r>
      <w:proofErr w:type="spellEnd"/>
      <w:r w:rsidR="00782232">
        <w:rPr>
          <w:rFonts w:hint="cs"/>
          <w:rtl/>
        </w:rPr>
        <w:t xml:space="preserve"> (الويكي) وقدم نسخة نهائية للمشروع ل</w:t>
      </w:r>
      <w:r w:rsidR="005F3680">
        <w:rPr>
          <w:rFonts w:hint="cs"/>
          <w:rtl/>
        </w:rPr>
        <w:t>استشارة الزبائن</w:t>
      </w:r>
      <w:r>
        <w:rPr>
          <w:rFonts w:hint="cs"/>
          <w:rtl/>
        </w:rPr>
        <w:t xml:space="preserve">. واتُّفق على مبدأ التمييز بين الجوانب التقنية للمعيار </w:t>
      </w:r>
      <w:r w:rsidRPr="000A6086">
        <w:t>ST.</w:t>
      </w:r>
      <w:r>
        <w:t>25</w:t>
      </w:r>
      <w:r>
        <w:rPr>
          <w:rFonts w:hint="cs"/>
          <w:rtl/>
        </w:rPr>
        <w:t xml:space="preserve"> والمرفق جيم (التعليمات الإدارية الخاصة بمعاهدة التعاون بشأن البراءات) في </w:t>
      </w:r>
      <w:r w:rsidR="00782232">
        <w:rPr>
          <w:rFonts w:hint="cs"/>
          <w:rtl/>
        </w:rPr>
        <w:t>الاجتماع الثامن عشر</w:t>
      </w:r>
      <w:r>
        <w:rPr>
          <w:rFonts w:hint="cs"/>
          <w:rtl/>
        </w:rPr>
        <w:t xml:space="preserve"> للإدارات الدولية</w:t>
      </w:r>
      <w:r w:rsidR="00782232">
        <w:rPr>
          <w:rFonts w:hint="cs"/>
          <w:rtl/>
        </w:rPr>
        <w:t xml:space="preserve"> في فبراير 2011 (انظر الفقرات من 88 إلى 92 من الوثيقة </w:t>
      </w:r>
      <w:r w:rsidR="00782232" w:rsidRPr="00782232">
        <w:t>PCT/MIA/18/16</w:t>
      </w:r>
      <w:r w:rsidR="00782232">
        <w:rPr>
          <w:rFonts w:hint="cs"/>
          <w:rtl/>
        </w:rPr>
        <w:t xml:space="preserve"> وفي ال</w:t>
      </w:r>
      <w:r>
        <w:rPr>
          <w:rFonts w:hint="cs"/>
          <w:rtl/>
        </w:rPr>
        <w:t>اجتماع</w:t>
      </w:r>
      <w:r w:rsidR="00782232">
        <w:rPr>
          <w:rFonts w:hint="cs"/>
          <w:rtl/>
        </w:rPr>
        <w:t xml:space="preserve"> الرابع ل</w:t>
      </w:r>
      <w:r>
        <w:rPr>
          <w:rFonts w:hint="cs"/>
          <w:rtl/>
        </w:rPr>
        <w:t xml:space="preserve">فريق العمل المعني </w:t>
      </w:r>
      <w:r w:rsidR="00782232">
        <w:rPr>
          <w:rFonts w:hint="cs"/>
          <w:rtl/>
        </w:rPr>
        <w:t>ب</w:t>
      </w:r>
      <w:r>
        <w:rPr>
          <w:rFonts w:hint="cs"/>
          <w:rtl/>
        </w:rPr>
        <w:t>معاهدة</w:t>
      </w:r>
      <w:r w:rsidR="00782232">
        <w:rPr>
          <w:rFonts w:hint="cs"/>
          <w:rtl/>
        </w:rPr>
        <w:t xml:space="preserve"> التعاون بشأن البراءات المنعقد في يونيو 2011 (انظر الفقرات من 180 إلى 188 من الوثيقة </w:t>
      </w:r>
      <w:r w:rsidR="00782232" w:rsidRPr="00782232">
        <w:t>PCT/WG/4/17</w:t>
      </w:r>
      <w:r w:rsidR="00782232">
        <w:rPr>
          <w:rFonts w:hint="cs"/>
          <w:rtl/>
        </w:rPr>
        <w:t>).</w:t>
      </w:r>
    </w:p>
    <w:p w:rsidR="00782232" w:rsidRDefault="005F3680" w:rsidP="005F3680">
      <w:pPr>
        <w:pStyle w:val="NumberedParaAR"/>
        <w:rPr>
          <w:rtl/>
        </w:rPr>
      </w:pPr>
      <w:proofErr w:type="gramStart"/>
      <w:r>
        <w:rPr>
          <w:rFonts w:hint="cs"/>
          <w:rtl/>
        </w:rPr>
        <w:t>وعلى</w:t>
      </w:r>
      <w:proofErr w:type="gramEnd"/>
      <w:r>
        <w:rPr>
          <w:rFonts w:hint="cs"/>
          <w:rtl/>
        </w:rPr>
        <w:t xml:space="preserve"> أساس التعليقات المستلمة من أعضاء فرقة العمل، عقدت جولة نقاش نهائية من أجل التوصل إلى اتفاق مشترك على شروط المعيار.</w:t>
      </w:r>
    </w:p>
    <w:p w:rsidR="00D75600" w:rsidRDefault="00D75600" w:rsidP="005F3680">
      <w:pPr>
        <w:pStyle w:val="NumberedParaAR"/>
        <w:keepLines/>
        <w:numPr>
          <w:ilvl w:val="0"/>
          <w:numId w:val="0"/>
        </w:numPr>
      </w:pPr>
      <w:proofErr w:type="gramStart"/>
      <w:r>
        <w:rPr>
          <w:rFonts w:hint="cs"/>
          <w:rtl/>
        </w:rPr>
        <w:t>التقرير</w:t>
      </w:r>
      <w:proofErr w:type="gramEnd"/>
      <w:r>
        <w:rPr>
          <w:rFonts w:hint="cs"/>
          <w:rtl/>
        </w:rPr>
        <w:t xml:space="preserve"> المرحلي</w:t>
      </w:r>
    </w:p>
    <w:p w:rsidR="00D75600" w:rsidRDefault="00D75600" w:rsidP="005F3680">
      <w:pPr>
        <w:pStyle w:val="NumberedParaAR"/>
        <w:rPr>
          <w:rtl/>
        </w:rPr>
      </w:pPr>
      <w:r>
        <w:rPr>
          <w:rFonts w:hint="cs"/>
          <w:rtl/>
        </w:rPr>
        <w:t xml:space="preserve">بدأت فرقة العمل نشاطها في فبراير 2011 استنادا إلى مشروعات أعدها المكتب الأوروبي للبراءات. وشاركت مكاتب عديدة في ذلك النشاط ونشرت تعليقات مفيدة على منتدى </w:t>
      </w:r>
      <w:proofErr w:type="spellStart"/>
      <w:r>
        <w:rPr>
          <w:rFonts w:hint="cs"/>
          <w:rtl/>
        </w:rPr>
        <w:t>الويبو</w:t>
      </w:r>
      <w:proofErr w:type="spellEnd"/>
      <w:r>
        <w:rPr>
          <w:rFonts w:hint="cs"/>
          <w:rtl/>
        </w:rPr>
        <w:t xml:space="preserve"> الإلكتروني المخصّص لهذا الغرض.</w:t>
      </w:r>
    </w:p>
    <w:p w:rsidR="00D75600" w:rsidRPr="000634DD" w:rsidRDefault="00D75600" w:rsidP="00120A1B">
      <w:pPr>
        <w:pStyle w:val="NumberedParaAR"/>
        <w:rPr>
          <w:rtl/>
        </w:rPr>
      </w:pPr>
      <w:proofErr w:type="gramStart"/>
      <w:r w:rsidRPr="000634DD">
        <w:rPr>
          <w:rFonts w:hint="cs"/>
          <w:rtl/>
        </w:rPr>
        <w:t>وفي</w:t>
      </w:r>
      <w:proofErr w:type="gramEnd"/>
      <w:r w:rsidRPr="000634DD">
        <w:rPr>
          <w:rFonts w:hint="cs"/>
          <w:rtl/>
        </w:rPr>
        <w:t xml:space="preserve"> مارس 2012، انتهت فرقة العمل من إعداد مشروع للمعيار أمكن للمكاتب استخدامه لاستشارة زبائنها بشأنه. </w:t>
      </w:r>
      <w:r w:rsidR="00120A1B" w:rsidRPr="000634DD">
        <w:rPr>
          <w:rtl/>
        </w:rPr>
        <w:t>وأثيرت عدة مسائل مهمة من خلال التعليقات التي وردت من الزبائن</w:t>
      </w:r>
      <w:r w:rsidR="00120A1B" w:rsidRPr="000634DD">
        <w:rPr>
          <w:rFonts w:hint="cs"/>
          <w:rtl/>
        </w:rPr>
        <w:t xml:space="preserve"> </w:t>
      </w:r>
      <w:r w:rsidR="005F3680" w:rsidRPr="000634DD">
        <w:rPr>
          <w:rFonts w:hint="cs"/>
          <w:rtl/>
        </w:rPr>
        <w:t xml:space="preserve">وعولجت بالتعاون مع </w:t>
      </w:r>
      <w:r w:rsidR="0080777C" w:rsidRPr="000634DD">
        <w:rPr>
          <w:rFonts w:hint="cs"/>
          <w:rtl/>
        </w:rPr>
        <w:t xml:space="preserve">موردي قواعد بيانات </w:t>
      </w:r>
      <w:r w:rsidR="0080777C" w:rsidRPr="000634DD">
        <w:rPr>
          <w:rtl/>
        </w:rPr>
        <w:t>بنك اليابان لبيانات الحمض النووي</w:t>
      </w:r>
      <w:r w:rsidR="0080777C" w:rsidRPr="000634DD">
        <w:rPr>
          <w:rFonts w:hint="cs"/>
          <w:rtl/>
        </w:rPr>
        <w:t xml:space="preserve"> (</w:t>
      </w:r>
      <w:r w:rsidR="0080777C" w:rsidRPr="000634DD">
        <w:t>DDBJ</w:t>
      </w:r>
      <w:r w:rsidR="0080777C" w:rsidRPr="000634DD">
        <w:rPr>
          <w:rFonts w:hint="cs"/>
          <w:rtl/>
        </w:rPr>
        <w:t>)، والمعهد الأوربي ل</w:t>
      </w:r>
      <w:r w:rsidR="0080777C" w:rsidRPr="000634DD">
        <w:rPr>
          <w:rtl/>
        </w:rPr>
        <w:t>لمعلومات البيولوجية</w:t>
      </w:r>
      <w:r w:rsidR="0080777C" w:rsidRPr="000634DD">
        <w:rPr>
          <w:rFonts w:hint="cs"/>
          <w:rtl/>
        </w:rPr>
        <w:t xml:space="preserve"> (</w:t>
      </w:r>
      <w:r w:rsidR="0080777C" w:rsidRPr="000634DD">
        <w:t>EBI</w:t>
      </w:r>
      <w:r w:rsidR="0080777C" w:rsidRPr="000634DD">
        <w:rPr>
          <w:rFonts w:hint="cs"/>
          <w:rtl/>
        </w:rPr>
        <w:t xml:space="preserve">)، والمركز الوطني لمعلومات </w:t>
      </w:r>
      <w:proofErr w:type="spellStart"/>
      <w:r w:rsidR="0080777C" w:rsidRPr="000634DD">
        <w:rPr>
          <w:rFonts w:hint="cs"/>
          <w:rtl/>
        </w:rPr>
        <w:t>البيوتكنولوجيا</w:t>
      </w:r>
      <w:proofErr w:type="spellEnd"/>
      <w:r w:rsidR="0080777C" w:rsidRPr="000634DD">
        <w:rPr>
          <w:rFonts w:hint="cs"/>
          <w:rtl/>
        </w:rPr>
        <w:t xml:space="preserve"> (</w:t>
      </w:r>
      <w:r w:rsidR="00120A1B" w:rsidRPr="000634DD">
        <w:t>NCBI</w:t>
      </w:r>
      <w:r w:rsidR="0080777C" w:rsidRPr="000634DD">
        <w:rPr>
          <w:rFonts w:hint="cs"/>
          <w:rtl/>
        </w:rPr>
        <w:t>)</w:t>
      </w:r>
      <w:r w:rsidR="00120A1B" w:rsidRPr="000634DD">
        <w:rPr>
          <w:rFonts w:hint="cs"/>
          <w:rtl/>
        </w:rPr>
        <w:t>.</w:t>
      </w:r>
    </w:p>
    <w:p w:rsidR="00120A1B" w:rsidRDefault="00120A1B" w:rsidP="00C02844">
      <w:pPr>
        <w:pStyle w:val="NumberedParaAR"/>
      </w:pPr>
      <w:r>
        <w:rPr>
          <w:rFonts w:hint="cs"/>
          <w:rtl/>
        </w:rPr>
        <w:t xml:space="preserve">وانتهت الجولة السادسة من المناقشات في سبتمبر 2013 وأدرجت في المشروع التحسينات </w:t>
      </w:r>
      <w:r w:rsidR="00C02844">
        <w:rPr>
          <w:rFonts w:hint="cs"/>
          <w:rtl/>
        </w:rPr>
        <w:t>التي نتجت</w:t>
      </w:r>
      <w:r>
        <w:rPr>
          <w:rFonts w:hint="cs"/>
          <w:rtl/>
        </w:rPr>
        <w:t xml:space="preserve"> عن استشارة الزبائن</w:t>
      </w:r>
      <w:r w:rsidR="00C02844">
        <w:rPr>
          <w:rFonts w:hint="cs"/>
          <w:rtl/>
        </w:rPr>
        <w:t xml:space="preserve"> والنقاشات الأخرى ما بين أعضاء فرقة العمل وموردي قواعد البيانات ونُشر ذلك المشروع على منتدى </w:t>
      </w:r>
      <w:proofErr w:type="spellStart"/>
      <w:r w:rsidR="00C02844">
        <w:rPr>
          <w:rFonts w:hint="cs"/>
          <w:rtl/>
        </w:rPr>
        <w:t>الويبو</w:t>
      </w:r>
      <w:proofErr w:type="spellEnd"/>
      <w:r w:rsidR="00C02844">
        <w:rPr>
          <w:rFonts w:hint="cs"/>
          <w:rtl/>
        </w:rPr>
        <w:t xml:space="preserve"> الإلكتروني لأغراض الاستعراض الأخير.</w:t>
      </w:r>
    </w:p>
    <w:p w:rsidR="00C02844" w:rsidRDefault="00C02844" w:rsidP="00C24ED2">
      <w:pPr>
        <w:pStyle w:val="NumberedParaAR"/>
      </w:pPr>
      <w:proofErr w:type="gramStart"/>
      <w:r>
        <w:rPr>
          <w:rFonts w:hint="cs"/>
          <w:rtl/>
        </w:rPr>
        <w:lastRenderedPageBreak/>
        <w:t>واستنادا</w:t>
      </w:r>
      <w:proofErr w:type="gramEnd"/>
      <w:r>
        <w:rPr>
          <w:rFonts w:hint="cs"/>
          <w:rtl/>
        </w:rPr>
        <w:t xml:space="preserve"> إلى </w:t>
      </w:r>
      <w:r>
        <w:rPr>
          <w:rtl/>
        </w:rPr>
        <w:t xml:space="preserve">تعليقات أعضاء فرقة العمل، </w:t>
      </w:r>
      <w:r>
        <w:rPr>
          <w:rFonts w:hint="cs"/>
          <w:rtl/>
        </w:rPr>
        <w:t xml:space="preserve">أجريت </w:t>
      </w:r>
      <w:r>
        <w:rPr>
          <w:rtl/>
        </w:rPr>
        <w:t>جولة</w:t>
      </w:r>
      <w:r>
        <w:rPr>
          <w:rFonts w:hint="cs"/>
          <w:rtl/>
        </w:rPr>
        <w:t xml:space="preserve"> نقاش </w:t>
      </w:r>
      <w:r>
        <w:rPr>
          <w:rtl/>
        </w:rPr>
        <w:t xml:space="preserve">أخيرة </w:t>
      </w:r>
      <w:r>
        <w:rPr>
          <w:rFonts w:hint="cs"/>
          <w:rtl/>
        </w:rPr>
        <w:t>ب</w:t>
      </w:r>
      <w:r>
        <w:rPr>
          <w:rtl/>
        </w:rPr>
        <w:t xml:space="preserve">هدف </w:t>
      </w:r>
      <w:r>
        <w:rPr>
          <w:rFonts w:hint="cs"/>
          <w:rtl/>
        </w:rPr>
        <w:t xml:space="preserve">التوصل إلى </w:t>
      </w:r>
      <w:r>
        <w:rPr>
          <w:rtl/>
        </w:rPr>
        <w:t xml:space="preserve">اتفاق مشترك </w:t>
      </w:r>
      <w:r>
        <w:rPr>
          <w:rFonts w:hint="cs"/>
          <w:rtl/>
        </w:rPr>
        <w:t>حول شروط المعيار.</w:t>
      </w:r>
      <w:r>
        <w:rPr>
          <w:rtl/>
        </w:rPr>
        <w:t xml:space="preserve"> </w:t>
      </w:r>
      <w:r>
        <w:rPr>
          <w:rFonts w:hint="cs"/>
          <w:rtl/>
        </w:rPr>
        <w:t xml:space="preserve">وأطلقت </w:t>
      </w:r>
      <w:r>
        <w:rPr>
          <w:rtl/>
        </w:rPr>
        <w:t>فرقة العمل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اسم</w:t>
      </w:r>
      <w:proofErr w:type="gramEnd"/>
      <w:r>
        <w:rPr>
          <w:rFonts w:hint="cs"/>
          <w:rtl/>
        </w:rPr>
        <w:t xml:space="preserve"> "</w:t>
      </w:r>
      <w:r>
        <w:rPr>
          <w:rtl/>
        </w:rPr>
        <w:t xml:space="preserve">المعيار </w:t>
      </w:r>
      <w:r>
        <w:t>ST.26</w:t>
      </w:r>
      <w:r>
        <w:rPr>
          <w:rFonts w:hint="cs"/>
          <w:rtl/>
        </w:rPr>
        <w:t>"</w:t>
      </w:r>
      <w:r>
        <w:rPr>
          <w:rtl/>
        </w:rPr>
        <w:t xml:space="preserve"> </w:t>
      </w:r>
      <w:r>
        <w:rPr>
          <w:rFonts w:hint="cs"/>
          <w:rtl/>
        </w:rPr>
        <w:t>بصفة مؤقتة على المعيار الجديد</w:t>
      </w:r>
      <w:r>
        <w:rPr>
          <w:rtl/>
        </w:rPr>
        <w:t xml:space="preserve">. </w:t>
      </w:r>
      <w:r w:rsidR="00C24ED2">
        <w:rPr>
          <w:rFonts w:hint="cs"/>
          <w:rtl/>
        </w:rPr>
        <w:t xml:space="preserve">ويتضمن المتن </w:t>
      </w:r>
      <w:r>
        <w:rPr>
          <w:rtl/>
        </w:rPr>
        <w:t>الرئيسي و</w:t>
      </w:r>
      <w:r w:rsidR="00C24ED2">
        <w:rPr>
          <w:rFonts w:hint="cs"/>
          <w:rtl/>
        </w:rPr>
        <w:t>المرفقات</w:t>
      </w:r>
      <w:r>
        <w:rPr>
          <w:rtl/>
        </w:rPr>
        <w:t xml:space="preserve"> </w:t>
      </w:r>
      <w:r w:rsidR="00C24ED2">
        <w:rPr>
          <w:rFonts w:hint="cs"/>
          <w:rtl/>
        </w:rPr>
        <w:t xml:space="preserve">التي تقترحها </w:t>
      </w:r>
      <w:r w:rsidR="00C24ED2">
        <w:rPr>
          <w:rtl/>
        </w:rPr>
        <w:t>فرقة العمل ل</w:t>
      </w:r>
      <w:r w:rsidR="00C24ED2">
        <w:rPr>
          <w:rFonts w:hint="cs"/>
          <w:rtl/>
        </w:rPr>
        <w:t>ت</w:t>
      </w:r>
      <w:r>
        <w:rPr>
          <w:rtl/>
        </w:rPr>
        <w:t>نظر فيها</w:t>
      </w:r>
      <w:r w:rsidR="00C24ED2">
        <w:rPr>
          <w:rFonts w:hint="cs"/>
          <w:rtl/>
        </w:rPr>
        <w:t xml:space="preserve"> اللجنة وت</w:t>
      </w:r>
      <w:r>
        <w:rPr>
          <w:rtl/>
        </w:rPr>
        <w:t xml:space="preserve">وافق </w:t>
      </w:r>
      <w:r w:rsidR="00C24ED2">
        <w:rPr>
          <w:rtl/>
        </w:rPr>
        <w:t>عل</w:t>
      </w:r>
      <w:r w:rsidR="00C24ED2">
        <w:rPr>
          <w:rFonts w:hint="cs"/>
          <w:rtl/>
        </w:rPr>
        <w:t xml:space="preserve">يها </w:t>
      </w:r>
      <w:r>
        <w:rPr>
          <w:rtl/>
        </w:rPr>
        <w:t>التحسينات التالية مقارنة</w:t>
      </w:r>
      <w:r w:rsidR="00C24ED2">
        <w:rPr>
          <w:rFonts w:hint="cs"/>
          <w:rtl/>
        </w:rPr>
        <w:t xml:space="preserve"> بالمعيار</w:t>
      </w:r>
      <w:r>
        <w:rPr>
          <w:rtl/>
        </w:rPr>
        <w:t xml:space="preserve"> </w:t>
      </w:r>
      <w:r>
        <w:t>ST.25</w:t>
      </w:r>
      <w:r>
        <w:rPr>
          <w:rtl/>
        </w:rPr>
        <w:t xml:space="preserve"> الحالي:</w:t>
      </w:r>
    </w:p>
    <w:p w:rsidR="00C02844" w:rsidRDefault="00C02844" w:rsidP="00867278">
      <w:pPr>
        <w:pStyle w:val="NumberedParaAR"/>
        <w:numPr>
          <w:ilvl w:val="0"/>
          <w:numId w:val="0"/>
        </w:numPr>
        <w:ind w:left="566"/>
      </w:pPr>
      <w:r>
        <w:rPr>
          <w:rtl/>
        </w:rPr>
        <w:t>(أ)</w:t>
      </w:r>
      <w:r w:rsidR="00C24ED2">
        <w:tab/>
      </w:r>
      <w:r w:rsidR="00936DA9">
        <w:rPr>
          <w:rFonts w:hint="cs"/>
          <w:rtl/>
        </w:rPr>
        <w:t>تُ</w:t>
      </w:r>
      <w:r>
        <w:rPr>
          <w:rtl/>
        </w:rPr>
        <w:t>نقل جميع المسائل الإجرائية</w:t>
      </w:r>
      <w:r w:rsidR="00936DA9">
        <w:rPr>
          <w:rFonts w:hint="cs"/>
          <w:rtl/>
        </w:rPr>
        <w:t xml:space="preserve"> (لمعاهدة التعاون بشأن البراءات)</w:t>
      </w:r>
      <w:r>
        <w:rPr>
          <w:rtl/>
        </w:rPr>
        <w:t xml:space="preserve"> إلى </w:t>
      </w:r>
      <w:r w:rsidR="00F42705">
        <w:rPr>
          <w:rtl/>
        </w:rPr>
        <w:t xml:space="preserve">التعليمات الإدارية </w:t>
      </w:r>
      <w:r w:rsidR="00F42705">
        <w:rPr>
          <w:rFonts w:hint="cs"/>
          <w:rtl/>
        </w:rPr>
        <w:t>ل</w:t>
      </w:r>
      <w:r>
        <w:rPr>
          <w:rtl/>
        </w:rPr>
        <w:t xml:space="preserve">معاهدة التعاون بشأن البراءات: يركز المعيار الجديد على الجوانب التقنية، وبالتالي </w:t>
      </w:r>
      <w:r w:rsidR="00F42705">
        <w:rPr>
          <w:rFonts w:hint="cs"/>
          <w:rtl/>
        </w:rPr>
        <w:t xml:space="preserve">فمن أجل تحقيق </w:t>
      </w:r>
      <w:r>
        <w:rPr>
          <w:rtl/>
        </w:rPr>
        <w:t xml:space="preserve">عرض أمثل لقوائم </w:t>
      </w:r>
      <w:r w:rsidR="00F42705">
        <w:rPr>
          <w:rFonts w:hint="cs"/>
          <w:rtl/>
        </w:rPr>
        <w:t>ال</w:t>
      </w:r>
      <w:r>
        <w:rPr>
          <w:rtl/>
        </w:rPr>
        <w:t xml:space="preserve">تسلسل (الجزء </w:t>
      </w:r>
      <w:r w:rsidR="00F42705">
        <w:rPr>
          <w:rFonts w:hint="cs"/>
          <w:rtl/>
        </w:rPr>
        <w:t>المتصل</w:t>
      </w:r>
      <w:r>
        <w:rPr>
          <w:rtl/>
        </w:rPr>
        <w:t xml:space="preserve"> </w:t>
      </w:r>
      <w:proofErr w:type="spellStart"/>
      <w:r w:rsidR="00867278">
        <w:rPr>
          <w:rFonts w:hint="cs"/>
          <w:rtl/>
        </w:rPr>
        <w:t>بالبيوتكنولوجيا</w:t>
      </w:r>
      <w:proofErr w:type="spellEnd"/>
      <w:r>
        <w:rPr>
          <w:rtl/>
        </w:rPr>
        <w:t>) والشكل المناسب لل</w:t>
      </w:r>
      <w:r w:rsidR="00F42705">
        <w:rPr>
          <w:rFonts w:hint="cs"/>
          <w:rtl/>
        </w:rPr>
        <w:t xml:space="preserve">مساهمات </w:t>
      </w:r>
      <w:r>
        <w:rPr>
          <w:rtl/>
        </w:rPr>
        <w:t>(أي</w:t>
      </w:r>
      <w:r w:rsidR="00F42705">
        <w:rPr>
          <w:rFonts w:hint="cs"/>
          <w:rtl/>
        </w:rPr>
        <w:t xml:space="preserve"> لغة الترميز الموسعة (</w:t>
      </w:r>
      <w:r w:rsidR="00F42705">
        <w:t>XML</w:t>
      </w:r>
      <w:r>
        <w:rPr>
          <w:rtl/>
        </w:rPr>
        <w:t>)؛</w:t>
      </w:r>
    </w:p>
    <w:p w:rsidR="00C02844" w:rsidRDefault="00C02844" w:rsidP="00867278">
      <w:pPr>
        <w:pStyle w:val="NumberedParaAR"/>
        <w:numPr>
          <w:ilvl w:val="0"/>
          <w:numId w:val="0"/>
        </w:numPr>
        <w:ind w:left="566"/>
      </w:pPr>
      <w:r>
        <w:rPr>
          <w:rtl/>
        </w:rPr>
        <w:t>(ب)</w:t>
      </w:r>
      <w:r w:rsidR="00C24ED2">
        <w:tab/>
      </w:r>
      <w:r w:rsidR="00867278">
        <w:rPr>
          <w:rFonts w:hint="cs"/>
          <w:rtl/>
        </w:rPr>
        <w:t xml:space="preserve">وحُسن </w:t>
      </w:r>
      <w:r w:rsidR="00867278">
        <w:rPr>
          <w:rtl/>
        </w:rPr>
        <w:t xml:space="preserve">بشكل كبير </w:t>
      </w:r>
      <w:r w:rsidR="00867278">
        <w:rPr>
          <w:rFonts w:hint="cs"/>
          <w:rtl/>
        </w:rPr>
        <w:t xml:space="preserve">أيضا </w:t>
      </w:r>
      <w:r w:rsidR="00867278">
        <w:rPr>
          <w:rtl/>
        </w:rPr>
        <w:t xml:space="preserve">الجزء </w:t>
      </w:r>
      <w:r w:rsidR="00867278">
        <w:rPr>
          <w:rFonts w:hint="cs"/>
          <w:rtl/>
        </w:rPr>
        <w:t>المتصل</w:t>
      </w:r>
      <w:r w:rsidR="00867278">
        <w:rPr>
          <w:rtl/>
        </w:rPr>
        <w:t xml:space="preserve"> </w:t>
      </w:r>
      <w:proofErr w:type="spellStart"/>
      <w:r w:rsidR="00867278">
        <w:rPr>
          <w:rFonts w:hint="cs"/>
          <w:rtl/>
        </w:rPr>
        <w:t>بالبيوتكنولوجيا</w:t>
      </w:r>
      <w:proofErr w:type="spellEnd"/>
      <w:r w:rsidR="00867278">
        <w:rPr>
          <w:rtl/>
        </w:rPr>
        <w:t xml:space="preserve"> </w:t>
      </w:r>
      <w:r w:rsidR="00867278">
        <w:rPr>
          <w:rFonts w:hint="cs"/>
          <w:rtl/>
        </w:rPr>
        <w:t>ليجسد</w:t>
      </w:r>
      <w:r>
        <w:rPr>
          <w:rtl/>
        </w:rPr>
        <w:t xml:space="preserve"> معايير الصناعة الحديثة</w:t>
      </w:r>
      <w:r w:rsidR="00867278">
        <w:rPr>
          <w:rFonts w:hint="cs"/>
          <w:rtl/>
        </w:rPr>
        <w:t xml:space="preserve"> ومن ذلك مثلا</w:t>
      </w:r>
      <w:r>
        <w:rPr>
          <w:rtl/>
        </w:rPr>
        <w:t>:</w:t>
      </w:r>
    </w:p>
    <w:p w:rsidR="00C02844" w:rsidRDefault="00C02844" w:rsidP="000634DD">
      <w:pPr>
        <w:pStyle w:val="NumberedParaAR"/>
        <w:numPr>
          <w:ilvl w:val="0"/>
          <w:numId w:val="0"/>
        </w:numPr>
        <w:spacing w:after="120"/>
        <w:ind w:left="1701" w:hanging="567"/>
      </w:pPr>
      <w:r>
        <w:rPr>
          <w:rtl/>
        </w:rPr>
        <w:t>•</w:t>
      </w:r>
      <w:r w:rsidR="00C24ED2">
        <w:tab/>
      </w:r>
      <w:r>
        <w:rPr>
          <w:rtl/>
        </w:rPr>
        <w:t xml:space="preserve">إدراج </w:t>
      </w:r>
      <w:proofErr w:type="spellStart"/>
      <w:r w:rsidR="00867278" w:rsidRPr="00867278">
        <w:rPr>
          <w:rtl/>
        </w:rPr>
        <w:t>النوويدات</w:t>
      </w:r>
      <w:proofErr w:type="spellEnd"/>
      <w:r w:rsidR="00867278" w:rsidRPr="00867278">
        <w:rPr>
          <w:rtl/>
        </w:rPr>
        <w:t xml:space="preserve"> والأحماض الأمينية </w:t>
      </w:r>
      <w:r w:rsidR="00867278">
        <w:rPr>
          <w:rFonts w:hint="cs"/>
          <w:rtl/>
        </w:rPr>
        <w:t xml:space="preserve">المعدلة التي </w:t>
      </w:r>
      <w:r>
        <w:rPr>
          <w:rtl/>
        </w:rPr>
        <w:t xml:space="preserve">لم </w:t>
      </w:r>
      <w:r w:rsidR="00867278">
        <w:rPr>
          <w:rFonts w:hint="cs"/>
          <w:rtl/>
        </w:rPr>
        <w:t xml:space="preserve">تكن مدرجة من قبل </w:t>
      </w:r>
      <w:r w:rsidR="00867278" w:rsidRPr="00867278">
        <w:rPr>
          <w:rtl/>
        </w:rPr>
        <w:t xml:space="preserve">(مثل حوامض </w:t>
      </w:r>
      <w:proofErr w:type="spellStart"/>
      <w:r w:rsidR="00867278" w:rsidRPr="00867278">
        <w:rPr>
          <w:rtl/>
        </w:rPr>
        <w:t>الديامين</w:t>
      </w:r>
      <w:proofErr w:type="spellEnd"/>
      <w:r w:rsidR="00867278" w:rsidRPr="00867278">
        <w:rPr>
          <w:rtl/>
        </w:rPr>
        <w:t> (</w:t>
      </w:r>
      <w:r w:rsidR="00867278" w:rsidRPr="00867278">
        <w:t>D-amino</w:t>
      </w:r>
      <w:r w:rsidR="00867278" w:rsidRPr="00867278">
        <w:rPr>
          <w:rtl/>
        </w:rPr>
        <w:t xml:space="preserve">)، وحمض </w:t>
      </w:r>
      <w:proofErr w:type="spellStart"/>
      <w:r w:rsidR="00867278" w:rsidRPr="00867278">
        <w:rPr>
          <w:rtl/>
        </w:rPr>
        <w:t>الببتيد</w:t>
      </w:r>
      <w:proofErr w:type="spellEnd"/>
      <w:r w:rsidR="00867278" w:rsidRPr="00867278">
        <w:rPr>
          <w:rtl/>
        </w:rPr>
        <w:t xml:space="preserve"> النووي (</w:t>
      </w:r>
      <w:r w:rsidR="00867278" w:rsidRPr="00867278">
        <w:t>PNA</w:t>
      </w:r>
      <w:r w:rsidR="00867278" w:rsidRPr="00867278">
        <w:rPr>
          <w:rtl/>
        </w:rPr>
        <w:t xml:space="preserve">)، </w:t>
      </w:r>
      <w:proofErr w:type="spellStart"/>
      <w:r w:rsidR="00867278" w:rsidRPr="00867278">
        <w:rPr>
          <w:rtl/>
        </w:rPr>
        <w:t>والمورفولينو</w:t>
      </w:r>
      <w:proofErr w:type="spellEnd"/>
      <w:r w:rsidR="00867278" w:rsidRPr="00867278">
        <w:rPr>
          <w:rtl/>
        </w:rPr>
        <w:t xml:space="preserve"> ((</w:t>
      </w:r>
      <w:proofErr w:type="spellStart"/>
      <w:r w:rsidR="00867278" w:rsidRPr="00867278">
        <w:t>morpholinos</w:t>
      </w:r>
      <w:proofErr w:type="spellEnd"/>
      <w:r w:rsidR="00867278" w:rsidRPr="00867278">
        <w:rPr>
          <w:rtl/>
        </w:rPr>
        <w:t xml:space="preserve"> إلى غير ذلك) والتي </w:t>
      </w:r>
      <w:r w:rsidR="0076261C">
        <w:rPr>
          <w:rFonts w:hint="cs"/>
          <w:rtl/>
        </w:rPr>
        <w:t>اكتسبت أهمية في الصناعة</w:t>
      </w:r>
      <w:r w:rsidR="00867278" w:rsidRPr="00867278">
        <w:rPr>
          <w:rtl/>
        </w:rPr>
        <w:t xml:space="preserve"> وتحتاج إلى أن تكون قابلة للبحث إلكترونيا</w:t>
      </w:r>
      <w:r>
        <w:rPr>
          <w:rtl/>
        </w:rPr>
        <w:t>؛</w:t>
      </w:r>
    </w:p>
    <w:p w:rsidR="00C02844" w:rsidRDefault="00C02844" w:rsidP="000634DD">
      <w:pPr>
        <w:pStyle w:val="NumberedParaAR"/>
        <w:numPr>
          <w:ilvl w:val="0"/>
          <w:numId w:val="0"/>
        </w:numPr>
        <w:spacing w:after="120"/>
        <w:ind w:left="1701" w:hanging="567"/>
      </w:pPr>
      <w:r>
        <w:rPr>
          <w:rtl/>
        </w:rPr>
        <w:t>•</w:t>
      </w:r>
      <w:r w:rsidR="00C24ED2">
        <w:tab/>
      </w:r>
      <w:r w:rsidR="0076261C" w:rsidRPr="0076261C">
        <w:rPr>
          <w:rtl/>
        </w:rPr>
        <w:t>ووضع تعليمات واضحة فيما يخص التسلسل</w:t>
      </w:r>
      <w:r w:rsidR="0076261C">
        <w:rPr>
          <w:rtl/>
        </w:rPr>
        <w:t xml:space="preserve">ات المتقطعة </w:t>
      </w:r>
      <w:proofErr w:type="gramStart"/>
      <w:r w:rsidR="0076261C">
        <w:rPr>
          <w:rtl/>
        </w:rPr>
        <w:t>وأنواع</w:t>
      </w:r>
      <w:proofErr w:type="gramEnd"/>
      <w:r w:rsidR="0076261C">
        <w:rPr>
          <w:rtl/>
        </w:rPr>
        <w:t xml:space="preserve"> التسلسلات</w:t>
      </w:r>
      <w:r>
        <w:rPr>
          <w:rtl/>
        </w:rPr>
        <w:t>؛</w:t>
      </w:r>
    </w:p>
    <w:p w:rsidR="00C02844" w:rsidRDefault="00C02844" w:rsidP="000634DD">
      <w:pPr>
        <w:pStyle w:val="NumberedParaAR"/>
        <w:numPr>
          <w:ilvl w:val="0"/>
          <w:numId w:val="0"/>
        </w:numPr>
        <w:spacing w:after="120"/>
        <w:ind w:left="1701" w:hanging="567"/>
      </w:pPr>
      <w:r>
        <w:rPr>
          <w:rtl/>
        </w:rPr>
        <w:t>•</w:t>
      </w:r>
      <w:r w:rsidR="00C24ED2">
        <w:tab/>
      </w:r>
      <w:r w:rsidR="0076261C">
        <w:rPr>
          <w:rtl/>
        </w:rPr>
        <w:t>وتوضيح السمات والشروحات</w:t>
      </w:r>
      <w:r>
        <w:rPr>
          <w:rtl/>
        </w:rPr>
        <w:t>؛</w:t>
      </w:r>
    </w:p>
    <w:p w:rsidR="00C02844" w:rsidRDefault="00C02844" w:rsidP="000634DD">
      <w:pPr>
        <w:pStyle w:val="NumberedParaAR"/>
        <w:numPr>
          <w:ilvl w:val="0"/>
          <w:numId w:val="0"/>
        </w:numPr>
        <w:spacing w:after="120"/>
        <w:ind w:left="1701" w:hanging="567"/>
      </w:pPr>
      <w:r>
        <w:rPr>
          <w:rtl/>
        </w:rPr>
        <w:t>•</w:t>
      </w:r>
      <w:r w:rsidR="00C24ED2">
        <w:tab/>
      </w:r>
      <w:proofErr w:type="spellStart"/>
      <w:r w:rsidR="0076261C">
        <w:rPr>
          <w:rFonts w:hint="cs"/>
          <w:rtl/>
        </w:rPr>
        <w:t>و</w:t>
      </w:r>
      <w:r w:rsidR="0076261C" w:rsidRPr="0076261C">
        <w:rPr>
          <w:rtl/>
        </w:rPr>
        <w:t>التماشي</w:t>
      </w:r>
      <w:proofErr w:type="spellEnd"/>
      <w:r w:rsidR="0076261C" w:rsidRPr="0076261C">
        <w:rPr>
          <w:rtl/>
        </w:rPr>
        <w:t xml:space="preserve"> مع آخر متطلبات اتحاد</w:t>
      </w:r>
      <w:r w:rsidR="0076261C">
        <w:rPr>
          <w:rFonts w:hint="cs"/>
          <w:rtl/>
        </w:rPr>
        <w:t>ات</w:t>
      </w:r>
      <w:r w:rsidR="0076261C" w:rsidRPr="0076261C">
        <w:rPr>
          <w:rtl/>
        </w:rPr>
        <w:t xml:space="preserve"> مراكز الإيداع العامة للتسلسلات البيولوجية (قاعدة البيانات الدولية لتسلسل </w:t>
      </w:r>
      <w:proofErr w:type="spellStart"/>
      <w:r w:rsidR="0076261C" w:rsidRPr="0076261C">
        <w:rPr>
          <w:rtl/>
        </w:rPr>
        <w:t>النوويدات</w:t>
      </w:r>
      <w:proofErr w:type="spellEnd"/>
      <w:r w:rsidR="0076261C" w:rsidRPr="0076261C">
        <w:rPr>
          <w:rtl/>
        </w:rPr>
        <w:t> (</w:t>
      </w:r>
      <w:r w:rsidR="0076261C" w:rsidRPr="0076261C">
        <w:t>INSDC</w:t>
      </w:r>
      <w:r w:rsidR="0076261C" w:rsidRPr="0076261C">
        <w:rPr>
          <w:rtl/>
        </w:rPr>
        <w:t>) وقاعدة البيانات العالمية للبروتينات (</w:t>
      </w:r>
      <w:proofErr w:type="spellStart"/>
      <w:r w:rsidR="0076261C" w:rsidRPr="0076261C">
        <w:t>UniProt</w:t>
      </w:r>
      <w:proofErr w:type="spellEnd"/>
      <w:r w:rsidR="0076261C" w:rsidRPr="0076261C">
        <w:rPr>
          <w:rtl/>
        </w:rPr>
        <w:t>))</w:t>
      </w:r>
      <w:r w:rsidR="0076261C">
        <w:rPr>
          <w:rFonts w:hint="cs"/>
          <w:rtl/>
        </w:rPr>
        <w:t>؛</w:t>
      </w:r>
    </w:p>
    <w:p w:rsidR="00C02844" w:rsidRDefault="00C02844" w:rsidP="00AA7496">
      <w:pPr>
        <w:pStyle w:val="NumberedParaAR"/>
        <w:numPr>
          <w:ilvl w:val="0"/>
          <w:numId w:val="0"/>
        </w:numPr>
        <w:ind w:left="1701" w:hanging="567"/>
      </w:pPr>
      <w:r>
        <w:rPr>
          <w:rtl/>
        </w:rPr>
        <w:t>•</w:t>
      </w:r>
      <w:r w:rsidR="00C24ED2">
        <w:tab/>
      </w:r>
      <w:r w:rsidR="0076261C" w:rsidRPr="0076261C">
        <w:rPr>
          <w:rtl/>
        </w:rPr>
        <w:t xml:space="preserve">وسيكون تعريف لغة الترميز الموسعة قائما بذاته </w:t>
      </w:r>
      <w:r w:rsidR="0076261C">
        <w:rPr>
          <w:rFonts w:hint="cs"/>
          <w:rtl/>
        </w:rPr>
        <w:t>ومستقلا عن</w:t>
      </w:r>
      <w:r w:rsidR="0076261C" w:rsidRPr="0076261C">
        <w:rPr>
          <w:rtl/>
        </w:rPr>
        <w:t xml:space="preserve"> المعيار </w:t>
      </w:r>
      <w:r w:rsidR="0076261C" w:rsidRPr="0076261C">
        <w:t>ST.</w:t>
      </w:r>
      <w:proofErr w:type="gramStart"/>
      <w:r w:rsidR="0076261C" w:rsidRPr="0076261C">
        <w:t>36</w:t>
      </w:r>
      <w:r w:rsidR="0076261C" w:rsidRPr="0076261C">
        <w:rPr>
          <w:rtl/>
        </w:rPr>
        <w:t xml:space="preserve"> </w:t>
      </w:r>
      <w:r w:rsidR="00AA7496">
        <w:rPr>
          <w:rFonts w:hint="cs"/>
          <w:rtl/>
        </w:rPr>
        <w:t>أو الم</w:t>
      </w:r>
      <w:r w:rsidR="0076261C" w:rsidRPr="0076261C">
        <w:rPr>
          <w:rtl/>
        </w:rPr>
        <w:t>عيار</w:t>
      </w:r>
      <w:r w:rsidR="00AA7496">
        <w:rPr>
          <w:rFonts w:hint="cs"/>
          <w:rtl/>
        </w:rPr>
        <w:t> </w:t>
      </w:r>
      <w:r w:rsidR="00AA7496" w:rsidRPr="00AA7496">
        <w:t>ST.96</w:t>
      </w:r>
      <w:r w:rsidR="00AA7496">
        <w:rPr>
          <w:rFonts w:hint="cs"/>
          <w:rtl/>
        </w:rPr>
        <w:t>.</w:t>
      </w:r>
      <w:proofErr w:type="gramEnd"/>
    </w:p>
    <w:p w:rsidR="00C02844" w:rsidRDefault="00C02844" w:rsidP="00AA7496">
      <w:pPr>
        <w:pStyle w:val="NumberedParaAR"/>
        <w:numPr>
          <w:ilvl w:val="0"/>
          <w:numId w:val="0"/>
        </w:numPr>
        <w:ind w:left="566"/>
      </w:pPr>
      <w:r>
        <w:rPr>
          <w:rtl/>
        </w:rPr>
        <w:t>(ج)</w:t>
      </w:r>
      <w:r w:rsidR="00557516">
        <w:tab/>
      </w:r>
      <w:r w:rsidR="00AA7496">
        <w:rPr>
          <w:rFonts w:hint="cs"/>
          <w:rtl/>
        </w:rPr>
        <w:t xml:space="preserve">والتركيب الذي يقدمه </w:t>
      </w:r>
      <w:r w:rsidR="00AA7496" w:rsidRPr="00AA7496">
        <w:rPr>
          <w:rtl/>
        </w:rPr>
        <w:t>تعريف أنواع الوثائق</w:t>
      </w:r>
      <w:r w:rsidR="00AA7496">
        <w:rPr>
          <w:rFonts w:hint="cs"/>
          <w:rtl/>
        </w:rPr>
        <w:t xml:space="preserve"> (</w:t>
      </w:r>
      <w:r w:rsidR="00AA7496" w:rsidRPr="00AA7496">
        <w:t>DTD</w:t>
      </w:r>
      <w:r w:rsidR="00AA7496">
        <w:rPr>
          <w:rFonts w:hint="cs"/>
          <w:rtl/>
        </w:rPr>
        <w:t>)</w:t>
      </w:r>
      <w:r>
        <w:rPr>
          <w:rtl/>
        </w:rPr>
        <w:t xml:space="preserve"> المستخدم في</w:t>
      </w:r>
      <w:r w:rsidR="00AA7496">
        <w:rPr>
          <w:rFonts w:hint="cs"/>
          <w:rtl/>
        </w:rPr>
        <w:t xml:space="preserve"> المعيار</w:t>
      </w:r>
      <w:r>
        <w:rPr>
          <w:rtl/>
        </w:rPr>
        <w:t xml:space="preserve"> </w:t>
      </w:r>
      <w:r>
        <w:t>ST.</w:t>
      </w:r>
      <w:proofErr w:type="gramStart"/>
      <w:r>
        <w:t>26</w:t>
      </w:r>
      <w:r>
        <w:rPr>
          <w:rtl/>
        </w:rPr>
        <w:t xml:space="preserve"> يزيد من دقة البيانات ويتيح </w:t>
      </w:r>
      <w:r w:rsidR="00AA7496">
        <w:rPr>
          <w:rFonts w:hint="cs"/>
          <w:rtl/>
        </w:rPr>
        <w:t xml:space="preserve">إمكانية </w:t>
      </w:r>
      <w:r>
        <w:rPr>
          <w:rtl/>
        </w:rPr>
        <w:t>مراقبة</w:t>
      </w:r>
      <w:r w:rsidR="00AA7496">
        <w:rPr>
          <w:rFonts w:hint="cs"/>
          <w:rtl/>
        </w:rPr>
        <w:t xml:space="preserve"> </w:t>
      </w:r>
      <w:r>
        <w:rPr>
          <w:rtl/>
        </w:rPr>
        <w:t xml:space="preserve">جودة </w:t>
      </w:r>
      <w:r w:rsidR="00AA7496">
        <w:rPr>
          <w:rFonts w:hint="cs"/>
          <w:rtl/>
        </w:rPr>
        <w:t>ا</w:t>
      </w:r>
      <w:r w:rsidR="00AA7496">
        <w:rPr>
          <w:rtl/>
        </w:rPr>
        <w:t xml:space="preserve">لبيانات </w:t>
      </w:r>
      <w:r>
        <w:rPr>
          <w:rtl/>
        </w:rPr>
        <w:t>تلقائي</w:t>
      </w:r>
      <w:r w:rsidR="00AA7496">
        <w:rPr>
          <w:rFonts w:hint="cs"/>
          <w:rtl/>
        </w:rPr>
        <w:t>ا.</w:t>
      </w:r>
      <w:proofErr w:type="gramEnd"/>
    </w:p>
    <w:p w:rsidR="00C02844" w:rsidRDefault="00C02844" w:rsidP="00AA7496">
      <w:pPr>
        <w:pStyle w:val="NumberedParaAR"/>
        <w:rPr>
          <w:rtl/>
        </w:rPr>
      </w:pPr>
      <w:r>
        <w:rPr>
          <w:rtl/>
        </w:rPr>
        <w:t xml:space="preserve">وستواصل فرقة العمل </w:t>
      </w:r>
      <w:r w:rsidR="00AA7496">
        <w:rPr>
          <w:rFonts w:hint="cs"/>
          <w:rtl/>
        </w:rPr>
        <w:t xml:space="preserve">دراسة </w:t>
      </w:r>
      <w:r>
        <w:rPr>
          <w:rtl/>
        </w:rPr>
        <w:t xml:space="preserve">جوانب </w:t>
      </w:r>
      <w:r w:rsidR="00AA7496">
        <w:rPr>
          <w:rFonts w:hint="cs"/>
          <w:rtl/>
        </w:rPr>
        <w:t>الانتقال</w:t>
      </w:r>
      <w:r>
        <w:rPr>
          <w:rtl/>
        </w:rPr>
        <w:t xml:space="preserve"> في 2014 و2015 بهدف </w:t>
      </w:r>
      <w:proofErr w:type="gramStart"/>
      <w:r>
        <w:rPr>
          <w:rtl/>
        </w:rPr>
        <w:t>تقديم</w:t>
      </w:r>
      <w:proofErr w:type="gramEnd"/>
      <w:r>
        <w:rPr>
          <w:rtl/>
        </w:rPr>
        <w:t xml:space="preserve"> </w:t>
      </w:r>
      <w:r w:rsidR="00AA7496">
        <w:rPr>
          <w:rtl/>
        </w:rPr>
        <w:t xml:space="preserve">توصيات </w:t>
      </w:r>
      <w:r w:rsidR="00AA7496">
        <w:rPr>
          <w:rFonts w:hint="cs"/>
          <w:rtl/>
        </w:rPr>
        <w:t>بشأن ا</w:t>
      </w:r>
      <w:r w:rsidR="00AA7496">
        <w:rPr>
          <w:rtl/>
        </w:rPr>
        <w:t>لانتقال من</w:t>
      </w:r>
      <w:r w:rsidR="00AA7496">
        <w:rPr>
          <w:rFonts w:hint="cs"/>
          <w:rtl/>
        </w:rPr>
        <w:t xml:space="preserve"> المعيار</w:t>
      </w:r>
      <w:r w:rsidR="00AA7496">
        <w:rPr>
          <w:rFonts w:hint="eastAsia"/>
          <w:rtl/>
        </w:rPr>
        <w:t> </w:t>
      </w:r>
      <w:r w:rsidR="00AA7496">
        <w:t>ST.25</w:t>
      </w:r>
      <w:r w:rsidR="00AA7496">
        <w:rPr>
          <w:rtl/>
        </w:rPr>
        <w:t xml:space="preserve"> إلى</w:t>
      </w:r>
      <w:r w:rsidR="00AA7496">
        <w:rPr>
          <w:rFonts w:hint="cs"/>
          <w:rtl/>
        </w:rPr>
        <w:t xml:space="preserve"> المعيار</w:t>
      </w:r>
      <w:r w:rsidR="00AA7496">
        <w:rPr>
          <w:rFonts w:hint="eastAsia"/>
          <w:rtl/>
        </w:rPr>
        <w:t> </w:t>
      </w:r>
      <w:r w:rsidR="00AA7496">
        <w:t>ST.26</w:t>
      </w:r>
      <w:r w:rsidR="00AA7496">
        <w:rPr>
          <w:rtl/>
        </w:rPr>
        <w:t xml:space="preserve"> </w:t>
      </w:r>
      <w:r>
        <w:rPr>
          <w:rtl/>
        </w:rPr>
        <w:t>ل</w:t>
      </w:r>
      <w:r w:rsidR="00AA7496">
        <w:rPr>
          <w:rFonts w:hint="cs"/>
          <w:rtl/>
        </w:rPr>
        <w:t>ت</w:t>
      </w:r>
      <w:r>
        <w:rPr>
          <w:rtl/>
        </w:rPr>
        <w:t>نظر فيها</w:t>
      </w:r>
      <w:r w:rsidR="00AA7496">
        <w:rPr>
          <w:rFonts w:hint="cs"/>
          <w:rtl/>
        </w:rPr>
        <w:t xml:space="preserve"> اللجنة</w:t>
      </w:r>
      <w:r>
        <w:rPr>
          <w:rtl/>
        </w:rPr>
        <w:t xml:space="preserve"> و</w:t>
      </w:r>
      <w:r w:rsidR="00AA7496">
        <w:rPr>
          <w:rFonts w:hint="cs"/>
          <w:rtl/>
        </w:rPr>
        <w:t>ت</w:t>
      </w:r>
      <w:r>
        <w:rPr>
          <w:rtl/>
        </w:rPr>
        <w:t>وافق</w:t>
      </w:r>
      <w:r w:rsidR="00AA7496">
        <w:rPr>
          <w:rtl/>
        </w:rPr>
        <w:t xml:space="preserve"> عل</w:t>
      </w:r>
      <w:r w:rsidR="00AA7496">
        <w:rPr>
          <w:rFonts w:hint="cs"/>
          <w:rtl/>
        </w:rPr>
        <w:t xml:space="preserve">يها </w:t>
      </w:r>
      <w:r>
        <w:rPr>
          <w:rtl/>
        </w:rPr>
        <w:t>في دورته</w:t>
      </w:r>
      <w:r w:rsidR="00AA7496">
        <w:rPr>
          <w:rFonts w:hint="cs"/>
          <w:rtl/>
        </w:rPr>
        <w:t>ا</w:t>
      </w:r>
      <w:r>
        <w:rPr>
          <w:rtl/>
        </w:rPr>
        <w:t xml:space="preserve"> الخامسة</w:t>
      </w:r>
      <w:r w:rsidR="00AA7496">
        <w:rPr>
          <w:rFonts w:hint="cs"/>
          <w:rtl/>
        </w:rPr>
        <w:t>.</w:t>
      </w:r>
    </w:p>
    <w:p w:rsidR="00D75600" w:rsidRDefault="00D75600" w:rsidP="00936DA9">
      <w:pPr>
        <w:pStyle w:val="NumberedParaAR"/>
        <w:keepLines/>
        <w:numPr>
          <w:ilvl w:val="0"/>
          <w:numId w:val="0"/>
        </w:numPr>
      </w:pPr>
      <w:r>
        <w:rPr>
          <w:rFonts w:hint="cs"/>
          <w:rtl/>
        </w:rPr>
        <w:t>خ</w:t>
      </w:r>
      <w:r w:rsidR="00936DA9">
        <w:rPr>
          <w:rFonts w:hint="cs"/>
          <w:rtl/>
        </w:rPr>
        <w:t>ا</w:t>
      </w:r>
      <w:r>
        <w:rPr>
          <w:rFonts w:hint="cs"/>
          <w:rtl/>
        </w:rPr>
        <w:t>رطة الطريق</w:t>
      </w:r>
    </w:p>
    <w:p w:rsidR="00D75600" w:rsidRDefault="00D75600" w:rsidP="000634DD">
      <w:pPr>
        <w:pStyle w:val="NumberedParaAR"/>
        <w:rPr>
          <w:rtl/>
        </w:rPr>
      </w:pPr>
      <w:proofErr w:type="gramStart"/>
      <w:r>
        <w:rPr>
          <w:rFonts w:hint="cs"/>
          <w:rtl/>
        </w:rPr>
        <w:t>ستُجرى</w:t>
      </w:r>
      <w:proofErr w:type="gramEnd"/>
      <w:r>
        <w:rPr>
          <w:rFonts w:hint="cs"/>
          <w:rtl/>
        </w:rPr>
        <w:t xml:space="preserve"> جولة </w:t>
      </w:r>
      <w:r w:rsidR="00A63FBB">
        <w:rPr>
          <w:rFonts w:hint="cs"/>
          <w:rtl/>
        </w:rPr>
        <w:t>جديدة</w:t>
      </w:r>
      <w:r>
        <w:rPr>
          <w:rFonts w:hint="cs"/>
          <w:rtl/>
        </w:rPr>
        <w:t xml:space="preserve"> من المناقشات </w:t>
      </w:r>
      <w:r w:rsidR="00A63FBB">
        <w:rPr>
          <w:rFonts w:hint="cs"/>
          <w:rtl/>
        </w:rPr>
        <w:t>بعد الدورة الرابعة للجنة</w:t>
      </w:r>
      <w:r w:rsidR="000634DD">
        <w:rPr>
          <w:rFonts w:hint="cs"/>
          <w:rtl/>
        </w:rPr>
        <w:t xml:space="preserve"> وستركز على إعداد التوصيات بشأن مرحلة الانتقال، التي ستقدم إلى دورة اللجنة في 2015.</w:t>
      </w:r>
    </w:p>
    <w:p w:rsidR="00D75600" w:rsidRPr="0009748D" w:rsidRDefault="00D75600" w:rsidP="000634DD">
      <w:pPr>
        <w:pStyle w:val="EndofDocumentAR"/>
      </w:pPr>
      <w:r>
        <w:rPr>
          <w:rFonts w:hint="cs"/>
          <w:rtl/>
        </w:rPr>
        <w:t>[</w:t>
      </w:r>
      <w:r w:rsidR="000634DD">
        <w:rPr>
          <w:rFonts w:hint="cs"/>
          <w:rtl/>
        </w:rPr>
        <w:t xml:space="preserve">يلي ذلك </w:t>
      </w:r>
      <w:proofErr w:type="gramStart"/>
      <w:r w:rsidR="000634DD">
        <w:rPr>
          <w:rFonts w:hint="cs"/>
          <w:rtl/>
        </w:rPr>
        <w:t>المرفق</w:t>
      </w:r>
      <w:proofErr w:type="gramEnd"/>
      <w:r w:rsidR="000634DD">
        <w:rPr>
          <w:rFonts w:hint="cs"/>
          <w:rtl/>
        </w:rPr>
        <w:t xml:space="preserve"> الثاني</w:t>
      </w:r>
      <w:r>
        <w:rPr>
          <w:rFonts w:hint="cs"/>
          <w:rtl/>
        </w:rPr>
        <w:t>]</w:t>
      </w:r>
    </w:p>
    <w:sectPr w:rsidR="00D75600" w:rsidRPr="0009748D" w:rsidSect="00EB7752">
      <w:headerReference w:type="default" r:id="rId8"/>
      <w:headerReference w:type="firs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DAB" w:rsidRDefault="00B46DAB">
      <w:r>
        <w:separator/>
      </w:r>
    </w:p>
  </w:endnote>
  <w:endnote w:type="continuationSeparator" w:id="0">
    <w:p w:rsidR="00B46DAB" w:rsidRDefault="00B46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DAB" w:rsidRDefault="00B46DAB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B46DAB" w:rsidRDefault="00B46DAB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ED2" w:rsidRDefault="00C24ED2" w:rsidP="00C24ED2">
    <w:pPr>
      <w:pStyle w:val="Header"/>
    </w:pPr>
    <w:r>
      <w:t>CWS 4/7</w:t>
    </w:r>
  </w:p>
  <w:p w:rsidR="00C24ED2" w:rsidRDefault="00C24ED2" w:rsidP="00C24ED2">
    <w:pPr>
      <w:pStyle w:val="Header"/>
    </w:pPr>
    <w:r>
      <w:t>Annex</w:t>
    </w:r>
    <w:r w:rsidR="000634DD">
      <w:t xml:space="preserve"> I</w:t>
    </w:r>
  </w:p>
  <w:p w:rsidR="00276B93" w:rsidRDefault="00276B93" w:rsidP="00D61541">
    <w:r>
      <w:fldChar w:fldCharType="begin"/>
    </w:r>
    <w:r>
      <w:instrText xml:space="preserve"> PAGE  \* MERGEFORMAT </w:instrText>
    </w:r>
    <w:r>
      <w:fldChar w:fldCharType="separate"/>
    </w:r>
    <w:r w:rsidR="003E6E3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600" w:rsidRDefault="00922253" w:rsidP="00D75600">
    <w:pPr>
      <w:pStyle w:val="Header"/>
    </w:pPr>
    <w:r>
      <w:t>CWS 4/7</w:t>
    </w:r>
  </w:p>
  <w:p w:rsidR="00D75600" w:rsidRDefault="00D75600" w:rsidP="00D75600">
    <w:pPr>
      <w:pStyle w:val="Header"/>
    </w:pPr>
    <w:r>
      <w:t>ANNEX</w:t>
    </w:r>
    <w:r w:rsidR="000634DD">
      <w:t xml:space="preserve"> I</w:t>
    </w:r>
  </w:p>
  <w:p w:rsidR="00D75600" w:rsidRPr="005D40F3" w:rsidRDefault="00D75600" w:rsidP="00D75600">
    <w:pPr>
      <w:pStyle w:val="Header"/>
      <w:rPr>
        <w:rFonts w:ascii="Arabic Typesetting" w:hAnsi="Arabic Typesetting" w:cs="Arabic Typesetting"/>
        <w:sz w:val="36"/>
        <w:szCs w:val="36"/>
        <w:rtl/>
      </w:rPr>
    </w:pPr>
    <w:proofErr w:type="gramStart"/>
    <w:r w:rsidRPr="005D40F3">
      <w:rPr>
        <w:rFonts w:ascii="Arabic Typesetting" w:hAnsi="Arabic Typesetting" w:cs="Arabic Typesetting"/>
        <w:sz w:val="36"/>
        <w:szCs w:val="36"/>
        <w:rtl/>
      </w:rPr>
      <w:t>المرفق</w:t>
    </w:r>
    <w:proofErr w:type="gramEnd"/>
    <w:r w:rsidR="000634DD">
      <w:rPr>
        <w:rFonts w:ascii="Arabic Typesetting" w:hAnsi="Arabic Typesetting" w:cs="Arabic Typesetting" w:hint="cs"/>
        <w:sz w:val="36"/>
        <w:szCs w:val="36"/>
        <w:rtl/>
      </w:rPr>
      <w:t xml:space="preserve"> الأول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  <w:lvlOverride w:ilvl="0">
      <w:startOverride w:val="1"/>
    </w:lvlOverride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00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249E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4DD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0A1B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7DF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56FA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6B93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3BB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E33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237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AB6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516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680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61C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232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77C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67278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253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DA9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1242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3FBB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496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6DA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3CF6"/>
    <w:rsid w:val="00BB40DF"/>
    <w:rsid w:val="00BB5E2C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844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4ED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600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2F33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1714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2705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7F3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639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CWS/3/6/Annex (Arabic)</vt:lpstr>
    </vt:vector>
  </TitlesOfParts>
  <Company>World Intellectual Property Organization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CWS/3/7 Annex I (in Arabic)</dc:title>
  <dc:subject>تقرير عن إعداد معيار جديد للويبو بشأن عرض قوائم تسلسل النوويدات والأحماض الأمينية باستخدام لغة الترميز الموسعة (XML)</dc:subject>
  <dc:creator>WIPO</dc:creator>
  <cp:lastModifiedBy>Geraldine Rodriguez</cp:lastModifiedBy>
  <cp:revision>3</cp:revision>
  <cp:lastPrinted>2011-07-08T11:30:00Z</cp:lastPrinted>
  <dcterms:created xsi:type="dcterms:W3CDTF">2014-05-05T10:09:00Z</dcterms:created>
  <dcterms:modified xsi:type="dcterms:W3CDTF">2014-05-05T10:30:00Z</dcterms:modified>
</cp:coreProperties>
</file>