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80A" w:rsidRPr="005517C9" w:rsidRDefault="005517C9" w:rsidP="005517C9">
      <w:pPr>
        <w:pStyle w:val="NormalParaAR"/>
        <w:keepNext/>
        <w:rPr>
          <w:b/>
          <w:bCs/>
          <w:sz w:val="40"/>
          <w:szCs w:val="40"/>
          <w:lang w:bidi="ar-EG"/>
        </w:rPr>
      </w:pPr>
      <w:r w:rsidRPr="005517C9">
        <w:rPr>
          <w:rFonts w:hint="cs"/>
          <w:b/>
          <w:bCs/>
          <w:sz w:val="40"/>
          <w:szCs w:val="40"/>
          <w:rtl/>
          <w:lang w:bidi="ar-EG"/>
        </w:rPr>
        <w:t xml:space="preserve">اقتراح لمراجعة الفقرة 14 من معيار الويبو </w:t>
      </w:r>
      <w:r w:rsidRPr="005517C9">
        <w:rPr>
          <w:b/>
          <w:bCs/>
          <w:sz w:val="40"/>
          <w:szCs w:val="40"/>
          <w:lang w:bidi="ar-EG"/>
        </w:rPr>
        <w:t>ST.14</w:t>
      </w:r>
    </w:p>
    <w:p w:rsidR="00E9691D" w:rsidRDefault="00AD10B2" w:rsidP="001F1D10">
      <w:pPr>
        <w:pStyle w:val="NumberedParaAR"/>
        <w:rPr>
          <w:lang w:bidi="ar-EG"/>
        </w:rPr>
      </w:pPr>
      <w:r>
        <w:rPr>
          <w:rFonts w:hint="cs"/>
          <w:rtl/>
          <w:lang w:bidi="ar-EG"/>
        </w:rPr>
        <w:t xml:space="preserve">يحتوي هذا المرفق على اقتراح مراجعة الفقرة 14 من معيار الويبو </w:t>
      </w:r>
      <w:r>
        <w:rPr>
          <w:lang w:bidi="ar-EG"/>
        </w:rPr>
        <w:t>ST.14</w:t>
      </w:r>
      <w:r>
        <w:rPr>
          <w:rFonts w:hint="cs"/>
          <w:rtl/>
          <w:lang w:bidi="ar-EG"/>
        </w:rPr>
        <w:t xml:space="preserve"> والذي أعدته فرقة العمل المعنية بالمعيار </w:t>
      </w:r>
      <w:r>
        <w:rPr>
          <w:lang w:bidi="ar-EG"/>
        </w:rPr>
        <w:t>ST.14</w:t>
      </w:r>
      <w:r>
        <w:rPr>
          <w:rFonts w:hint="cs"/>
          <w:rtl/>
          <w:lang w:bidi="ar-EG"/>
        </w:rPr>
        <w:t xml:space="preserve"> بمقتضى الشق الأول من المهمة رقم 45 من برنامج عمل اللجنة المعنية بمعايير الويبو. </w:t>
      </w:r>
      <w:r w:rsidR="003F70F1">
        <w:rPr>
          <w:rFonts w:hint="cs"/>
          <w:rtl/>
          <w:lang w:bidi="ar-EG"/>
        </w:rPr>
        <w:t>ويرد مشروع النسخة الم</w:t>
      </w:r>
      <w:r w:rsidR="001F1D10">
        <w:rPr>
          <w:rFonts w:hint="cs"/>
          <w:rtl/>
          <w:lang w:bidi="ar-EG"/>
        </w:rPr>
        <w:t>راجع</w:t>
      </w:r>
      <w:r w:rsidR="003F70F1">
        <w:rPr>
          <w:rFonts w:hint="cs"/>
          <w:rtl/>
          <w:lang w:bidi="ar-EG"/>
        </w:rPr>
        <w:t>ة من الفقرة المذكورة في ملحق هذا المرفق الأول.</w:t>
      </w:r>
    </w:p>
    <w:p w:rsidR="003F70F1" w:rsidRDefault="00BC6651" w:rsidP="001F1D10">
      <w:pPr>
        <w:pStyle w:val="NumberedParaAR"/>
        <w:rPr>
          <w:lang w:bidi="ar-EG"/>
        </w:rPr>
      </w:pPr>
      <w:r>
        <w:rPr>
          <w:rFonts w:hint="cs"/>
          <w:rtl/>
          <w:lang w:bidi="ar-EG"/>
        </w:rPr>
        <w:t>وتتضمن النسخة الم</w:t>
      </w:r>
      <w:r w:rsidR="001F1D10">
        <w:rPr>
          <w:rFonts w:hint="cs"/>
          <w:rtl/>
          <w:lang w:bidi="ar-EG"/>
        </w:rPr>
        <w:t>راجع</w:t>
      </w:r>
      <w:r>
        <w:rPr>
          <w:rFonts w:hint="cs"/>
          <w:rtl/>
          <w:lang w:bidi="ar-EG"/>
        </w:rPr>
        <w:t xml:space="preserve">ة للفقرة 14 من معيار الويبو </w:t>
      </w:r>
      <w:r>
        <w:rPr>
          <w:lang w:bidi="ar-EG"/>
        </w:rPr>
        <w:t>ST.14</w:t>
      </w:r>
      <w:r>
        <w:rPr>
          <w:rFonts w:hint="cs"/>
          <w:rtl/>
          <w:lang w:bidi="ar-EG"/>
        </w:rPr>
        <w:t xml:space="preserve"> التغييرات التالية (</w:t>
      </w:r>
      <w:r w:rsidRPr="006D1307">
        <w:rPr>
          <w:rFonts w:hint="cs"/>
          <w:rtl/>
          <w:lang w:bidi="ar-EG"/>
        </w:rPr>
        <w:t xml:space="preserve">التغييرات </w:t>
      </w:r>
      <w:r w:rsidR="006D1307">
        <w:rPr>
          <w:rFonts w:hint="cs"/>
          <w:rtl/>
          <w:lang w:bidi="ar-EG"/>
        </w:rPr>
        <w:t>مبينة</w:t>
      </w:r>
      <w:r>
        <w:rPr>
          <w:rFonts w:hint="cs"/>
          <w:rtl/>
          <w:lang w:bidi="ar-EG"/>
        </w:rPr>
        <w:t>):</w:t>
      </w:r>
    </w:p>
    <w:p w:rsidR="00BC6651" w:rsidRDefault="00BC6651" w:rsidP="00231331">
      <w:pPr>
        <w:pStyle w:val="NumberedParaAR"/>
        <w:numPr>
          <w:ilvl w:val="0"/>
          <w:numId w:val="0"/>
        </w:numPr>
        <w:ind w:left="567"/>
        <w:rPr>
          <w:rtl/>
          <w:lang w:bidi="ar-EG"/>
        </w:rPr>
      </w:pPr>
      <w:r>
        <w:rPr>
          <w:rFonts w:hint="cs"/>
          <w:rtl/>
          <w:lang w:bidi="ar-EG"/>
        </w:rPr>
        <w:t>(أ)</w:t>
      </w:r>
      <w:r>
        <w:rPr>
          <w:rFonts w:hint="cs"/>
          <w:rtl/>
          <w:lang w:bidi="ar-EG"/>
        </w:rPr>
        <w:tab/>
        <w:t xml:space="preserve">الفئة </w:t>
      </w:r>
      <w:r w:rsidR="00231331">
        <w:rPr>
          <w:rFonts w:hint="cs"/>
          <w:rtl/>
          <w:lang w:bidi="ar-EG"/>
        </w:rPr>
        <w:t>"</w:t>
      </w:r>
      <w:r>
        <w:rPr>
          <w:lang w:bidi="ar-EG"/>
        </w:rPr>
        <w:t>N</w:t>
      </w:r>
      <w:r w:rsidR="00231331">
        <w:rPr>
          <w:rFonts w:hint="cs"/>
          <w:rtl/>
          <w:lang w:bidi="ar-EG"/>
        </w:rPr>
        <w:t>"</w:t>
      </w:r>
      <w:r>
        <w:rPr>
          <w:rFonts w:hint="cs"/>
          <w:rtl/>
          <w:lang w:bidi="ar-EG"/>
        </w:rPr>
        <w:t xml:space="preserve"> الجديدة:</w:t>
      </w:r>
    </w:p>
    <w:p w:rsidR="00BC6651" w:rsidRDefault="00BC6651" w:rsidP="00231331">
      <w:pPr>
        <w:pStyle w:val="NumberedParaAR"/>
        <w:numPr>
          <w:ilvl w:val="0"/>
          <w:numId w:val="0"/>
        </w:numPr>
        <w:ind w:left="567"/>
        <w:rPr>
          <w:rtl/>
          <w:lang w:bidi="ar-EG"/>
        </w:rPr>
      </w:pPr>
      <w:r w:rsidRPr="00734305">
        <w:rPr>
          <w:rFonts w:hint="cs"/>
          <w:highlight w:val="yellow"/>
          <w:rtl/>
          <w:lang w:bidi="ar-EG"/>
        </w:rPr>
        <w:t xml:space="preserve">الفئة </w:t>
      </w:r>
      <w:r w:rsidR="00231331" w:rsidRPr="00734305">
        <w:rPr>
          <w:rFonts w:hint="cs"/>
          <w:highlight w:val="yellow"/>
          <w:rtl/>
          <w:lang w:bidi="ar-EG"/>
        </w:rPr>
        <w:t>"</w:t>
      </w:r>
      <w:r w:rsidRPr="00734305">
        <w:rPr>
          <w:highlight w:val="yellow"/>
          <w:lang w:bidi="ar-EG"/>
        </w:rPr>
        <w:t>N</w:t>
      </w:r>
      <w:r w:rsidR="00231331" w:rsidRPr="00734305">
        <w:rPr>
          <w:rFonts w:hint="cs"/>
          <w:highlight w:val="yellow"/>
          <w:rtl/>
          <w:lang w:bidi="ar-EG"/>
        </w:rPr>
        <w:t>"</w:t>
      </w:r>
      <w:r w:rsidRPr="00734305">
        <w:rPr>
          <w:rFonts w:hint="cs"/>
          <w:highlight w:val="yellow"/>
          <w:rtl/>
          <w:lang w:bidi="ar-EG"/>
        </w:rPr>
        <w:t xml:space="preserve">: لا يمكن </w:t>
      </w:r>
      <w:r w:rsidR="00E432F0" w:rsidRPr="00734305">
        <w:rPr>
          <w:rFonts w:hint="cs"/>
          <w:highlight w:val="yellow"/>
          <w:rtl/>
          <w:lang w:bidi="ar-EG"/>
        </w:rPr>
        <w:t xml:space="preserve">أن يعتبر </w:t>
      </w:r>
      <w:r w:rsidRPr="00734305">
        <w:rPr>
          <w:rFonts w:hint="cs"/>
          <w:highlight w:val="yellow"/>
          <w:rtl/>
          <w:lang w:bidi="ar-EG"/>
        </w:rPr>
        <w:t>الاختراع المطل</w:t>
      </w:r>
      <w:r w:rsidR="00E432F0" w:rsidRPr="00734305">
        <w:rPr>
          <w:rFonts w:hint="cs"/>
          <w:highlight w:val="yellow"/>
          <w:rtl/>
          <w:lang w:bidi="ar-EG"/>
        </w:rPr>
        <w:t>و</w:t>
      </w:r>
      <w:r w:rsidRPr="00734305">
        <w:rPr>
          <w:rFonts w:hint="cs"/>
          <w:highlight w:val="yellow"/>
          <w:rtl/>
          <w:lang w:bidi="ar-EG"/>
        </w:rPr>
        <w:t xml:space="preserve">ب </w:t>
      </w:r>
      <w:r w:rsidR="00E432F0" w:rsidRPr="00734305">
        <w:rPr>
          <w:rFonts w:hint="cs"/>
          <w:highlight w:val="yellow"/>
          <w:rtl/>
          <w:lang w:bidi="ar-EG"/>
        </w:rPr>
        <w:t xml:space="preserve">حمايته </w:t>
      </w:r>
      <w:r w:rsidRPr="00734305">
        <w:rPr>
          <w:rFonts w:hint="cs"/>
          <w:highlight w:val="yellow"/>
          <w:rtl/>
          <w:lang w:bidi="ar-EG"/>
        </w:rPr>
        <w:t>جديدا عند الأخذ بالوثيقة بمفردها</w:t>
      </w:r>
      <w:r w:rsidRPr="005D35EE">
        <w:rPr>
          <w:rFonts w:hint="cs"/>
          <w:rtl/>
          <w:lang w:bidi="ar-EG"/>
        </w:rPr>
        <w:t>؛</w:t>
      </w:r>
    </w:p>
    <w:p w:rsidR="00BC6651" w:rsidRDefault="00BC6651" w:rsidP="00231331">
      <w:pPr>
        <w:pStyle w:val="NumberedParaAR"/>
        <w:numPr>
          <w:ilvl w:val="0"/>
          <w:numId w:val="0"/>
        </w:numPr>
        <w:ind w:left="567"/>
        <w:rPr>
          <w:rtl/>
          <w:lang w:bidi="ar-EG"/>
        </w:rPr>
      </w:pPr>
      <w:r>
        <w:rPr>
          <w:rFonts w:hint="cs"/>
          <w:rtl/>
          <w:lang w:bidi="ar-EG"/>
        </w:rPr>
        <w:t>(ب)</w:t>
      </w:r>
      <w:r>
        <w:rPr>
          <w:rFonts w:hint="cs"/>
          <w:rtl/>
          <w:lang w:bidi="ar-EG"/>
        </w:rPr>
        <w:tab/>
        <w:t xml:space="preserve">الفئة </w:t>
      </w:r>
      <w:r w:rsidR="00231331">
        <w:rPr>
          <w:rFonts w:hint="cs"/>
          <w:rtl/>
          <w:lang w:bidi="ar-EG"/>
        </w:rPr>
        <w:t>"</w:t>
      </w:r>
      <w:r>
        <w:rPr>
          <w:lang w:bidi="ar-EG"/>
        </w:rPr>
        <w:t>I</w:t>
      </w:r>
      <w:r w:rsidR="00231331">
        <w:rPr>
          <w:rFonts w:hint="cs"/>
          <w:rtl/>
          <w:lang w:bidi="ar-EG"/>
        </w:rPr>
        <w:t>"</w:t>
      </w:r>
      <w:r>
        <w:rPr>
          <w:rFonts w:hint="cs"/>
          <w:rtl/>
          <w:lang w:bidi="ar-EG"/>
        </w:rPr>
        <w:t xml:space="preserve"> الجديدة:</w:t>
      </w:r>
    </w:p>
    <w:p w:rsidR="00BC6651" w:rsidRDefault="00BC6651" w:rsidP="00231331">
      <w:pPr>
        <w:pStyle w:val="NumberedParaAR"/>
        <w:numPr>
          <w:ilvl w:val="0"/>
          <w:numId w:val="0"/>
        </w:numPr>
        <w:ind w:left="567"/>
        <w:rPr>
          <w:rtl/>
          <w:lang w:bidi="ar-EG"/>
        </w:rPr>
      </w:pPr>
      <w:r w:rsidRPr="00734305">
        <w:rPr>
          <w:rFonts w:hint="cs"/>
          <w:highlight w:val="yellow"/>
          <w:rtl/>
          <w:lang w:bidi="ar-EG"/>
        </w:rPr>
        <w:t xml:space="preserve">الفئة </w:t>
      </w:r>
      <w:r w:rsidR="00231331" w:rsidRPr="00734305">
        <w:rPr>
          <w:rFonts w:hint="cs"/>
          <w:highlight w:val="yellow"/>
          <w:rtl/>
          <w:lang w:bidi="ar-EG"/>
        </w:rPr>
        <w:t>"</w:t>
      </w:r>
      <w:r w:rsidRPr="00734305">
        <w:rPr>
          <w:highlight w:val="yellow"/>
          <w:lang w:bidi="ar-EG"/>
        </w:rPr>
        <w:t>I</w:t>
      </w:r>
      <w:r w:rsidR="00231331" w:rsidRPr="00734305">
        <w:rPr>
          <w:rFonts w:hint="cs"/>
          <w:highlight w:val="yellow"/>
          <w:rtl/>
          <w:lang w:bidi="ar-EG"/>
        </w:rPr>
        <w:t>"</w:t>
      </w:r>
      <w:r w:rsidRPr="00734305">
        <w:rPr>
          <w:rFonts w:hint="cs"/>
          <w:highlight w:val="yellow"/>
          <w:rtl/>
          <w:lang w:bidi="ar-EG"/>
        </w:rPr>
        <w:t xml:space="preserve">: لا يمكن </w:t>
      </w:r>
      <w:r w:rsidR="00E432F0" w:rsidRPr="00734305">
        <w:rPr>
          <w:rFonts w:hint="cs"/>
          <w:highlight w:val="yellow"/>
          <w:rtl/>
          <w:lang w:bidi="ar-EG"/>
        </w:rPr>
        <w:t xml:space="preserve">أن يعتبر </w:t>
      </w:r>
      <w:r w:rsidRPr="00734305">
        <w:rPr>
          <w:rFonts w:hint="cs"/>
          <w:highlight w:val="yellow"/>
          <w:rtl/>
          <w:lang w:bidi="ar-EG"/>
        </w:rPr>
        <w:t xml:space="preserve">الاختراع </w:t>
      </w:r>
      <w:r w:rsidR="00E432F0" w:rsidRPr="00734305">
        <w:rPr>
          <w:rFonts w:hint="cs"/>
          <w:highlight w:val="yellow"/>
          <w:rtl/>
          <w:lang w:bidi="ar-EG"/>
        </w:rPr>
        <w:t xml:space="preserve">المطلوب حمايته منطويا </w:t>
      </w:r>
      <w:r w:rsidRPr="00734305">
        <w:rPr>
          <w:rFonts w:hint="cs"/>
          <w:highlight w:val="yellow"/>
          <w:rtl/>
          <w:lang w:bidi="ar-EG"/>
        </w:rPr>
        <w:t>على نشاط ابتكاري عند الأخذ بالوثيقة بمفردها</w:t>
      </w:r>
      <w:r w:rsidRPr="005D35EE">
        <w:rPr>
          <w:rFonts w:hint="cs"/>
          <w:rtl/>
          <w:lang w:bidi="ar-EG"/>
        </w:rPr>
        <w:t>؛</w:t>
      </w:r>
    </w:p>
    <w:p w:rsidR="00BC6651" w:rsidRDefault="00BC6651" w:rsidP="001F1D10">
      <w:pPr>
        <w:pStyle w:val="NumberedParaAR"/>
        <w:numPr>
          <w:ilvl w:val="0"/>
          <w:numId w:val="0"/>
        </w:numPr>
        <w:ind w:left="567"/>
        <w:rPr>
          <w:rtl/>
          <w:lang w:bidi="ar-EG"/>
        </w:rPr>
      </w:pPr>
      <w:r>
        <w:rPr>
          <w:rFonts w:hint="cs"/>
          <w:rtl/>
          <w:lang w:bidi="ar-EG"/>
        </w:rPr>
        <w:t>(ج)</w:t>
      </w:r>
      <w:r>
        <w:rPr>
          <w:rFonts w:hint="cs"/>
          <w:rtl/>
          <w:lang w:bidi="ar-EG"/>
        </w:rPr>
        <w:tab/>
      </w:r>
      <w:r w:rsidR="00E06031">
        <w:rPr>
          <w:rFonts w:hint="cs"/>
          <w:rtl/>
          <w:lang w:bidi="ar-EG"/>
        </w:rPr>
        <w:t>التعريف الم</w:t>
      </w:r>
      <w:r w:rsidR="001F1D10">
        <w:rPr>
          <w:rFonts w:hint="cs"/>
          <w:rtl/>
          <w:lang w:bidi="ar-EG"/>
        </w:rPr>
        <w:t>راجع</w:t>
      </w:r>
      <w:r w:rsidR="00E06031">
        <w:rPr>
          <w:rFonts w:hint="cs"/>
          <w:rtl/>
          <w:lang w:bidi="ar-EG"/>
        </w:rPr>
        <w:t xml:space="preserve"> للفئة </w:t>
      </w:r>
      <w:r w:rsidR="00231331">
        <w:rPr>
          <w:rFonts w:hint="cs"/>
          <w:rtl/>
          <w:lang w:bidi="ar-EG"/>
        </w:rPr>
        <w:t>"</w:t>
      </w:r>
      <w:r w:rsidR="00E06031">
        <w:rPr>
          <w:lang w:bidi="ar-EG"/>
        </w:rPr>
        <w:t>X</w:t>
      </w:r>
      <w:r w:rsidR="00231331">
        <w:rPr>
          <w:rFonts w:hint="cs"/>
          <w:rtl/>
          <w:lang w:bidi="ar-EG"/>
        </w:rPr>
        <w:t>"</w:t>
      </w:r>
      <w:r w:rsidR="00E06031">
        <w:rPr>
          <w:rFonts w:hint="cs"/>
          <w:rtl/>
          <w:lang w:bidi="ar-EG"/>
        </w:rPr>
        <w:t xml:space="preserve"> مع التوصية </w:t>
      </w:r>
      <w:r w:rsidR="008C41A6">
        <w:rPr>
          <w:rFonts w:hint="cs"/>
          <w:rtl/>
          <w:lang w:bidi="ar-EG"/>
        </w:rPr>
        <w:t xml:space="preserve">بعدم استخدام </w:t>
      </w:r>
      <w:r w:rsidR="00E06031">
        <w:rPr>
          <w:rFonts w:hint="cs"/>
          <w:rtl/>
          <w:lang w:bidi="ar-EG"/>
        </w:rPr>
        <w:t xml:space="preserve">هذه الفئة </w:t>
      </w:r>
      <w:r w:rsidR="008C41A6">
        <w:rPr>
          <w:rFonts w:hint="cs"/>
          <w:rtl/>
          <w:lang w:bidi="ar-EG"/>
        </w:rPr>
        <w:t xml:space="preserve">في تقارير البحث الجديدة </w:t>
      </w:r>
      <w:r w:rsidR="00C65735">
        <w:rPr>
          <w:rFonts w:hint="cs"/>
          <w:rtl/>
          <w:lang w:bidi="ar-EG"/>
        </w:rPr>
        <w:t>في المستقبل</w:t>
      </w:r>
      <w:r w:rsidR="00E06031">
        <w:rPr>
          <w:rFonts w:hint="cs"/>
          <w:rtl/>
          <w:lang w:bidi="ar-EG"/>
        </w:rPr>
        <w:t>:</w:t>
      </w:r>
    </w:p>
    <w:p w:rsidR="00E644DD" w:rsidRPr="00093629" w:rsidRDefault="00E644DD" w:rsidP="00231331">
      <w:pPr>
        <w:pStyle w:val="NumberedParaAR"/>
        <w:numPr>
          <w:ilvl w:val="0"/>
          <w:numId w:val="0"/>
        </w:numPr>
        <w:ind w:left="567"/>
        <w:rPr>
          <w:strike/>
          <w:rtl/>
          <w:lang w:bidi="ar-EG"/>
        </w:rPr>
      </w:pPr>
      <w:r w:rsidRPr="0049159E">
        <w:rPr>
          <w:rFonts w:eastAsia="SimSun" w:hint="cs"/>
          <w:strike/>
          <w:color w:val="FFFFFF"/>
          <w:highlight w:val="darkRed"/>
          <w:rtl/>
          <w:lang w:eastAsia="zh-CN"/>
        </w:rPr>
        <w:t xml:space="preserve">الفئة </w:t>
      </w:r>
      <w:r w:rsidR="00231331" w:rsidRPr="0049159E">
        <w:rPr>
          <w:rFonts w:eastAsia="SimSun" w:hint="cs"/>
          <w:strike/>
          <w:color w:val="FFFFFF"/>
          <w:highlight w:val="darkRed"/>
          <w:rtl/>
          <w:lang w:eastAsia="zh-CN"/>
        </w:rPr>
        <w:t>"</w:t>
      </w:r>
      <w:r w:rsidRPr="0049159E">
        <w:rPr>
          <w:rFonts w:eastAsia="SimSun"/>
          <w:strike/>
          <w:color w:val="FFFFFF"/>
          <w:highlight w:val="darkRed"/>
          <w:lang w:eastAsia="zh-CN"/>
        </w:rPr>
        <w:t>X</w:t>
      </w:r>
      <w:r w:rsidR="00231331" w:rsidRPr="0049159E">
        <w:rPr>
          <w:rFonts w:eastAsia="SimSun" w:hint="cs"/>
          <w:strike/>
          <w:color w:val="FFFFFF"/>
          <w:highlight w:val="darkRed"/>
          <w:rtl/>
          <w:lang w:eastAsia="zh-CN"/>
        </w:rPr>
        <w:t>"</w:t>
      </w:r>
      <w:r w:rsidRPr="0049159E">
        <w:rPr>
          <w:rFonts w:eastAsia="SimSun" w:hint="cs"/>
          <w:strike/>
          <w:color w:val="FFFFFF"/>
          <w:highlight w:val="darkRed"/>
          <w:rtl/>
          <w:lang w:eastAsia="zh-CN"/>
        </w:rPr>
        <w:t xml:space="preserve">: </w:t>
      </w:r>
      <w:r w:rsidR="00E432F0" w:rsidRPr="0049159E">
        <w:rPr>
          <w:rFonts w:eastAsia="SimSun" w:hint="cs"/>
          <w:strike/>
          <w:color w:val="FFFFFF"/>
          <w:highlight w:val="darkRed"/>
          <w:rtl/>
          <w:lang w:eastAsia="zh-CN"/>
        </w:rPr>
        <w:t xml:space="preserve">لا يمكن أن يعتبر </w:t>
      </w:r>
      <w:r w:rsidR="00E432F0" w:rsidRPr="0049159E">
        <w:rPr>
          <w:rFonts w:eastAsia="SimSun"/>
          <w:strike/>
          <w:color w:val="FFFFFF"/>
          <w:highlight w:val="darkRed"/>
          <w:rtl/>
          <w:lang w:eastAsia="zh-CN"/>
        </w:rPr>
        <w:t>الاختراع المطلوب حمايته جديدا أو لا يمكن أن يعتبر منطويا على نشاط ابتكاري عند الأخذ بالوثيقة بمفردها</w:t>
      </w:r>
      <w:r w:rsidR="00E432F0" w:rsidRPr="0049159E">
        <w:rPr>
          <w:rFonts w:hint="cs"/>
          <w:rtl/>
          <w:lang w:bidi="ar-EG"/>
        </w:rPr>
        <w:t>؛</w:t>
      </w:r>
    </w:p>
    <w:p w:rsidR="00E06031" w:rsidRDefault="00093629" w:rsidP="00231331">
      <w:pPr>
        <w:pStyle w:val="NumberedParaAR"/>
        <w:numPr>
          <w:ilvl w:val="0"/>
          <w:numId w:val="0"/>
        </w:numPr>
        <w:ind w:left="567"/>
        <w:rPr>
          <w:rtl/>
          <w:lang w:bidi="ar-EG"/>
        </w:rPr>
      </w:pPr>
      <w:r w:rsidRPr="00734305">
        <w:rPr>
          <w:rFonts w:hint="cs"/>
          <w:highlight w:val="yellow"/>
          <w:rtl/>
          <w:lang w:bidi="ar-EG"/>
        </w:rPr>
        <w:t xml:space="preserve">الفئة </w:t>
      </w:r>
      <w:r w:rsidR="00231331" w:rsidRPr="00734305">
        <w:rPr>
          <w:rFonts w:hint="cs"/>
          <w:highlight w:val="yellow"/>
          <w:rtl/>
          <w:lang w:bidi="ar-EG"/>
        </w:rPr>
        <w:t>"</w:t>
      </w:r>
      <w:r w:rsidRPr="00734305">
        <w:rPr>
          <w:highlight w:val="yellow"/>
          <w:lang w:bidi="ar-EG"/>
        </w:rPr>
        <w:t>X</w:t>
      </w:r>
      <w:r w:rsidR="00231331" w:rsidRPr="00734305">
        <w:rPr>
          <w:rFonts w:hint="cs"/>
          <w:highlight w:val="yellow"/>
          <w:rtl/>
          <w:lang w:bidi="ar-EG"/>
        </w:rPr>
        <w:t>"</w:t>
      </w:r>
      <w:r w:rsidR="00BB7747" w:rsidRPr="00734305">
        <w:rPr>
          <w:rFonts w:hint="cs"/>
          <w:highlight w:val="yellow"/>
          <w:vertAlign w:val="superscript"/>
          <w:rtl/>
          <w:lang w:bidi="ar-EG"/>
        </w:rPr>
        <w:t>1</w:t>
      </w:r>
      <w:r w:rsidRPr="00734305">
        <w:rPr>
          <w:rFonts w:hint="cs"/>
          <w:highlight w:val="yellow"/>
          <w:rtl/>
          <w:lang w:bidi="ar-EG"/>
        </w:rPr>
        <w:t xml:space="preserve">: </w:t>
      </w:r>
      <w:r w:rsidR="00E644DD" w:rsidRPr="00734305">
        <w:rPr>
          <w:highlight w:val="yellow"/>
          <w:rtl/>
          <w:lang w:bidi="ar-EG"/>
        </w:rPr>
        <w:t>كان المعيار يوصي باستخدام هذه الفئة في السابق للإشارة إلى أن الاختراع المطلوب حمايته لا يمكن أن يعتبر جديدا أو لا يمكن أن يعتبر منطويا على نشاط ابتكاري عند الأخذ بالوثيقة بمفردها</w:t>
      </w:r>
      <w:r w:rsidR="00EB4356" w:rsidRPr="00734305">
        <w:rPr>
          <w:rFonts w:hint="cs"/>
          <w:highlight w:val="yellow"/>
          <w:rtl/>
          <w:lang w:bidi="ar-EG"/>
        </w:rPr>
        <w:t>.</w:t>
      </w:r>
      <w:r w:rsidR="00EB4356" w:rsidRPr="00734305">
        <w:rPr>
          <w:highlight w:val="yellow"/>
          <w:rtl/>
        </w:rPr>
        <w:t xml:space="preserve"> </w:t>
      </w:r>
      <w:r w:rsidR="00EB4356" w:rsidRPr="00734305">
        <w:rPr>
          <w:highlight w:val="yellow"/>
          <w:rtl/>
          <w:lang w:bidi="ar-EG"/>
        </w:rPr>
        <w:t>ولا ينبغي استخدام هذه الفئة مستقبلا في تقارير البحث الجديدة</w:t>
      </w:r>
      <w:r w:rsidR="00F72C24" w:rsidRPr="00734305">
        <w:rPr>
          <w:rFonts w:hint="cs"/>
          <w:highlight w:val="yellow"/>
          <w:rtl/>
          <w:lang w:bidi="ar-EG"/>
        </w:rPr>
        <w:t>.</w:t>
      </w:r>
      <w:r w:rsidR="00EB4356" w:rsidRPr="00734305">
        <w:rPr>
          <w:highlight w:val="yellow"/>
          <w:rtl/>
          <w:lang w:bidi="ar-EG"/>
        </w:rPr>
        <w:t xml:space="preserve"> وينبغي الاستعاضة عنها بالفئتين "</w:t>
      </w:r>
      <w:r w:rsidR="00EB4356" w:rsidRPr="00734305">
        <w:rPr>
          <w:highlight w:val="yellow"/>
          <w:lang w:bidi="ar-EG"/>
        </w:rPr>
        <w:t>N</w:t>
      </w:r>
      <w:r w:rsidR="00EB4356" w:rsidRPr="00734305">
        <w:rPr>
          <w:highlight w:val="yellow"/>
          <w:rtl/>
          <w:lang w:bidi="ar-EG"/>
        </w:rPr>
        <w:t>" و"</w:t>
      </w:r>
      <w:r w:rsidR="00EB4356" w:rsidRPr="00734305">
        <w:rPr>
          <w:highlight w:val="yellow"/>
          <w:lang w:bidi="ar-EG"/>
        </w:rPr>
        <w:t>I</w:t>
      </w:r>
      <w:r w:rsidR="00EB4356" w:rsidRPr="00734305">
        <w:rPr>
          <w:highlight w:val="yellow"/>
          <w:rtl/>
          <w:lang w:bidi="ar-EG"/>
        </w:rPr>
        <w:t>" الأكثر دقة</w:t>
      </w:r>
      <w:r w:rsidR="00EB4356" w:rsidRPr="005D35EE">
        <w:rPr>
          <w:rFonts w:hint="cs"/>
          <w:rtl/>
          <w:lang w:bidi="ar-EG"/>
        </w:rPr>
        <w:t>؛</w:t>
      </w:r>
    </w:p>
    <w:p w:rsidR="00F72C24" w:rsidRDefault="00F72C24" w:rsidP="00124401">
      <w:pPr>
        <w:pStyle w:val="NumberedParaAR"/>
        <w:numPr>
          <w:ilvl w:val="0"/>
          <w:numId w:val="0"/>
        </w:numPr>
        <w:ind w:left="567"/>
        <w:rPr>
          <w:rtl/>
          <w:lang w:bidi="ar-EG"/>
        </w:rPr>
      </w:pPr>
      <w:r>
        <w:rPr>
          <w:rFonts w:hint="cs"/>
          <w:rtl/>
          <w:lang w:bidi="ar-EG"/>
        </w:rPr>
        <w:t>(د)</w:t>
      </w:r>
      <w:r>
        <w:rPr>
          <w:rFonts w:hint="cs"/>
          <w:rtl/>
          <w:lang w:bidi="ar-EG"/>
        </w:rPr>
        <w:tab/>
      </w:r>
      <w:r w:rsidR="00534CEA">
        <w:rPr>
          <w:rFonts w:hint="cs"/>
          <w:rtl/>
          <w:lang w:bidi="ar-EG"/>
        </w:rPr>
        <w:t>تعديل تعريفي ا</w:t>
      </w:r>
      <w:r w:rsidR="0015522C">
        <w:rPr>
          <w:rFonts w:hint="cs"/>
          <w:rtl/>
          <w:lang w:bidi="ar-EG"/>
        </w:rPr>
        <w:t xml:space="preserve">لفئتين </w:t>
      </w:r>
      <w:r w:rsidR="004B494B">
        <w:rPr>
          <w:rFonts w:hint="cs"/>
          <w:rtl/>
          <w:lang w:bidi="ar-EG"/>
        </w:rPr>
        <w:t>"</w:t>
      </w:r>
      <w:r w:rsidR="0015522C">
        <w:rPr>
          <w:lang w:bidi="ar-EG"/>
        </w:rPr>
        <w:t>E</w:t>
      </w:r>
      <w:r w:rsidR="004B494B">
        <w:rPr>
          <w:rFonts w:hint="cs"/>
          <w:rtl/>
          <w:lang w:bidi="ar-EG"/>
        </w:rPr>
        <w:t>"</w:t>
      </w:r>
      <w:r w:rsidR="0015522C">
        <w:rPr>
          <w:rFonts w:hint="cs"/>
          <w:rtl/>
          <w:lang w:bidi="ar-EG"/>
        </w:rPr>
        <w:t xml:space="preserve"> و</w:t>
      </w:r>
      <w:r w:rsidR="004B494B">
        <w:rPr>
          <w:rFonts w:hint="cs"/>
          <w:rtl/>
          <w:lang w:bidi="ar-EG"/>
        </w:rPr>
        <w:t>"</w:t>
      </w:r>
      <w:r w:rsidR="0015522C">
        <w:rPr>
          <w:lang w:bidi="ar-EG"/>
        </w:rPr>
        <w:t>O</w:t>
      </w:r>
      <w:r w:rsidR="004B494B">
        <w:rPr>
          <w:rFonts w:hint="cs"/>
          <w:rtl/>
          <w:lang w:bidi="ar-EG"/>
        </w:rPr>
        <w:t>"</w:t>
      </w:r>
      <w:r w:rsidR="0015522C">
        <w:rPr>
          <w:rFonts w:hint="cs"/>
          <w:rtl/>
          <w:lang w:bidi="ar-EG"/>
        </w:rPr>
        <w:t xml:space="preserve"> مع التوصية بأنه من الأفضل لهاتين الفئتين أن </w:t>
      </w:r>
      <w:r w:rsidR="00046C5C">
        <w:rPr>
          <w:rFonts w:hint="cs"/>
          <w:rtl/>
          <w:lang w:bidi="ar-EG"/>
        </w:rPr>
        <w:t>تكونا مصحوبتين ب</w:t>
      </w:r>
      <w:r w:rsidR="0015522C">
        <w:rPr>
          <w:rFonts w:hint="cs"/>
          <w:rtl/>
          <w:lang w:bidi="ar-EG"/>
        </w:rPr>
        <w:t>فئات</w:t>
      </w:r>
      <w:r w:rsidR="00124401">
        <w:rPr>
          <w:rFonts w:hint="eastAsia"/>
        </w:rPr>
        <w:t> </w:t>
      </w:r>
      <w:r w:rsidR="0015522C">
        <w:rPr>
          <w:rFonts w:hint="cs"/>
          <w:rtl/>
          <w:lang w:bidi="ar-EG"/>
        </w:rPr>
        <w:t>أخرى:</w:t>
      </w:r>
    </w:p>
    <w:p w:rsidR="0015522C" w:rsidRDefault="000956E3" w:rsidP="00AD3D91">
      <w:pPr>
        <w:pStyle w:val="NumberedParaAR"/>
        <w:numPr>
          <w:ilvl w:val="0"/>
          <w:numId w:val="0"/>
        </w:numPr>
        <w:ind w:left="567"/>
        <w:rPr>
          <w:rtl/>
        </w:rPr>
      </w:pPr>
      <w:r>
        <w:rPr>
          <w:rFonts w:hint="cs"/>
          <w:rtl/>
          <w:lang w:bidi="ar-EG"/>
        </w:rPr>
        <w:t xml:space="preserve">الفئة </w:t>
      </w:r>
      <w:r w:rsidR="004B494B">
        <w:rPr>
          <w:rFonts w:hint="cs"/>
          <w:rtl/>
          <w:lang w:bidi="ar-EG"/>
        </w:rPr>
        <w:t>"</w:t>
      </w:r>
      <w:r>
        <w:rPr>
          <w:lang w:bidi="ar-EG"/>
        </w:rPr>
        <w:t>E</w:t>
      </w:r>
      <w:r w:rsidR="004B494B">
        <w:rPr>
          <w:rFonts w:hint="cs"/>
          <w:rtl/>
          <w:lang w:bidi="ar-EG"/>
        </w:rPr>
        <w:t>"</w:t>
      </w:r>
      <w:r>
        <w:rPr>
          <w:rFonts w:hint="cs"/>
          <w:rtl/>
          <w:lang w:bidi="ar-EG"/>
        </w:rPr>
        <w:t xml:space="preserve">: </w:t>
      </w:r>
      <w:r w:rsidR="00046C5C">
        <w:rPr>
          <w:rFonts w:hint="cs"/>
          <w:rtl/>
        </w:rPr>
        <w:t xml:space="preserve">وثيقة براءة سابقة كما هي محددة في القاعدة 1.33(ج) من اللائحة التنفيذية لمعاهدة التعاون بشأن البراءات، </w:t>
      </w:r>
      <w:r w:rsidR="00046C5C" w:rsidRPr="001E393B">
        <w:rPr>
          <w:rFonts w:eastAsia="SimSun" w:hint="cs"/>
          <w:strike/>
          <w:color w:val="FFFFFF"/>
          <w:highlight w:val="darkRed"/>
          <w:rtl/>
          <w:lang w:eastAsia="zh-CN"/>
        </w:rPr>
        <w:t>و</w:t>
      </w:r>
      <w:r w:rsidR="00046C5C" w:rsidRPr="00C1689D">
        <w:rPr>
          <w:rFonts w:eastAsia="SimSun" w:hint="cs"/>
          <w:strike/>
          <w:color w:val="FFFFFF"/>
          <w:highlight w:val="darkRed"/>
          <w:rtl/>
          <w:lang w:eastAsia="zh-CN"/>
        </w:rPr>
        <w:t>لكن</w:t>
      </w:r>
      <w:r w:rsidR="00046C5C" w:rsidRPr="001E393B">
        <w:rPr>
          <w:rFonts w:hint="cs"/>
          <w:rtl/>
        </w:rPr>
        <w:t xml:space="preserve"> </w:t>
      </w:r>
      <w:r w:rsidR="00046C5C">
        <w:rPr>
          <w:rFonts w:hint="cs"/>
          <w:rtl/>
        </w:rPr>
        <w:t xml:space="preserve">نشرت في تاريخ الإيداع الدولي أو بعده. </w:t>
      </w:r>
      <w:r w:rsidR="00046C5C" w:rsidRPr="00C1689D">
        <w:rPr>
          <w:rFonts w:hint="cs"/>
          <w:highlight w:val="yellow"/>
          <w:rtl/>
        </w:rPr>
        <w:t>و</w:t>
      </w:r>
      <w:r w:rsidR="00AB777A">
        <w:rPr>
          <w:rFonts w:hint="cs"/>
          <w:highlight w:val="yellow"/>
          <w:rtl/>
        </w:rPr>
        <w:t xml:space="preserve">يفضل </w:t>
      </w:r>
      <w:r w:rsidR="00046C5C" w:rsidRPr="00C1689D">
        <w:rPr>
          <w:rFonts w:hint="cs"/>
          <w:highlight w:val="yellow"/>
          <w:rtl/>
        </w:rPr>
        <w:t xml:space="preserve">أن </w:t>
      </w:r>
      <w:r w:rsidR="00046C5C">
        <w:rPr>
          <w:rFonts w:hint="cs"/>
          <w:highlight w:val="yellow"/>
          <w:rtl/>
        </w:rPr>
        <w:t>يكون</w:t>
      </w:r>
      <w:r w:rsidR="00046C5C" w:rsidRPr="00C1689D">
        <w:rPr>
          <w:rFonts w:hint="cs"/>
          <w:highlight w:val="yellow"/>
          <w:rtl/>
        </w:rPr>
        <w:t xml:space="preserve"> الرمز "</w:t>
      </w:r>
      <w:r w:rsidR="00046C5C" w:rsidRPr="00C1689D">
        <w:rPr>
          <w:highlight w:val="yellow"/>
          <w:lang w:val="fr-CH"/>
        </w:rPr>
        <w:t>E</w:t>
      </w:r>
      <w:r w:rsidR="00046C5C" w:rsidRPr="00C1689D">
        <w:rPr>
          <w:rFonts w:hint="cs"/>
          <w:highlight w:val="yellow"/>
          <w:rtl/>
          <w:lang w:val="fr-CH"/>
        </w:rPr>
        <w:t xml:space="preserve">" </w:t>
      </w:r>
      <w:r w:rsidR="00046C5C">
        <w:rPr>
          <w:rFonts w:hint="cs"/>
          <w:highlight w:val="yellow"/>
          <w:rtl/>
          <w:lang w:val="fr-CH"/>
        </w:rPr>
        <w:t xml:space="preserve">مصحوبا </w:t>
      </w:r>
      <w:r w:rsidR="00046C5C" w:rsidRPr="00C1689D">
        <w:rPr>
          <w:rFonts w:hint="cs"/>
          <w:highlight w:val="yellow"/>
          <w:rtl/>
          <w:lang w:val="fr-CH"/>
        </w:rPr>
        <w:t xml:space="preserve">بواحدة من </w:t>
      </w:r>
      <w:r w:rsidR="00046C5C" w:rsidRPr="00C1689D">
        <w:rPr>
          <w:rFonts w:hint="cs"/>
          <w:highlight w:val="yellow"/>
          <w:rtl/>
        </w:rPr>
        <w:t>الفئات "</w:t>
      </w:r>
      <w:r w:rsidR="00046C5C" w:rsidRPr="00C1689D">
        <w:rPr>
          <w:highlight w:val="yellow"/>
          <w:lang w:val="fr-CH"/>
        </w:rPr>
        <w:t>N</w:t>
      </w:r>
      <w:r w:rsidR="00046C5C" w:rsidRPr="00C1689D">
        <w:rPr>
          <w:rFonts w:hint="cs"/>
          <w:highlight w:val="yellow"/>
          <w:rtl/>
        </w:rPr>
        <w:t>" أو "</w:t>
      </w:r>
      <w:r w:rsidR="00046C5C" w:rsidRPr="00C1689D">
        <w:rPr>
          <w:highlight w:val="yellow"/>
        </w:rPr>
        <w:t>I</w:t>
      </w:r>
      <w:r w:rsidR="00046C5C" w:rsidRPr="00C1689D">
        <w:rPr>
          <w:rFonts w:hint="cs"/>
          <w:highlight w:val="yellow"/>
          <w:rtl/>
        </w:rPr>
        <w:t>" أو "</w:t>
      </w:r>
      <w:r w:rsidR="00046C5C" w:rsidRPr="00C1689D">
        <w:rPr>
          <w:highlight w:val="yellow"/>
        </w:rPr>
        <w:t>X</w:t>
      </w:r>
      <w:r w:rsidR="00046C5C" w:rsidRPr="00C1689D">
        <w:rPr>
          <w:rFonts w:hint="cs"/>
          <w:highlight w:val="yellow"/>
          <w:rtl/>
        </w:rPr>
        <w:t>"</w:t>
      </w:r>
      <w:r w:rsidR="002A2988">
        <w:rPr>
          <w:rFonts w:hint="cs"/>
          <w:highlight w:val="yellow"/>
          <w:vertAlign w:val="superscript"/>
          <w:rtl/>
        </w:rPr>
        <w:t>1</w:t>
      </w:r>
      <w:r w:rsidR="00046C5C" w:rsidRPr="00C1689D">
        <w:rPr>
          <w:rFonts w:hint="cs"/>
          <w:highlight w:val="yellow"/>
          <w:rtl/>
        </w:rPr>
        <w:t xml:space="preserve"> أو "</w:t>
      </w:r>
      <w:r w:rsidR="00046C5C" w:rsidRPr="00C1689D">
        <w:rPr>
          <w:highlight w:val="yellow"/>
        </w:rPr>
        <w:t>Y</w:t>
      </w:r>
      <w:r w:rsidR="00046C5C" w:rsidRPr="00C1689D">
        <w:rPr>
          <w:rFonts w:hint="cs"/>
          <w:highlight w:val="yellow"/>
          <w:rtl/>
        </w:rPr>
        <w:t>" أو "</w:t>
      </w:r>
      <w:r w:rsidR="00046C5C" w:rsidRPr="00C1689D">
        <w:rPr>
          <w:highlight w:val="yellow"/>
        </w:rPr>
        <w:t>A</w:t>
      </w:r>
      <w:r w:rsidR="00046C5C" w:rsidRPr="00C1689D">
        <w:rPr>
          <w:rFonts w:hint="cs"/>
          <w:highlight w:val="yellow"/>
          <w:rtl/>
        </w:rPr>
        <w:t>"</w:t>
      </w:r>
      <w:r w:rsidR="00046C5C" w:rsidRPr="005D35EE">
        <w:rPr>
          <w:rFonts w:hint="cs"/>
          <w:rtl/>
        </w:rPr>
        <w:t>؛</w:t>
      </w:r>
    </w:p>
    <w:p w:rsidR="00046C5C" w:rsidRDefault="00E900DC" w:rsidP="00AD3D91">
      <w:pPr>
        <w:pStyle w:val="NumberedParaAR"/>
        <w:numPr>
          <w:ilvl w:val="0"/>
          <w:numId w:val="0"/>
        </w:numPr>
        <w:ind w:left="567"/>
        <w:rPr>
          <w:rtl/>
        </w:rPr>
      </w:pPr>
      <w:r>
        <w:rPr>
          <w:rFonts w:hint="cs"/>
          <w:rtl/>
        </w:rPr>
        <w:t>الفئة "</w:t>
      </w:r>
      <w:r>
        <w:rPr>
          <w:lang w:val="fr-CH"/>
        </w:rPr>
        <w:t>O</w:t>
      </w:r>
      <w:r>
        <w:rPr>
          <w:rFonts w:hint="cs"/>
          <w:rtl/>
        </w:rPr>
        <w:t xml:space="preserve">": وثيقة تشير إلى كشف شفوي أو استخدام أو عرض أو وسائل أخرى. </w:t>
      </w:r>
      <w:r w:rsidRPr="00C1689D">
        <w:rPr>
          <w:rFonts w:hint="cs"/>
          <w:highlight w:val="yellow"/>
          <w:rtl/>
        </w:rPr>
        <w:t>و</w:t>
      </w:r>
      <w:r w:rsidR="00AB777A">
        <w:rPr>
          <w:rFonts w:hint="cs"/>
          <w:highlight w:val="yellow"/>
          <w:rtl/>
        </w:rPr>
        <w:t xml:space="preserve">يفضل </w:t>
      </w:r>
      <w:r w:rsidRPr="00C1689D">
        <w:rPr>
          <w:rFonts w:hint="cs"/>
          <w:highlight w:val="yellow"/>
          <w:rtl/>
        </w:rPr>
        <w:t xml:space="preserve">أن </w:t>
      </w:r>
      <w:r>
        <w:rPr>
          <w:rFonts w:hint="cs"/>
          <w:highlight w:val="yellow"/>
          <w:rtl/>
        </w:rPr>
        <w:t>يكون</w:t>
      </w:r>
      <w:r w:rsidRPr="00C1689D">
        <w:rPr>
          <w:rFonts w:hint="cs"/>
          <w:highlight w:val="yellow"/>
          <w:rtl/>
        </w:rPr>
        <w:t xml:space="preserve"> الرمز "</w:t>
      </w:r>
      <w:r>
        <w:rPr>
          <w:highlight w:val="yellow"/>
          <w:lang w:val="fr-CH"/>
        </w:rPr>
        <w:t>O</w:t>
      </w:r>
      <w:r w:rsidRPr="00C1689D">
        <w:rPr>
          <w:rFonts w:hint="cs"/>
          <w:highlight w:val="yellow"/>
          <w:rtl/>
          <w:lang w:val="fr-CH"/>
        </w:rPr>
        <w:t xml:space="preserve">" </w:t>
      </w:r>
      <w:r>
        <w:rPr>
          <w:rFonts w:hint="cs"/>
          <w:highlight w:val="yellow"/>
          <w:rtl/>
          <w:lang w:val="fr-CH"/>
        </w:rPr>
        <w:t xml:space="preserve">مصحوبا </w:t>
      </w:r>
      <w:r w:rsidRPr="00C1689D">
        <w:rPr>
          <w:rFonts w:hint="cs"/>
          <w:highlight w:val="yellow"/>
          <w:rtl/>
          <w:lang w:val="fr-CH"/>
        </w:rPr>
        <w:t xml:space="preserve">بواحدة من </w:t>
      </w:r>
      <w:r w:rsidRPr="00C1689D">
        <w:rPr>
          <w:rFonts w:hint="cs"/>
          <w:highlight w:val="yellow"/>
          <w:rtl/>
        </w:rPr>
        <w:t>الفئات "</w:t>
      </w:r>
      <w:r w:rsidRPr="00C1689D">
        <w:rPr>
          <w:highlight w:val="yellow"/>
          <w:lang w:val="fr-CH"/>
        </w:rPr>
        <w:t>N</w:t>
      </w:r>
      <w:r w:rsidRPr="00C1689D">
        <w:rPr>
          <w:rFonts w:hint="cs"/>
          <w:highlight w:val="yellow"/>
          <w:rtl/>
        </w:rPr>
        <w:t>" أو "</w:t>
      </w:r>
      <w:r w:rsidRPr="00C1689D">
        <w:rPr>
          <w:highlight w:val="yellow"/>
        </w:rPr>
        <w:t>I</w:t>
      </w:r>
      <w:r w:rsidRPr="00C1689D">
        <w:rPr>
          <w:rFonts w:hint="cs"/>
          <w:highlight w:val="yellow"/>
          <w:rtl/>
        </w:rPr>
        <w:t>" أو "</w:t>
      </w:r>
      <w:r w:rsidRPr="00C1689D">
        <w:rPr>
          <w:highlight w:val="yellow"/>
        </w:rPr>
        <w:t>X</w:t>
      </w:r>
      <w:r w:rsidRPr="00C1689D">
        <w:rPr>
          <w:rFonts w:hint="cs"/>
          <w:highlight w:val="yellow"/>
          <w:rtl/>
        </w:rPr>
        <w:t>"</w:t>
      </w:r>
      <w:r w:rsidR="00AB777A">
        <w:rPr>
          <w:rFonts w:hint="cs"/>
          <w:highlight w:val="yellow"/>
          <w:vertAlign w:val="superscript"/>
          <w:rtl/>
        </w:rPr>
        <w:t>1</w:t>
      </w:r>
      <w:r w:rsidRPr="00C1689D">
        <w:rPr>
          <w:rFonts w:hint="cs"/>
          <w:highlight w:val="yellow"/>
          <w:rtl/>
        </w:rPr>
        <w:t xml:space="preserve"> أو "</w:t>
      </w:r>
      <w:r w:rsidRPr="00C1689D">
        <w:rPr>
          <w:highlight w:val="yellow"/>
        </w:rPr>
        <w:t>Y</w:t>
      </w:r>
      <w:r w:rsidRPr="00C1689D">
        <w:rPr>
          <w:rFonts w:hint="cs"/>
          <w:highlight w:val="yellow"/>
          <w:rtl/>
        </w:rPr>
        <w:t>" أو "</w:t>
      </w:r>
      <w:r w:rsidRPr="00C1689D">
        <w:rPr>
          <w:highlight w:val="yellow"/>
        </w:rPr>
        <w:t>A</w:t>
      </w:r>
      <w:r w:rsidRPr="00C1689D">
        <w:rPr>
          <w:rFonts w:hint="cs"/>
          <w:highlight w:val="yellow"/>
          <w:rtl/>
        </w:rPr>
        <w:t>"</w:t>
      </w:r>
      <w:r w:rsidRPr="005D35EE">
        <w:rPr>
          <w:rFonts w:hint="cs"/>
          <w:rtl/>
        </w:rPr>
        <w:t>؛</w:t>
      </w:r>
    </w:p>
    <w:p w:rsidR="00265078" w:rsidRDefault="00265078" w:rsidP="002B4B1B">
      <w:pPr>
        <w:pStyle w:val="NumberedParaAR"/>
        <w:numPr>
          <w:ilvl w:val="0"/>
          <w:numId w:val="0"/>
        </w:numPr>
        <w:ind w:left="567"/>
        <w:rPr>
          <w:rtl/>
          <w:lang w:bidi="ar-EG"/>
        </w:rPr>
      </w:pPr>
      <w:r>
        <w:rPr>
          <w:rFonts w:hint="cs"/>
          <w:rtl/>
        </w:rPr>
        <w:t>(ه)</w:t>
      </w:r>
      <w:r>
        <w:rPr>
          <w:rFonts w:hint="cs"/>
          <w:rtl/>
        </w:rPr>
        <w:tab/>
      </w:r>
      <w:r w:rsidR="002B4B1B">
        <w:rPr>
          <w:rFonts w:hint="cs"/>
          <w:rtl/>
        </w:rPr>
        <w:t>تعديل تعريف ا</w:t>
      </w:r>
      <w:r w:rsidR="0073409A">
        <w:rPr>
          <w:rFonts w:hint="cs"/>
          <w:rtl/>
        </w:rPr>
        <w:t xml:space="preserve">لفئة </w:t>
      </w:r>
      <w:r w:rsidR="0073409A">
        <w:rPr>
          <w:rFonts w:hint="cs"/>
          <w:rtl/>
          <w:lang w:bidi="ar-EG"/>
        </w:rPr>
        <w:t>"</w:t>
      </w:r>
      <w:r w:rsidR="0073409A">
        <w:rPr>
          <w:lang w:bidi="ar-EG"/>
        </w:rPr>
        <w:t>P</w:t>
      </w:r>
      <w:r w:rsidR="0073409A">
        <w:rPr>
          <w:rFonts w:hint="cs"/>
          <w:rtl/>
          <w:lang w:bidi="ar-EG"/>
        </w:rPr>
        <w:t xml:space="preserve">" </w:t>
      </w:r>
      <w:r w:rsidR="002B4B1B">
        <w:rPr>
          <w:rFonts w:hint="cs"/>
          <w:rtl/>
          <w:lang w:bidi="ar-EG"/>
        </w:rPr>
        <w:t>ليتسع نطاقه ليشمل الوثائق المنشورة في تاريخ الأولوية المطالب به في الطلب:</w:t>
      </w:r>
    </w:p>
    <w:p w:rsidR="002B4B1B" w:rsidRDefault="00C84715" w:rsidP="002B4B1B">
      <w:pPr>
        <w:pStyle w:val="NumberedParaAR"/>
        <w:numPr>
          <w:ilvl w:val="0"/>
          <w:numId w:val="0"/>
        </w:numPr>
        <w:ind w:left="567"/>
        <w:rPr>
          <w:rtl/>
        </w:rPr>
      </w:pPr>
      <w:r>
        <w:rPr>
          <w:rFonts w:hint="cs"/>
          <w:rtl/>
        </w:rPr>
        <w:t>الفئة "</w:t>
      </w:r>
      <w:r>
        <w:rPr>
          <w:lang w:val="fr-CH"/>
        </w:rPr>
        <w:t>P</w:t>
      </w:r>
      <w:r>
        <w:rPr>
          <w:rFonts w:hint="cs"/>
          <w:rtl/>
        </w:rPr>
        <w:t xml:space="preserve">": وثيقة نشرت قبل تاريخ الإيداع (تاريخ الإيداع الدولي في حالة معاهدة التعاون بشأن البراءات) ولكن </w:t>
      </w:r>
      <w:r w:rsidRPr="002473D1">
        <w:rPr>
          <w:rFonts w:eastAsia="SimSun"/>
          <w:strike/>
          <w:color w:val="FFFFFF"/>
          <w:highlight w:val="darkRed"/>
          <w:rtl/>
          <w:lang w:eastAsia="zh-CN"/>
        </w:rPr>
        <w:t>بعد</w:t>
      </w:r>
      <w:r>
        <w:rPr>
          <w:rFonts w:hint="cs"/>
          <w:rtl/>
        </w:rPr>
        <w:t xml:space="preserve"> </w:t>
      </w:r>
      <w:r w:rsidRPr="002473D1">
        <w:rPr>
          <w:rFonts w:hint="cs"/>
          <w:highlight w:val="yellow"/>
          <w:rtl/>
        </w:rPr>
        <w:t>في</w:t>
      </w:r>
      <w:r>
        <w:rPr>
          <w:rFonts w:hint="cs"/>
          <w:rtl/>
        </w:rPr>
        <w:t xml:space="preserve"> تاريخ الأولوية المطالب به في الطلب </w:t>
      </w:r>
      <w:r w:rsidRPr="002473D1">
        <w:rPr>
          <w:rFonts w:hint="cs"/>
          <w:highlight w:val="yellow"/>
          <w:rtl/>
        </w:rPr>
        <w:t>أو بعده</w:t>
      </w:r>
      <w:r>
        <w:rPr>
          <w:rFonts w:hint="cs"/>
          <w:rtl/>
        </w:rPr>
        <w:t>. وينبغي أن يكون الرمز "</w:t>
      </w:r>
      <w:r>
        <w:t>P</w:t>
      </w:r>
      <w:r>
        <w:rPr>
          <w:rFonts w:hint="cs"/>
          <w:rtl/>
        </w:rPr>
        <w:t xml:space="preserve">" مصحوبا دائما بإحدى الفئات </w:t>
      </w:r>
      <w:r w:rsidR="004C4B3D" w:rsidRPr="00C1689D">
        <w:rPr>
          <w:rFonts w:hint="cs"/>
          <w:highlight w:val="yellow"/>
          <w:rtl/>
        </w:rPr>
        <w:t>"</w:t>
      </w:r>
      <w:r w:rsidR="004C4B3D" w:rsidRPr="00C1689D">
        <w:rPr>
          <w:highlight w:val="yellow"/>
          <w:lang w:val="fr-CH"/>
        </w:rPr>
        <w:t>N</w:t>
      </w:r>
      <w:r w:rsidR="004C4B3D" w:rsidRPr="00C1689D">
        <w:rPr>
          <w:rFonts w:hint="cs"/>
          <w:highlight w:val="yellow"/>
          <w:rtl/>
        </w:rPr>
        <w:t>" أو "</w:t>
      </w:r>
      <w:r w:rsidR="004C4B3D" w:rsidRPr="00C1689D">
        <w:rPr>
          <w:highlight w:val="yellow"/>
        </w:rPr>
        <w:t>I</w:t>
      </w:r>
      <w:r w:rsidR="004C4B3D" w:rsidRPr="00C1689D">
        <w:rPr>
          <w:rFonts w:hint="cs"/>
          <w:highlight w:val="yellow"/>
          <w:rtl/>
        </w:rPr>
        <w:t>" أو</w:t>
      </w:r>
      <w:r w:rsidR="004C4B3D" w:rsidRPr="006C599E">
        <w:rPr>
          <w:rFonts w:hint="cs"/>
          <w:rtl/>
        </w:rPr>
        <w:t xml:space="preserve"> </w:t>
      </w:r>
      <w:r>
        <w:rPr>
          <w:rFonts w:hint="cs"/>
          <w:rtl/>
        </w:rPr>
        <w:t>"</w:t>
      </w:r>
      <w:r>
        <w:t>X</w:t>
      </w:r>
      <w:r>
        <w:rPr>
          <w:rFonts w:hint="cs"/>
          <w:rtl/>
        </w:rPr>
        <w:t>"</w:t>
      </w:r>
      <w:r w:rsidRPr="00C84715">
        <w:rPr>
          <w:rFonts w:hint="cs"/>
          <w:highlight w:val="yellow"/>
          <w:vertAlign w:val="superscript"/>
          <w:rtl/>
        </w:rPr>
        <w:t>1</w:t>
      </w:r>
      <w:r>
        <w:rPr>
          <w:rFonts w:hint="cs"/>
          <w:rtl/>
        </w:rPr>
        <w:t xml:space="preserve"> أو "</w:t>
      </w:r>
      <w:r>
        <w:t>Y</w:t>
      </w:r>
      <w:r>
        <w:rPr>
          <w:rFonts w:hint="cs"/>
          <w:rtl/>
        </w:rPr>
        <w:t>" أو "</w:t>
      </w:r>
      <w:r>
        <w:t>A</w:t>
      </w:r>
      <w:r>
        <w:rPr>
          <w:rFonts w:hint="cs"/>
          <w:rtl/>
        </w:rPr>
        <w:t>"؛</w:t>
      </w:r>
    </w:p>
    <w:p w:rsidR="00E900DC" w:rsidRDefault="000F1544" w:rsidP="0015522C">
      <w:pPr>
        <w:pStyle w:val="NumberedParaAR"/>
        <w:numPr>
          <w:ilvl w:val="0"/>
          <w:numId w:val="0"/>
        </w:numPr>
        <w:ind w:left="567"/>
        <w:rPr>
          <w:rtl/>
          <w:lang w:bidi="ar-EG"/>
        </w:rPr>
      </w:pPr>
      <w:r>
        <w:rPr>
          <w:rFonts w:hint="cs"/>
          <w:rtl/>
          <w:lang w:bidi="ar-EG"/>
        </w:rPr>
        <w:t>(و)</w:t>
      </w:r>
      <w:r>
        <w:rPr>
          <w:rFonts w:hint="cs"/>
          <w:rtl/>
          <w:lang w:bidi="ar-EG"/>
        </w:rPr>
        <w:tab/>
      </w:r>
      <w:r w:rsidR="004E067B">
        <w:rPr>
          <w:rFonts w:hint="cs"/>
          <w:rtl/>
          <w:lang w:bidi="ar-EG"/>
        </w:rPr>
        <w:t xml:space="preserve">حاشية جديدة توضح أحكام التنفيذ وفقا للملاحظة التحريرية (انظر المرفق الثاني بالوثيقة </w:t>
      </w:r>
      <w:r w:rsidR="004E067B">
        <w:rPr>
          <w:lang w:bidi="ar-EG"/>
        </w:rPr>
        <w:t>CWS/4/5</w:t>
      </w:r>
      <w:r w:rsidR="004E067B">
        <w:rPr>
          <w:rFonts w:hint="cs"/>
          <w:rtl/>
          <w:lang w:bidi="ar-EG"/>
        </w:rPr>
        <w:t>):</w:t>
      </w:r>
    </w:p>
    <w:p w:rsidR="004E067B" w:rsidRPr="005517C9" w:rsidRDefault="00F9700A" w:rsidP="00CC4D70">
      <w:pPr>
        <w:pStyle w:val="NumberedParaAR"/>
        <w:numPr>
          <w:ilvl w:val="0"/>
          <w:numId w:val="0"/>
        </w:numPr>
        <w:ind w:left="567"/>
        <w:rPr>
          <w:rtl/>
          <w:lang w:bidi="ar-EG"/>
        </w:rPr>
      </w:pPr>
      <w:r w:rsidRPr="00D1191E">
        <w:rPr>
          <w:rFonts w:hint="cs"/>
          <w:highlight w:val="yellow"/>
          <w:vertAlign w:val="superscript"/>
          <w:rtl/>
          <w:lang w:bidi="ar-EG"/>
        </w:rPr>
        <w:lastRenderedPageBreak/>
        <w:t xml:space="preserve">1 </w:t>
      </w:r>
      <w:r w:rsidRPr="00D1191E">
        <w:rPr>
          <w:rFonts w:hint="cs"/>
          <w:highlight w:val="yellow"/>
          <w:rtl/>
          <w:lang w:bidi="ar-EG"/>
        </w:rPr>
        <w:t>لا يوصى بأن تواصل مكاتب الملكية الصناعية استخدام الفئة "</w:t>
      </w:r>
      <w:r w:rsidRPr="00D1191E">
        <w:rPr>
          <w:highlight w:val="yellow"/>
          <w:lang w:bidi="ar-EG"/>
        </w:rPr>
        <w:t>X</w:t>
      </w:r>
      <w:r w:rsidRPr="00D1191E">
        <w:rPr>
          <w:rFonts w:hint="cs"/>
          <w:highlight w:val="yellow"/>
          <w:rtl/>
          <w:lang w:bidi="ar-EG"/>
        </w:rPr>
        <w:t xml:space="preserve">" في المستقبل، </w:t>
      </w:r>
      <w:r w:rsidR="00D30F5D" w:rsidRPr="00D1191E">
        <w:rPr>
          <w:rFonts w:hint="cs"/>
          <w:highlight w:val="yellow"/>
          <w:rtl/>
          <w:lang w:bidi="ar-EG"/>
        </w:rPr>
        <w:t xml:space="preserve">ولكن تقارير البحث الموضوعة قبل 1 يوليو 2015 يجوز أن تحتوي على هذه الفئة إما كفئة رئيسية أو </w:t>
      </w:r>
      <w:r w:rsidR="00CC4D70" w:rsidRPr="00D1191E">
        <w:rPr>
          <w:rFonts w:hint="cs"/>
          <w:highlight w:val="yellow"/>
          <w:rtl/>
          <w:lang w:bidi="ar-EG"/>
        </w:rPr>
        <w:t>مصاحبة ل</w:t>
      </w:r>
      <w:r w:rsidR="00D30F5D" w:rsidRPr="00D1191E">
        <w:rPr>
          <w:rFonts w:hint="cs"/>
          <w:highlight w:val="yellow"/>
          <w:rtl/>
          <w:lang w:bidi="ar-EG"/>
        </w:rPr>
        <w:t>لفئات "</w:t>
      </w:r>
      <w:r w:rsidR="00D30F5D" w:rsidRPr="00D1191E">
        <w:rPr>
          <w:highlight w:val="yellow"/>
          <w:lang w:bidi="ar-EG"/>
        </w:rPr>
        <w:t>E</w:t>
      </w:r>
      <w:r w:rsidR="00D30F5D" w:rsidRPr="00D1191E">
        <w:rPr>
          <w:rFonts w:hint="cs"/>
          <w:highlight w:val="yellow"/>
          <w:rtl/>
          <w:lang w:bidi="ar-EG"/>
        </w:rPr>
        <w:t>" أو "</w:t>
      </w:r>
      <w:r w:rsidR="00D30F5D" w:rsidRPr="00D1191E">
        <w:rPr>
          <w:highlight w:val="yellow"/>
          <w:lang w:bidi="ar-EG"/>
        </w:rPr>
        <w:t>O</w:t>
      </w:r>
      <w:r w:rsidR="00D30F5D" w:rsidRPr="00D1191E">
        <w:rPr>
          <w:rFonts w:hint="cs"/>
          <w:highlight w:val="yellow"/>
          <w:rtl/>
          <w:lang w:bidi="ar-EG"/>
        </w:rPr>
        <w:t>" أو "</w:t>
      </w:r>
      <w:r w:rsidR="00D30F5D" w:rsidRPr="00D1191E">
        <w:rPr>
          <w:highlight w:val="yellow"/>
          <w:lang w:bidi="ar-EG"/>
        </w:rPr>
        <w:t>P</w:t>
      </w:r>
      <w:r w:rsidR="00D30F5D" w:rsidRPr="00D1191E">
        <w:rPr>
          <w:rFonts w:hint="cs"/>
          <w:highlight w:val="yellow"/>
          <w:rtl/>
          <w:lang w:bidi="ar-EG"/>
        </w:rPr>
        <w:t>".</w:t>
      </w:r>
    </w:p>
    <w:p w:rsidR="005B2AE0" w:rsidRDefault="00124401" w:rsidP="00124401">
      <w:pPr>
        <w:pStyle w:val="EndofDocumentAR"/>
        <w:rPr>
          <w:rtl/>
        </w:rPr>
        <w:sectPr w:rsidR="005B2AE0" w:rsidSect="00EB7752">
          <w:headerReference w:type="default" r:id="rId9"/>
          <w:headerReference w:type="first" r:id="rId10"/>
          <w:pgSz w:w="11907" w:h="16840" w:code="9"/>
          <w:pgMar w:top="567" w:right="1418" w:bottom="1418" w:left="1134" w:header="510" w:footer="1021" w:gutter="0"/>
          <w:cols w:space="720"/>
          <w:titlePg/>
          <w:docGrid w:linePitch="299"/>
        </w:sectPr>
      </w:pPr>
      <w:r>
        <w:rPr>
          <w:rFonts w:hint="cs"/>
          <w:rtl/>
        </w:rPr>
        <w:t>[يلي ذلك الملحق]</w:t>
      </w:r>
    </w:p>
    <w:p w:rsidR="00F047A1" w:rsidRPr="009403B0" w:rsidRDefault="00F047A1" w:rsidP="00F047A1">
      <w:pPr>
        <w:bidi/>
        <w:rPr>
          <w:rFonts w:ascii="Arabic Typesetting" w:hAnsi="Arabic Typesetting" w:cs="Arabic Typesetting"/>
          <w:sz w:val="36"/>
          <w:szCs w:val="36"/>
          <w:rtl/>
        </w:rPr>
      </w:pPr>
      <w:r w:rsidRPr="009403B0">
        <w:rPr>
          <w:rFonts w:ascii="Arabic Typesetting" w:hAnsi="Arabic Typesetting" w:cs="Arabic Typesetting"/>
          <w:sz w:val="36"/>
          <w:szCs w:val="36"/>
          <w:rtl/>
        </w:rPr>
        <w:lastRenderedPageBreak/>
        <w:t>الملحق</w:t>
      </w:r>
    </w:p>
    <w:p w:rsidR="005B2AE0" w:rsidRPr="00074CC9" w:rsidRDefault="00F047A1" w:rsidP="00F047A1">
      <w:pPr>
        <w:pStyle w:val="Heading2AR"/>
      </w:pPr>
      <w:bookmarkStart w:id="2" w:name="_GoBack"/>
      <w:r w:rsidRPr="00F047A1">
        <w:rPr>
          <w:rtl/>
        </w:rPr>
        <w:t xml:space="preserve">مشروع النسخة المراجعة للفقرة 14 من معيار </w:t>
      </w:r>
      <w:proofErr w:type="spellStart"/>
      <w:r w:rsidRPr="00F047A1">
        <w:rPr>
          <w:rtl/>
        </w:rPr>
        <w:t>الويبو</w:t>
      </w:r>
      <w:proofErr w:type="spellEnd"/>
      <w:r w:rsidRPr="00F047A1">
        <w:t xml:space="preserve"> ST.14</w:t>
      </w:r>
      <w:bookmarkEnd w:id="2"/>
    </w:p>
    <w:p w:rsidR="005B2AE0" w:rsidRPr="00074CC9" w:rsidRDefault="005B2AE0" w:rsidP="005B2AE0">
      <w:pPr>
        <w:keepLines/>
        <w:spacing w:after="170"/>
        <w:rPr>
          <w:rFonts w:eastAsia="Times New Roman" w:cs="Times New Roman"/>
          <w:sz w:val="17"/>
          <w:lang w:eastAsia="en-US"/>
        </w:rPr>
      </w:pPr>
      <w:r w:rsidRPr="00074CC9">
        <w:rPr>
          <w:rFonts w:eastAsia="Times New Roman" w:cs="Times New Roman"/>
          <w:sz w:val="17"/>
          <w:lang w:eastAsia="en-US"/>
        </w:rPr>
        <w:t>14.</w:t>
      </w:r>
      <w:r w:rsidRPr="00074CC9">
        <w:rPr>
          <w:rFonts w:eastAsia="Times New Roman" w:cs="Times New Roman"/>
          <w:sz w:val="17"/>
          <w:lang w:eastAsia="en-US"/>
        </w:rPr>
        <w:tab/>
        <w:t>It is recommended that any document (reference) referred to in paragraph 7, above, and cited in the search report should be indicated by the following letters or a sign to be placed next to the citation of the said document (reference):</w:t>
      </w:r>
    </w:p>
    <w:p w:rsidR="005B2AE0" w:rsidRPr="00074CC9" w:rsidRDefault="005B2AE0" w:rsidP="005B2AE0">
      <w:pPr>
        <w:keepLines/>
        <w:spacing w:after="170"/>
        <w:ind w:firstLine="567"/>
        <w:rPr>
          <w:rFonts w:eastAsia="Times New Roman" w:cs="Times New Roman"/>
          <w:i/>
          <w:sz w:val="17"/>
          <w:lang w:eastAsia="en-US"/>
        </w:rPr>
      </w:pPr>
      <w:r w:rsidRPr="00074CC9">
        <w:rPr>
          <w:rFonts w:eastAsia="Times New Roman" w:cs="Times New Roman"/>
          <w:sz w:val="17"/>
          <w:lang w:eastAsia="en-US"/>
        </w:rPr>
        <w:t>(a)</w:t>
      </w:r>
      <w:r w:rsidRPr="00074CC9">
        <w:rPr>
          <w:rFonts w:eastAsia="Times New Roman" w:cs="Times New Roman"/>
          <w:sz w:val="17"/>
          <w:lang w:eastAsia="en-US"/>
        </w:rPr>
        <w:tab/>
      </w:r>
      <w:r w:rsidRPr="00074CC9">
        <w:rPr>
          <w:rFonts w:eastAsia="Times New Roman" w:cs="Times New Roman"/>
          <w:i/>
          <w:sz w:val="17"/>
          <w:lang w:eastAsia="en-US"/>
        </w:rPr>
        <w:t>Categories indicating cited documents (references) of particular relevance:</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“N”:</w:t>
      </w:r>
      <w:r w:rsidRPr="00074CC9">
        <w:rPr>
          <w:rFonts w:eastAsia="Times New Roman" w:cs="Times New Roman"/>
          <w:sz w:val="17"/>
          <w:lang w:eastAsia="en-US"/>
        </w:rPr>
        <w:tab/>
        <w:t>The claimed invention cannot be considered novel when the document is taken alone;</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“I”:</w:t>
      </w:r>
      <w:r w:rsidRPr="00074CC9">
        <w:rPr>
          <w:rFonts w:eastAsia="Times New Roman" w:cs="Times New Roman"/>
          <w:sz w:val="17"/>
          <w:lang w:eastAsia="en-US"/>
        </w:rPr>
        <w:tab/>
        <w:t>The claimed invention cannot be considered to involve an inventive step when the document is taken alone;</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“Y”:</w:t>
      </w:r>
      <w:r w:rsidRPr="00074CC9">
        <w:rPr>
          <w:rFonts w:eastAsia="Times New Roman" w:cs="Times New Roman"/>
          <w:sz w:val="17"/>
          <w:lang w:eastAsia="en-US"/>
        </w:rPr>
        <w:tab/>
        <w:t>The claimed invention cannot be considered to involve an inventive step when the document is combined with one or more other such documents, such combination being obvious to a person skilled in the art;</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“X”</w:t>
      </w:r>
      <w:r w:rsidRPr="00074CC9">
        <w:rPr>
          <w:rFonts w:eastAsia="Times New Roman" w:cs="Times New Roman"/>
          <w:sz w:val="17"/>
          <w:vertAlign w:val="superscript"/>
          <w:lang w:eastAsia="en-US"/>
        </w:rPr>
        <w:t xml:space="preserve"> 1</w:t>
      </w:r>
      <w:r w:rsidRPr="00074CC9">
        <w:rPr>
          <w:rFonts w:eastAsia="Times New Roman" w:cs="Times New Roman"/>
          <w:sz w:val="17"/>
          <w:lang w:eastAsia="en-US"/>
        </w:rPr>
        <w:t>:</w:t>
      </w:r>
      <w:r w:rsidRPr="00074CC9">
        <w:rPr>
          <w:rFonts w:eastAsia="Times New Roman" w:cs="Times New Roman"/>
          <w:sz w:val="17"/>
          <w:lang w:eastAsia="en-US"/>
        </w:rPr>
        <w:tab/>
        <w:t>This category was previously recommended to indicate that the claimed invention cannot be considered novel or cannot be considered to involve an inventive step when the document is taken alone.  New search reports should no longer use this category.  The more specific categories “N” or “I” should be used instead.</w:t>
      </w:r>
    </w:p>
    <w:p w:rsidR="005B2AE0" w:rsidRPr="00074CC9" w:rsidRDefault="005B2AE0" w:rsidP="005B2AE0">
      <w:pPr>
        <w:keepLines/>
        <w:spacing w:after="170"/>
        <w:ind w:firstLine="567"/>
        <w:rPr>
          <w:rFonts w:eastAsia="Times New Roman" w:cs="Times New Roman"/>
          <w:i/>
          <w:sz w:val="17"/>
          <w:lang w:eastAsia="en-US"/>
        </w:rPr>
      </w:pPr>
      <w:r w:rsidRPr="00074CC9">
        <w:rPr>
          <w:rFonts w:eastAsia="Times New Roman" w:cs="Times New Roman"/>
          <w:sz w:val="17"/>
          <w:lang w:eastAsia="en-US"/>
        </w:rPr>
        <w:t>(b)</w:t>
      </w:r>
      <w:r w:rsidRPr="00074CC9">
        <w:rPr>
          <w:rFonts w:eastAsia="Times New Roman" w:cs="Times New Roman"/>
          <w:sz w:val="17"/>
          <w:lang w:eastAsia="en-US"/>
        </w:rPr>
        <w:tab/>
      </w:r>
      <w:r w:rsidRPr="00074CC9">
        <w:rPr>
          <w:rFonts w:eastAsia="Times New Roman" w:cs="Times New Roman"/>
          <w:i/>
          <w:sz w:val="17"/>
          <w:lang w:eastAsia="en-US"/>
        </w:rPr>
        <w:t>Categories indicating cited documents (references) of other relevant prior art:</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“A”:</w:t>
      </w:r>
      <w:r w:rsidRPr="00074CC9">
        <w:rPr>
          <w:rFonts w:eastAsia="Times New Roman" w:cs="Times New Roman"/>
          <w:sz w:val="17"/>
          <w:lang w:eastAsia="en-US"/>
        </w:rPr>
        <w:tab/>
        <w:t>Document defining the general state of the art which is not considered to be of particular relevance;</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“D”:</w:t>
      </w:r>
      <w:r w:rsidRPr="00074CC9">
        <w:rPr>
          <w:rFonts w:eastAsia="Times New Roman" w:cs="Times New Roman"/>
          <w:sz w:val="17"/>
          <w:lang w:eastAsia="en-US"/>
        </w:rPr>
        <w:tab/>
        <w:t>Document cited by the applicant in the application and which document (reference) was referred to in the course of the search procedure.  Code “D” should always be accompanied by one of the categories indicating the relevance of the cited document;</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“E”:</w:t>
      </w:r>
      <w:r w:rsidRPr="00074CC9">
        <w:rPr>
          <w:rFonts w:eastAsia="Times New Roman" w:cs="Times New Roman"/>
          <w:sz w:val="17"/>
          <w:lang w:eastAsia="en-US"/>
        </w:rPr>
        <w:tab/>
        <w:t>Earlier patent document as defined in Rule 33.1(c) of the Regulations under the PCT, published on or after the international filing date. Code “E” should preferably be accompanied by one of the categories “N”, “I”, “X”</w:t>
      </w:r>
      <w:r w:rsidRPr="00074CC9">
        <w:rPr>
          <w:rFonts w:eastAsia="Times New Roman" w:cs="Times New Roman"/>
          <w:color w:val="0000FF"/>
          <w:sz w:val="17"/>
          <w:vertAlign w:val="superscript"/>
          <w:lang w:eastAsia="en-US"/>
        </w:rPr>
        <w:footnoteReference w:id="1"/>
      </w:r>
      <w:r w:rsidRPr="00074CC9">
        <w:rPr>
          <w:rFonts w:eastAsia="Times New Roman" w:cs="Times New Roman"/>
          <w:sz w:val="17"/>
          <w:lang w:eastAsia="en-US"/>
        </w:rPr>
        <w:t>, “Y” or “A”;</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“L”:</w:t>
      </w:r>
      <w:r w:rsidRPr="00074CC9">
        <w:rPr>
          <w:rFonts w:eastAsia="Times New Roman" w:cs="Times New Roman"/>
          <w:sz w:val="17"/>
          <w:lang w:eastAsia="en-US"/>
        </w:rPr>
        <w:tab/>
        <w:t>Document which may throw doubts  on priority claim(s) or which is cited to establish the publication date of another citation or other special reason (the reason for citing the document shall be given);</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“O”:</w:t>
      </w:r>
      <w:r w:rsidRPr="00074CC9">
        <w:rPr>
          <w:rFonts w:eastAsia="Times New Roman" w:cs="Times New Roman"/>
          <w:sz w:val="17"/>
          <w:lang w:eastAsia="en-US"/>
        </w:rPr>
        <w:tab/>
        <w:t>Document referring to an oral disclosure, use, exhibition or other means. Code “O” should preferably be accompanied by one of the categories “N”, “I”, “X”</w:t>
      </w:r>
      <w:r w:rsidRPr="00074CC9">
        <w:rPr>
          <w:rFonts w:eastAsia="Times New Roman" w:cs="Times New Roman"/>
          <w:sz w:val="17"/>
          <w:vertAlign w:val="superscript"/>
          <w:lang w:eastAsia="en-US"/>
        </w:rPr>
        <w:t>1</w:t>
      </w:r>
      <w:r w:rsidRPr="00074CC9">
        <w:rPr>
          <w:rFonts w:eastAsia="Times New Roman" w:cs="Times New Roman"/>
          <w:sz w:val="17"/>
          <w:lang w:eastAsia="en-US"/>
        </w:rPr>
        <w:t>, “Y” or “A”;</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“P”:</w:t>
      </w:r>
      <w:r w:rsidRPr="00074CC9">
        <w:rPr>
          <w:rFonts w:eastAsia="Times New Roman" w:cs="Times New Roman"/>
          <w:sz w:val="17"/>
          <w:lang w:eastAsia="en-US"/>
        </w:rPr>
        <w:tab/>
        <w:t>Document published prior to the filing date (in the case of the PCT, the international filing date) but on or after the priority date claimed in the application.  Code “P” should always be accompanied by one of the categories “N”, “I”, “X”</w:t>
      </w:r>
      <w:r w:rsidRPr="00074CC9">
        <w:rPr>
          <w:rFonts w:eastAsia="Times New Roman" w:cs="Times New Roman"/>
          <w:sz w:val="17"/>
          <w:vertAlign w:val="superscript"/>
          <w:lang w:eastAsia="en-US"/>
        </w:rPr>
        <w:t xml:space="preserve"> 1</w:t>
      </w:r>
      <w:r w:rsidRPr="00074CC9">
        <w:rPr>
          <w:rFonts w:eastAsia="Times New Roman" w:cs="Times New Roman"/>
          <w:sz w:val="17"/>
          <w:lang w:eastAsia="en-US"/>
        </w:rPr>
        <w:t>, “Y” or “A”;</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“T”:</w:t>
      </w:r>
      <w:r w:rsidRPr="00074CC9">
        <w:rPr>
          <w:rFonts w:eastAsia="Times New Roman" w:cs="Times New Roman"/>
          <w:sz w:val="17"/>
          <w:lang w:eastAsia="en-US"/>
        </w:rPr>
        <w:tab/>
        <w:t>Later document published after the filing date (in the case of the PCT, the international filing date) or priority date and not in conflict with the application but cited to understand the principle or theory underlying the invention;</w:t>
      </w:r>
    </w:p>
    <w:p w:rsidR="005B2AE0" w:rsidRPr="00074CC9" w:rsidRDefault="005B2AE0" w:rsidP="005B2AE0">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“&amp;”:</w:t>
      </w:r>
      <w:r w:rsidRPr="00074CC9">
        <w:rPr>
          <w:rFonts w:eastAsia="Times New Roman" w:cs="Times New Roman"/>
          <w:sz w:val="17"/>
          <w:lang w:eastAsia="en-US"/>
        </w:rPr>
        <w:tab/>
        <w:t>Document being a member of the same patent family or document whose contents have not been verified by the search examiner but are believed to be substantially identical to those of another document which the search examiner has inspected.</w:t>
      </w:r>
    </w:p>
    <w:p w:rsidR="005B2AE0" w:rsidRPr="00074CC9" w:rsidRDefault="005B2AE0" w:rsidP="005B2AE0"/>
    <w:p w:rsidR="009F513E" w:rsidRPr="005B2AE0" w:rsidRDefault="009F513E" w:rsidP="00124401">
      <w:pPr>
        <w:pStyle w:val="EndofDocumentAR"/>
        <w:rPr>
          <w:rtl/>
        </w:rPr>
      </w:pPr>
    </w:p>
    <w:sectPr w:rsidR="009F513E" w:rsidRPr="005B2AE0" w:rsidSect="00B56D49">
      <w:headerReference w:type="default" r:id="rId11"/>
      <w:headerReference w:type="first" r:id="rId12"/>
      <w:endnotePr>
        <w:numFmt w:val="decimal"/>
      </w:end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D45" w:rsidRDefault="00001D45">
      <w:r>
        <w:separator/>
      </w:r>
    </w:p>
  </w:endnote>
  <w:endnote w:type="continuationSeparator" w:id="0">
    <w:p w:rsidR="00001D45" w:rsidRDefault="0000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D45" w:rsidRDefault="00001D45" w:rsidP="005B2AE0">
      <w:pPr>
        <w:bidi/>
        <w:jc w:val="right"/>
      </w:pPr>
      <w:bookmarkStart w:id="0" w:name="OLE_LINK1"/>
      <w:bookmarkStart w:id="1" w:name="OLE_LINK2"/>
      <w:r>
        <w:separator/>
      </w:r>
      <w:bookmarkEnd w:id="0"/>
      <w:bookmarkEnd w:id="1"/>
    </w:p>
  </w:footnote>
  <w:footnote w:type="continuationSeparator" w:id="0">
    <w:p w:rsidR="00001D45" w:rsidRDefault="00001D45" w:rsidP="009622BF">
      <w:pPr>
        <w:bidi/>
      </w:pPr>
      <w:r>
        <w:separator/>
      </w:r>
    </w:p>
  </w:footnote>
  <w:footnote w:id="1">
    <w:p w:rsidR="005B2AE0" w:rsidRPr="00AF505B" w:rsidRDefault="005B2AE0" w:rsidP="002A04F2">
      <w:pPr>
        <w:pStyle w:val="FootnoteText"/>
        <w:jc w:val="right"/>
        <w:rPr>
          <w:rFonts w:ascii="Arial" w:hAnsi="Arial" w:cs="Arial"/>
          <w:sz w:val="16"/>
          <w:szCs w:val="16"/>
        </w:rPr>
      </w:pPr>
      <w:r w:rsidRPr="00AF505B">
        <w:rPr>
          <w:rStyle w:val="FootnoteReference"/>
          <w:rFonts w:ascii="Arial" w:hAnsi="Arial" w:cs="Arial"/>
          <w:sz w:val="16"/>
          <w:szCs w:val="16"/>
        </w:rPr>
        <w:footnoteRef/>
      </w:r>
      <w:r w:rsidRPr="00AF505B">
        <w:rPr>
          <w:rFonts w:ascii="Arial" w:hAnsi="Arial" w:cs="Arial"/>
          <w:sz w:val="16"/>
          <w:szCs w:val="16"/>
        </w:rPr>
        <w:t xml:space="preserve"> Category “X” is no longer recommended to be used by the industrial property offices, but the search reports established earlier than July 1, 2015 may contain this category either as the main one, or accompanying categories “E”, “O” or “P”.</w:t>
      </w:r>
    </w:p>
    <w:p w:rsidR="005B2AE0" w:rsidRDefault="005B2AE0" w:rsidP="005B2AE0">
      <w:pPr>
        <w:pStyle w:val="FootnoteText"/>
        <w:rPr>
          <w:sz w:val="16"/>
        </w:rPr>
      </w:pPr>
    </w:p>
    <w:p w:rsidR="005B2AE0" w:rsidRDefault="005B2AE0" w:rsidP="005B2AE0">
      <w:pPr>
        <w:pStyle w:val="FootnoteText"/>
        <w:rPr>
          <w:sz w:val="16"/>
        </w:rPr>
      </w:pPr>
    </w:p>
    <w:p w:rsidR="005B2AE0" w:rsidRPr="002A04F2" w:rsidRDefault="002A04F2" w:rsidP="00687686">
      <w:pPr>
        <w:pStyle w:val="EndofDocumentAR"/>
        <w:bidi w:val="0"/>
        <w:ind w:left="3402"/>
      </w:pPr>
      <w:r w:rsidRPr="002A04F2">
        <w:rPr>
          <w:rFonts w:hint="cs"/>
          <w:rtl/>
        </w:rPr>
        <w:t>[يلي ذلك المرفق الثاني]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E9691D">
    <w:pPr>
      <w:rPr>
        <w:szCs w:val="22"/>
        <w:rtl/>
      </w:rPr>
    </w:pPr>
    <w:r w:rsidRPr="002F280A">
      <w:rPr>
        <w:szCs w:val="22"/>
      </w:rPr>
      <w:t>CWS</w:t>
    </w:r>
    <w:r w:rsidR="002F77FC" w:rsidRPr="002F280A">
      <w:rPr>
        <w:szCs w:val="22"/>
      </w:rPr>
      <w:t>/</w:t>
    </w:r>
    <w:r w:rsidR="008D5779" w:rsidRPr="002F280A">
      <w:rPr>
        <w:szCs w:val="22"/>
      </w:rPr>
      <w:t>4</w:t>
    </w:r>
    <w:r w:rsidR="002F77FC" w:rsidRPr="002F280A">
      <w:rPr>
        <w:szCs w:val="22"/>
      </w:rPr>
      <w:t>/</w:t>
    </w:r>
    <w:r w:rsidR="00E9691D">
      <w:rPr>
        <w:szCs w:val="22"/>
      </w:rPr>
      <w:t>5</w:t>
    </w:r>
  </w:p>
  <w:p w:rsidR="00E9691D" w:rsidRPr="002F280A" w:rsidRDefault="00E9691D" w:rsidP="002F280A">
    <w:pPr>
      <w:rPr>
        <w:szCs w:val="22"/>
      </w:rPr>
    </w:pPr>
    <w:r>
      <w:rPr>
        <w:szCs w:val="22"/>
      </w:rPr>
      <w:t>Annex I</w:t>
    </w:r>
  </w:p>
  <w:p w:rsidR="002F77FC" w:rsidRDefault="002F77FC" w:rsidP="00D61541">
    <w:r>
      <w:fldChar w:fldCharType="begin"/>
    </w:r>
    <w:r>
      <w:instrText xml:space="preserve"> PAGE  \* MERGEFORMAT </w:instrText>
    </w:r>
    <w:r>
      <w:fldChar w:fldCharType="separate"/>
    </w:r>
    <w:r w:rsidR="00F047A1">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91D" w:rsidRDefault="00E9691D" w:rsidP="00E9691D">
    <w:pPr>
      <w:pStyle w:val="Header"/>
    </w:pPr>
    <w:r>
      <w:t>CWS/4/5</w:t>
    </w:r>
  </w:p>
  <w:p w:rsidR="00E9691D" w:rsidRDefault="00E9691D" w:rsidP="00E9691D">
    <w:pPr>
      <w:pStyle w:val="Header"/>
    </w:pPr>
    <w:r>
      <w:t>ANNEX I</w:t>
    </w:r>
  </w:p>
  <w:p w:rsidR="00E9691D" w:rsidRPr="00E9691D" w:rsidRDefault="00E9691D" w:rsidP="00E9691D">
    <w:pPr>
      <w:pStyle w:val="Header"/>
      <w:rPr>
        <w:rFonts w:ascii="Arabic Typesetting" w:hAnsi="Arabic Typesetting" w:cs="Arabic Typesetting"/>
        <w:sz w:val="36"/>
        <w:szCs w:val="36"/>
        <w:rtl/>
      </w:rPr>
    </w:pPr>
    <w:r w:rsidRPr="00E9691D">
      <w:rPr>
        <w:rFonts w:ascii="Arabic Typesetting" w:hAnsi="Arabic Typesetting" w:cs="Arabic Typesetting"/>
        <w:sz w:val="36"/>
        <w:szCs w:val="36"/>
        <w:rtl/>
      </w:rPr>
      <w:t>المرفق الأول</w:t>
    </w:r>
  </w:p>
  <w:p w:rsidR="00E9691D" w:rsidRDefault="00E969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CC3" w:rsidRDefault="00687686" w:rsidP="00477D6B">
    <w:pPr>
      <w:jc w:val="right"/>
    </w:pPr>
    <w:r>
      <w:t>CWS/4/5</w:t>
    </w:r>
  </w:p>
  <w:p w:rsidR="00EC4E49" w:rsidRDefault="00687686" w:rsidP="00477D6B">
    <w:pPr>
      <w:jc w:val="right"/>
    </w:pPr>
    <w:r>
      <w:t>ANNEX I, APPENDIX</w:t>
    </w:r>
  </w:p>
  <w:p w:rsidR="00EC4E49" w:rsidRDefault="00F047A1"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8" w:rsidRDefault="00687686" w:rsidP="009403B0">
    <w:r>
      <w:t>CWS/4/5</w:t>
    </w:r>
  </w:p>
  <w:p w:rsidR="00BB74B8" w:rsidRDefault="00687686" w:rsidP="009403B0">
    <w:r>
      <w:t>ANNEX I</w:t>
    </w:r>
    <w:r w:rsidR="009403B0">
      <w:t>, APPENDIX</w:t>
    </w:r>
  </w:p>
  <w:p w:rsidR="009403B0" w:rsidRPr="009403B0" w:rsidRDefault="009403B0" w:rsidP="009403B0">
    <w:pPr>
      <w:rPr>
        <w:rFonts w:ascii="Arabic Typesetting" w:hAnsi="Arabic Typesetting" w:cs="Arabic Typesetting"/>
        <w:sz w:val="36"/>
        <w:szCs w:val="36"/>
        <w:rtl/>
      </w:rPr>
    </w:pPr>
    <w:r w:rsidRPr="009403B0">
      <w:rPr>
        <w:rFonts w:ascii="Arabic Typesetting" w:hAnsi="Arabic Typesetting" w:cs="Arabic Typesetting"/>
        <w:sz w:val="36"/>
        <w:szCs w:val="36"/>
        <w:rtl/>
      </w:rPr>
      <w:t>الملحق</w:t>
    </w:r>
  </w:p>
  <w:p w:rsidR="00BB74B8" w:rsidRDefault="00F047A1" w:rsidP="00BB74B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A9"/>
    <w:rsid w:val="00001D4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C5C"/>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629"/>
    <w:rsid w:val="00094C85"/>
    <w:rsid w:val="00094D7E"/>
    <w:rsid w:val="0009517B"/>
    <w:rsid w:val="000956E3"/>
    <w:rsid w:val="00095AE2"/>
    <w:rsid w:val="000962DF"/>
    <w:rsid w:val="0009661E"/>
    <w:rsid w:val="000A12BC"/>
    <w:rsid w:val="000A1306"/>
    <w:rsid w:val="000A1521"/>
    <w:rsid w:val="000A280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544"/>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401"/>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22C"/>
    <w:rsid w:val="00155CEA"/>
    <w:rsid w:val="00156153"/>
    <w:rsid w:val="001563D9"/>
    <w:rsid w:val="00156428"/>
    <w:rsid w:val="001568F4"/>
    <w:rsid w:val="001572CE"/>
    <w:rsid w:val="001603F7"/>
    <w:rsid w:val="00160C95"/>
    <w:rsid w:val="00162777"/>
    <w:rsid w:val="0016337E"/>
    <w:rsid w:val="00164691"/>
    <w:rsid w:val="00164BD2"/>
    <w:rsid w:val="0016542B"/>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1D10"/>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331"/>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078"/>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4F2"/>
    <w:rsid w:val="002A076C"/>
    <w:rsid w:val="002A1059"/>
    <w:rsid w:val="002A2988"/>
    <w:rsid w:val="002A3C9D"/>
    <w:rsid w:val="002A5250"/>
    <w:rsid w:val="002A5403"/>
    <w:rsid w:val="002A6C9F"/>
    <w:rsid w:val="002A77F3"/>
    <w:rsid w:val="002B14F0"/>
    <w:rsid w:val="002B1F0F"/>
    <w:rsid w:val="002B4B1B"/>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80A"/>
    <w:rsid w:val="002F2EC8"/>
    <w:rsid w:val="002F4CE2"/>
    <w:rsid w:val="002F5F6A"/>
    <w:rsid w:val="002F60A4"/>
    <w:rsid w:val="002F6B0C"/>
    <w:rsid w:val="002F77FC"/>
    <w:rsid w:val="003004A6"/>
    <w:rsid w:val="0030129C"/>
    <w:rsid w:val="003013E2"/>
    <w:rsid w:val="00301FE4"/>
    <w:rsid w:val="00302D39"/>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5F84"/>
    <w:rsid w:val="003E6FD2"/>
    <w:rsid w:val="003E788F"/>
    <w:rsid w:val="003E7A97"/>
    <w:rsid w:val="003E7D3A"/>
    <w:rsid w:val="003F0950"/>
    <w:rsid w:val="003F09C9"/>
    <w:rsid w:val="003F4C37"/>
    <w:rsid w:val="003F67AE"/>
    <w:rsid w:val="003F6BBB"/>
    <w:rsid w:val="003F70F1"/>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1234"/>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59E"/>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494B"/>
    <w:rsid w:val="004B57B0"/>
    <w:rsid w:val="004B60CE"/>
    <w:rsid w:val="004B61C9"/>
    <w:rsid w:val="004C0B26"/>
    <w:rsid w:val="004C12FE"/>
    <w:rsid w:val="004C1D57"/>
    <w:rsid w:val="004C2F7C"/>
    <w:rsid w:val="004C34F8"/>
    <w:rsid w:val="004C375F"/>
    <w:rsid w:val="004C482F"/>
    <w:rsid w:val="004C49C9"/>
    <w:rsid w:val="004C4B3D"/>
    <w:rsid w:val="004C627F"/>
    <w:rsid w:val="004C76C1"/>
    <w:rsid w:val="004C7DDE"/>
    <w:rsid w:val="004D0D1A"/>
    <w:rsid w:val="004D169F"/>
    <w:rsid w:val="004D18CF"/>
    <w:rsid w:val="004D30CE"/>
    <w:rsid w:val="004D4071"/>
    <w:rsid w:val="004D421A"/>
    <w:rsid w:val="004D4D0C"/>
    <w:rsid w:val="004D6144"/>
    <w:rsid w:val="004D678F"/>
    <w:rsid w:val="004E067B"/>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4CEA"/>
    <w:rsid w:val="00535060"/>
    <w:rsid w:val="00535738"/>
    <w:rsid w:val="005409EB"/>
    <w:rsid w:val="00540F30"/>
    <w:rsid w:val="00541DD2"/>
    <w:rsid w:val="00543A63"/>
    <w:rsid w:val="00543AB5"/>
    <w:rsid w:val="005457CF"/>
    <w:rsid w:val="00545976"/>
    <w:rsid w:val="0054660F"/>
    <w:rsid w:val="00547628"/>
    <w:rsid w:val="005517C9"/>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0EAA"/>
    <w:rsid w:val="005A255F"/>
    <w:rsid w:val="005A330E"/>
    <w:rsid w:val="005A5554"/>
    <w:rsid w:val="005A5651"/>
    <w:rsid w:val="005A6AFE"/>
    <w:rsid w:val="005A7BF3"/>
    <w:rsid w:val="005A7DE0"/>
    <w:rsid w:val="005B0AEF"/>
    <w:rsid w:val="005B2AE0"/>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5EE"/>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986"/>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77C52"/>
    <w:rsid w:val="00680657"/>
    <w:rsid w:val="00680BD9"/>
    <w:rsid w:val="00681B4A"/>
    <w:rsid w:val="00681D07"/>
    <w:rsid w:val="00681EDA"/>
    <w:rsid w:val="00682017"/>
    <w:rsid w:val="00682AAD"/>
    <w:rsid w:val="006868CA"/>
    <w:rsid w:val="00686E32"/>
    <w:rsid w:val="00687686"/>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99E"/>
    <w:rsid w:val="006C5CD2"/>
    <w:rsid w:val="006D0636"/>
    <w:rsid w:val="006D06DC"/>
    <w:rsid w:val="006D1307"/>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378A"/>
    <w:rsid w:val="007260FE"/>
    <w:rsid w:val="00726DD6"/>
    <w:rsid w:val="0073076E"/>
    <w:rsid w:val="00733416"/>
    <w:rsid w:val="0073377E"/>
    <w:rsid w:val="00733E05"/>
    <w:rsid w:val="0073409A"/>
    <w:rsid w:val="007343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1A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3B0"/>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04E2"/>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A9"/>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77A"/>
    <w:rsid w:val="00AC13B0"/>
    <w:rsid w:val="00AC2FD0"/>
    <w:rsid w:val="00AC3DBD"/>
    <w:rsid w:val="00AC5E85"/>
    <w:rsid w:val="00AD03D8"/>
    <w:rsid w:val="00AD0D5F"/>
    <w:rsid w:val="00AD10B2"/>
    <w:rsid w:val="00AD34CF"/>
    <w:rsid w:val="00AD36C8"/>
    <w:rsid w:val="00AD37C9"/>
    <w:rsid w:val="00AD3D91"/>
    <w:rsid w:val="00AD47D3"/>
    <w:rsid w:val="00AD652F"/>
    <w:rsid w:val="00AD7D05"/>
    <w:rsid w:val="00AE01F6"/>
    <w:rsid w:val="00AE0477"/>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05B"/>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747"/>
    <w:rsid w:val="00BB7D9E"/>
    <w:rsid w:val="00BC16AC"/>
    <w:rsid w:val="00BC2B7B"/>
    <w:rsid w:val="00BC3AE8"/>
    <w:rsid w:val="00BC3AF4"/>
    <w:rsid w:val="00BC43A8"/>
    <w:rsid w:val="00BC5C6D"/>
    <w:rsid w:val="00BC6651"/>
    <w:rsid w:val="00BC7120"/>
    <w:rsid w:val="00BC76A3"/>
    <w:rsid w:val="00BD00D1"/>
    <w:rsid w:val="00BD07A2"/>
    <w:rsid w:val="00BD2603"/>
    <w:rsid w:val="00BD4EEC"/>
    <w:rsid w:val="00BD4F34"/>
    <w:rsid w:val="00BD537C"/>
    <w:rsid w:val="00BD6F5B"/>
    <w:rsid w:val="00BD7662"/>
    <w:rsid w:val="00BD77F9"/>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735"/>
    <w:rsid w:val="00C668DE"/>
    <w:rsid w:val="00C7044F"/>
    <w:rsid w:val="00C720F8"/>
    <w:rsid w:val="00C7294B"/>
    <w:rsid w:val="00C75139"/>
    <w:rsid w:val="00C7525C"/>
    <w:rsid w:val="00C76CF7"/>
    <w:rsid w:val="00C83A4C"/>
    <w:rsid w:val="00C8471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70"/>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91E"/>
    <w:rsid w:val="00D11B8E"/>
    <w:rsid w:val="00D11D8D"/>
    <w:rsid w:val="00D12B12"/>
    <w:rsid w:val="00D12DD7"/>
    <w:rsid w:val="00D13A8C"/>
    <w:rsid w:val="00D149E1"/>
    <w:rsid w:val="00D14A44"/>
    <w:rsid w:val="00D15BCC"/>
    <w:rsid w:val="00D1628F"/>
    <w:rsid w:val="00D216DF"/>
    <w:rsid w:val="00D21D89"/>
    <w:rsid w:val="00D22522"/>
    <w:rsid w:val="00D22657"/>
    <w:rsid w:val="00D228DF"/>
    <w:rsid w:val="00D23557"/>
    <w:rsid w:val="00D2427F"/>
    <w:rsid w:val="00D24BB7"/>
    <w:rsid w:val="00D2506D"/>
    <w:rsid w:val="00D263AE"/>
    <w:rsid w:val="00D27855"/>
    <w:rsid w:val="00D27E5A"/>
    <w:rsid w:val="00D30F5D"/>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2DBC"/>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031"/>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32F0"/>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4DD"/>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0DC"/>
    <w:rsid w:val="00E901FD"/>
    <w:rsid w:val="00E91964"/>
    <w:rsid w:val="00E91FB1"/>
    <w:rsid w:val="00E94468"/>
    <w:rsid w:val="00E94A0E"/>
    <w:rsid w:val="00E96226"/>
    <w:rsid w:val="00E9691D"/>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56"/>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7A1"/>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495"/>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096"/>
    <w:rsid w:val="00F67E6A"/>
    <w:rsid w:val="00F70472"/>
    <w:rsid w:val="00F71430"/>
    <w:rsid w:val="00F71A8A"/>
    <w:rsid w:val="00F72C24"/>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700A"/>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AE0"/>
    <w:rPr>
      <w:rFonts w:ascii="Arial" w:eastAsia="SimSun" w:hAnsi="Arial" w:cs="Arial"/>
      <w:sz w:val="22"/>
      <w:lang w:eastAsia="zh-CN"/>
    </w:rPr>
  </w:style>
  <w:style w:type="paragraph" w:styleId="Heading1">
    <w:name w:val="heading 1"/>
    <w:basedOn w:val="Normal"/>
    <w:next w:val="Normal"/>
    <w:qFormat/>
    <w:rsid w:val="00744889"/>
    <w:pPr>
      <w:keepNext/>
      <w:spacing w:before="240" w:after="60"/>
      <w:outlineLvl w:val="0"/>
    </w:pPr>
    <w:rPr>
      <w:b/>
      <w:bCs/>
      <w:caps/>
      <w:kern w:val="32"/>
      <w:szCs w:val="32"/>
      <w:lang w:eastAsia="en-US"/>
    </w:rPr>
  </w:style>
  <w:style w:type="paragraph" w:styleId="Heading2">
    <w:name w:val="heading 2"/>
    <w:basedOn w:val="Normal"/>
    <w:next w:val="Normal"/>
    <w:qFormat/>
    <w:rsid w:val="00744889"/>
    <w:pPr>
      <w:keepNext/>
      <w:spacing w:before="240" w:after="60"/>
      <w:outlineLvl w:val="1"/>
    </w:pPr>
    <w:rPr>
      <w:bCs/>
      <w:iCs/>
      <w:caps/>
      <w:szCs w:val="28"/>
      <w:lang w:eastAsia="en-US"/>
    </w:rPr>
  </w:style>
  <w:style w:type="paragraph" w:styleId="Heading3">
    <w:name w:val="heading 3"/>
    <w:basedOn w:val="Normal"/>
    <w:next w:val="Normal"/>
    <w:qFormat/>
    <w:rsid w:val="00744889"/>
    <w:pPr>
      <w:keepNext/>
      <w:spacing w:before="240" w:after="60"/>
      <w:outlineLvl w:val="2"/>
    </w:pPr>
    <w:rPr>
      <w:bCs/>
      <w:szCs w:val="26"/>
      <w:u w:val="single"/>
      <w:lang w:eastAsia="en-US"/>
    </w:rPr>
  </w:style>
  <w:style w:type="paragraph" w:styleId="Heading4">
    <w:name w:val="heading 4"/>
    <w:basedOn w:val="Normal"/>
    <w:next w:val="Normal"/>
    <w:qFormat/>
    <w:rsid w:val="00744889"/>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eastAsia="Times New Roman"/>
      <w:lang w:eastAsia="en-US"/>
    </w:rPr>
  </w:style>
  <w:style w:type="paragraph" w:styleId="Footer">
    <w:name w:val="footer"/>
    <w:basedOn w:val="Normal"/>
    <w:semiHidden/>
    <w:rsid w:val="00744889"/>
    <w:pPr>
      <w:tabs>
        <w:tab w:val="center" w:pos="4320"/>
        <w:tab w:val="right" w:pos="8640"/>
      </w:tabs>
    </w:pPr>
    <w:rPr>
      <w:rFonts w:eastAsia="Times New Roman"/>
      <w:lang w:eastAsia="en-US"/>
    </w:r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rPr>
      <w:rFonts w:eastAsia="Times New Roman"/>
      <w:lang w:eastAsia="en-US"/>
    </w:r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rFonts w:eastAsia="Times New Roman"/>
      <w:sz w:val="18"/>
      <w:lang w:eastAsia="en-US"/>
    </w:rPr>
  </w:style>
  <w:style w:type="paragraph" w:styleId="Caption">
    <w:name w:val="caption"/>
    <w:basedOn w:val="Normal"/>
    <w:next w:val="Normal"/>
    <w:qFormat/>
    <w:rsid w:val="00744889"/>
    <w:rPr>
      <w:rFonts w:eastAsia="Times New Roman"/>
      <w:b/>
      <w:bCs/>
      <w:sz w:val="18"/>
      <w:lang w:eastAsia="en-US"/>
    </w:rPr>
  </w:style>
  <w:style w:type="paragraph" w:styleId="CommentText">
    <w:name w:val="annotation text"/>
    <w:basedOn w:val="Normal"/>
    <w:semiHidden/>
    <w:rsid w:val="00744889"/>
    <w:rPr>
      <w:rFonts w:eastAsia="Times New Roman"/>
      <w:sz w:val="18"/>
      <w:lang w:eastAsia="en-US"/>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rPr>
      <w:rFonts w:eastAsia="Times New Roman"/>
      <w:lang w:eastAsia="en-US"/>
    </w:r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B7EC9"/>
    <w:pPr>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B7EC9"/>
    <w:pPr>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E7604"/>
    <w:pPr>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E7604"/>
    <w:pPr>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B7EC9"/>
    <w:pPr>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E7604"/>
    <w:pPr>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931859"/>
    <w:pPr>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E9691D"/>
    <w:rPr>
      <w:rFonts w:ascii="Arial" w:hAnsi="Arial" w:cs="Arial"/>
      <w:sz w:val="22"/>
    </w:rPr>
  </w:style>
  <w:style w:type="paragraph" w:customStyle="1" w:styleId="Endofdocument-Annex">
    <w:name w:val="[End of document - Annex]"/>
    <w:basedOn w:val="Normal"/>
    <w:rsid w:val="005B2AE0"/>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AE0"/>
    <w:rPr>
      <w:rFonts w:ascii="Arial" w:eastAsia="SimSun" w:hAnsi="Arial" w:cs="Arial"/>
      <w:sz w:val="22"/>
      <w:lang w:eastAsia="zh-CN"/>
    </w:rPr>
  </w:style>
  <w:style w:type="paragraph" w:styleId="Heading1">
    <w:name w:val="heading 1"/>
    <w:basedOn w:val="Normal"/>
    <w:next w:val="Normal"/>
    <w:qFormat/>
    <w:rsid w:val="00744889"/>
    <w:pPr>
      <w:keepNext/>
      <w:spacing w:before="240" w:after="60"/>
      <w:outlineLvl w:val="0"/>
    </w:pPr>
    <w:rPr>
      <w:b/>
      <w:bCs/>
      <w:caps/>
      <w:kern w:val="32"/>
      <w:szCs w:val="32"/>
      <w:lang w:eastAsia="en-US"/>
    </w:rPr>
  </w:style>
  <w:style w:type="paragraph" w:styleId="Heading2">
    <w:name w:val="heading 2"/>
    <w:basedOn w:val="Normal"/>
    <w:next w:val="Normal"/>
    <w:qFormat/>
    <w:rsid w:val="00744889"/>
    <w:pPr>
      <w:keepNext/>
      <w:spacing w:before="240" w:after="60"/>
      <w:outlineLvl w:val="1"/>
    </w:pPr>
    <w:rPr>
      <w:bCs/>
      <w:iCs/>
      <w:caps/>
      <w:szCs w:val="28"/>
      <w:lang w:eastAsia="en-US"/>
    </w:rPr>
  </w:style>
  <w:style w:type="paragraph" w:styleId="Heading3">
    <w:name w:val="heading 3"/>
    <w:basedOn w:val="Normal"/>
    <w:next w:val="Normal"/>
    <w:qFormat/>
    <w:rsid w:val="00744889"/>
    <w:pPr>
      <w:keepNext/>
      <w:spacing w:before="240" w:after="60"/>
      <w:outlineLvl w:val="2"/>
    </w:pPr>
    <w:rPr>
      <w:bCs/>
      <w:szCs w:val="26"/>
      <w:u w:val="single"/>
      <w:lang w:eastAsia="en-US"/>
    </w:rPr>
  </w:style>
  <w:style w:type="paragraph" w:styleId="Heading4">
    <w:name w:val="heading 4"/>
    <w:basedOn w:val="Normal"/>
    <w:next w:val="Normal"/>
    <w:qFormat/>
    <w:rsid w:val="00744889"/>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eastAsia="Times New Roman"/>
      <w:lang w:eastAsia="en-US"/>
    </w:rPr>
  </w:style>
  <w:style w:type="paragraph" w:styleId="Footer">
    <w:name w:val="footer"/>
    <w:basedOn w:val="Normal"/>
    <w:semiHidden/>
    <w:rsid w:val="00744889"/>
    <w:pPr>
      <w:tabs>
        <w:tab w:val="center" w:pos="4320"/>
        <w:tab w:val="right" w:pos="8640"/>
      </w:tabs>
    </w:pPr>
    <w:rPr>
      <w:rFonts w:eastAsia="Times New Roman"/>
      <w:lang w:eastAsia="en-US"/>
    </w:r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rPr>
      <w:rFonts w:eastAsia="Times New Roman"/>
      <w:lang w:eastAsia="en-US"/>
    </w:r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rFonts w:eastAsia="Times New Roman"/>
      <w:sz w:val="18"/>
      <w:lang w:eastAsia="en-US"/>
    </w:rPr>
  </w:style>
  <w:style w:type="paragraph" w:styleId="Caption">
    <w:name w:val="caption"/>
    <w:basedOn w:val="Normal"/>
    <w:next w:val="Normal"/>
    <w:qFormat/>
    <w:rsid w:val="00744889"/>
    <w:rPr>
      <w:rFonts w:eastAsia="Times New Roman"/>
      <w:b/>
      <w:bCs/>
      <w:sz w:val="18"/>
      <w:lang w:eastAsia="en-US"/>
    </w:rPr>
  </w:style>
  <w:style w:type="paragraph" w:styleId="CommentText">
    <w:name w:val="annotation text"/>
    <w:basedOn w:val="Normal"/>
    <w:semiHidden/>
    <w:rsid w:val="00744889"/>
    <w:rPr>
      <w:rFonts w:eastAsia="Times New Roman"/>
      <w:sz w:val="18"/>
      <w:lang w:eastAsia="en-US"/>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rPr>
      <w:rFonts w:eastAsia="Times New Roman"/>
      <w:lang w:eastAsia="en-US"/>
    </w:r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B7EC9"/>
    <w:pPr>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B7EC9"/>
    <w:pPr>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E7604"/>
    <w:pPr>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E7604"/>
    <w:pPr>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B7EC9"/>
    <w:pPr>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E7604"/>
    <w:pPr>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931859"/>
    <w:pPr>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E9691D"/>
    <w:rPr>
      <w:rFonts w:ascii="Arial" w:hAnsi="Arial" w:cs="Arial"/>
      <w:sz w:val="22"/>
    </w:rPr>
  </w:style>
  <w:style w:type="paragraph" w:customStyle="1" w:styleId="Endofdocument-Annex">
    <w:name w:val="[End of document - Annex]"/>
    <w:basedOn w:val="Normal"/>
    <w:rsid w:val="005B2AE0"/>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A3F1D-42DA-47BC-B41C-373493E9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CWS/4/5 Annex I (in Arabic)</vt:lpstr>
    </vt:vector>
  </TitlesOfParts>
  <Company>WIPO</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CWS/4/5 Annex I (in Arabic)</dc:title>
  <dc:subject>اقتراح لمراجعة الفقرة 14 من معيار الويبو ST.14</dc:subject>
  <dc:creator>WIPO</dc:creator>
  <cp:lastModifiedBy>Geraldine Rodriguez</cp:lastModifiedBy>
  <cp:revision>2</cp:revision>
  <cp:lastPrinted>2011-07-08T12:30:00Z</cp:lastPrinted>
  <dcterms:created xsi:type="dcterms:W3CDTF">2014-04-14T14:05:00Z</dcterms:created>
  <dcterms:modified xsi:type="dcterms:W3CDTF">2014-04-14T14:05:00Z</dcterms:modified>
</cp:coreProperties>
</file>