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44" w:rsidRDefault="00FB134E" w:rsidP="00C036DC">
      <w:pPr>
        <w:pStyle w:val="Heading1AR"/>
        <w:rPr>
          <w:rtl/>
        </w:rPr>
      </w:pPr>
      <w:bookmarkStart w:id="2" w:name="_GoBack"/>
      <w:bookmarkEnd w:id="2"/>
      <w:r>
        <w:rPr>
          <w:rFonts w:hint="cs"/>
          <w:rtl/>
        </w:rPr>
        <w:t>اقتراح لتغيير معيار الويبو</w:t>
      </w:r>
      <w:r w:rsidR="00485723">
        <w:rPr>
          <w:rFonts w:hint="cs"/>
          <w:rtl/>
        </w:rPr>
        <w:t xml:space="preserve"> </w:t>
      </w:r>
      <w:r w:rsidR="00485723" w:rsidRPr="00465BAF">
        <w:rPr>
          <w:b/>
          <w:bCs w:val="0"/>
          <w:lang w:bidi="ar-EG"/>
        </w:rPr>
        <w:t>ST.96</w:t>
      </w:r>
      <w:r w:rsidRPr="00465BAF">
        <w:rPr>
          <w:rFonts w:hint="cs"/>
          <w:b/>
          <w:bCs w:val="0"/>
          <w:rtl/>
        </w:rPr>
        <w:t xml:space="preserve"> </w:t>
      </w:r>
      <w:r>
        <w:rPr>
          <w:rFonts w:hint="cs"/>
          <w:rtl/>
        </w:rPr>
        <w:t>لإدراج حق المؤلف للمصنفات اليتيمة</w:t>
      </w:r>
    </w:p>
    <w:p w:rsidR="00FB134E" w:rsidRPr="00FB134E" w:rsidRDefault="00FB134E" w:rsidP="00A81D5F">
      <w:pPr>
        <w:pStyle w:val="PreparedbyAR"/>
        <w:bidi/>
        <w:rPr>
          <w:rtl/>
          <w:lang w:bidi="ar-EG"/>
        </w:rPr>
      </w:pPr>
      <w:r>
        <w:rPr>
          <w:rFonts w:hint="cs"/>
          <w:rtl/>
        </w:rPr>
        <w:t>وثيقة من إعداد مكتب المملكة المتحدة للملكية الفكرية</w:t>
      </w:r>
      <w:r w:rsidR="00BA748B">
        <w:rPr>
          <w:rFonts w:hint="cs"/>
          <w:rtl/>
        </w:rPr>
        <w:t xml:space="preserve"> (</w:t>
      </w:r>
      <w:r w:rsidR="00BA748B">
        <w:t>UKIPO</w:t>
      </w:r>
      <w:r w:rsidR="00BA748B">
        <w:rPr>
          <w:rFonts w:hint="cs"/>
          <w:rtl/>
          <w:lang w:bidi="ar-EG"/>
        </w:rPr>
        <w:t>)</w:t>
      </w:r>
    </w:p>
    <w:p w:rsidR="00317344" w:rsidRDefault="00FB134E" w:rsidP="00C036DC">
      <w:pPr>
        <w:pStyle w:val="NumberedParaAR"/>
      </w:pPr>
      <w:r>
        <w:rPr>
          <w:rFonts w:hint="cs"/>
          <w:rtl/>
        </w:rPr>
        <w:t xml:space="preserve">سوف </w:t>
      </w:r>
      <w:r w:rsidRPr="009A7358">
        <w:rPr>
          <w:color w:val="000000"/>
          <w:rtl/>
        </w:rPr>
        <w:t>يبدأ مكتب المملكة المتحدة للملكية الفكرية قريباً في تسجيل حقوق ملكية فكرية محمية بموجب حق المؤلف. وعلى هذا النحو، نسعى في إدراج حق المؤلف في المصنفات اليتيمة في نطاق عمل اللجنة المعنية بمعايير الويبو (</w:t>
      </w:r>
      <w:r w:rsidRPr="009A7358">
        <w:rPr>
          <w:color w:val="000000"/>
        </w:rPr>
        <w:t>CWS</w:t>
      </w:r>
      <w:r>
        <w:rPr>
          <w:rFonts w:hint="cs"/>
          <w:rtl/>
        </w:rPr>
        <w:t>).</w:t>
      </w:r>
    </w:p>
    <w:p w:rsidR="00C036DC" w:rsidRDefault="00FB134E" w:rsidP="00C036DC">
      <w:pPr>
        <w:pStyle w:val="NumberedParaAR"/>
      </w:pPr>
      <w:r>
        <w:rPr>
          <w:rFonts w:hint="cs"/>
          <w:rtl/>
        </w:rPr>
        <w:t xml:space="preserve">"يحدد </w:t>
      </w:r>
      <w:r w:rsidRPr="009A7358">
        <w:rPr>
          <w:color w:val="000000"/>
          <w:rtl/>
        </w:rPr>
        <w:t>توجيه الاتحاد الأوروبي 2012/28/الاتحاد الأوروبي قواعد مشتركة بشأن رقمنة ما يسمى بالمصنفات اليتيمية وعرضها على شبكة الإنترنت. يُقصد بالمصنفات اليتيمة في تلك الحالة، الأعمال مثل الكتب ومقالات الصحف والأفلام التي لا تزال محمية بموجب حق المؤلف ولكن ليس من المعروف من هم مؤلفيها أو من هم أصحاب الحقوق الآخرين، أو يتعذر تحديد أماكنهم أو الاتصال بهم للحصول على تراخيص حق المؤلف. تُشَكِّل المصنفات اليتيمة جزءاً من المجموعات المُحتفظ بها في المكتبات الأوروبية التي قد تظل بمنأى عن أي قواعد مشتركة تجعل من الممكن رقمنة تلك المصنفات أو عرضها على شبكة الإنترنت بطريقة مشروعة". هذه الفقرة مأخوذة من الموقع الالكتروني "لمفوضية الاتحاد الأوروبي</w:t>
      </w:r>
      <w:r>
        <w:rPr>
          <w:rFonts w:hint="cs"/>
          <w:rtl/>
        </w:rPr>
        <w:t>".</w:t>
      </w:r>
    </w:p>
    <w:p w:rsidR="00C036DC" w:rsidRDefault="00FB134E" w:rsidP="00C036DC">
      <w:pPr>
        <w:pStyle w:val="NumberedParaAR"/>
      </w:pPr>
      <w:r>
        <w:rPr>
          <w:rFonts w:hint="cs"/>
          <w:rtl/>
        </w:rPr>
        <w:t xml:space="preserve">ترغب </w:t>
      </w:r>
      <w:r w:rsidRPr="009A7358">
        <w:rPr>
          <w:rtl/>
        </w:rPr>
        <w:t>حكومة المملكة المتحدة في توفير خدمة جيدة ذات صلة بتلك المصنفات؛ تساهم هذه الخدمة في تمكين الأفراد والهيئات المقيمة في المملكة المتحدة من الاستغلال التجاري للمصنفات اليتيمية بطريقة مشروعة</w:t>
      </w:r>
      <w:r>
        <w:rPr>
          <w:rFonts w:hint="cs"/>
          <w:rtl/>
        </w:rPr>
        <w:t>.</w:t>
      </w:r>
    </w:p>
    <w:p w:rsidR="00C036DC" w:rsidRDefault="00FB134E" w:rsidP="00C036DC">
      <w:pPr>
        <w:pStyle w:val="NumberedParaAR"/>
      </w:pPr>
      <w:r>
        <w:rPr>
          <w:rFonts w:hint="cs"/>
          <w:rtl/>
        </w:rPr>
        <w:t xml:space="preserve">وبما أن </w:t>
      </w:r>
      <w:r w:rsidRPr="009A7358">
        <w:rPr>
          <w:rtl/>
        </w:rPr>
        <w:t xml:space="preserve">الإجراءات السابقة تؤدي إلى جعل حق المؤلف من الحقوق المسجلة على نحو جزئي، ومن ثم ظهور الحاجة إلى بدء تبادل وحفظ البيانات. وبما أن معيار الويبو </w:t>
      </w:r>
      <w:r w:rsidRPr="009A7358">
        <w:t>ST.96</w:t>
      </w:r>
      <w:r w:rsidRPr="009A7358">
        <w:rPr>
          <w:rtl/>
        </w:rPr>
        <w:t xml:space="preserve"> هو نسق البيانات المقبول للحقوق المسجلة المرتبطة ببراءات الاختراع والتصاميم الصناعية والعلامات التجارية، فنقترح توسيع إطار المعيار </w:t>
      </w:r>
      <w:r w:rsidRPr="009A7358">
        <w:t>ST.96</w:t>
      </w:r>
      <w:r w:rsidRPr="009A7358">
        <w:rPr>
          <w:rtl/>
        </w:rPr>
        <w:t xml:space="preserve"> ليشمل حق المؤلف</w:t>
      </w:r>
      <w:r>
        <w:rPr>
          <w:rFonts w:hint="cs"/>
          <w:rtl/>
        </w:rPr>
        <w:t>.</w:t>
      </w:r>
    </w:p>
    <w:p w:rsidR="00C036DC" w:rsidRDefault="00FB134E" w:rsidP="00C036DC">
      <w:pPr>
        <w:pStyle w:val="NumberedParaAR"/>
      </w:pPr>
      <w:r>
        <w:rPr>
          <w:rFonts w:hint="cs"/>
          <w:rtl/>
        </w:rPr>
        <w:t xml:space="preserve">يقترح </w:t>
      </w:r>
      <w:r w:rsidRPr="009A7358">
        <w:rPr>
          <w:color w:val="000000"/>
          <w:rtl/>
        </w:rPr>
        <w:t>مكتب المملكة المتحدة للملكية الفكرية النظر في الآتي بعد وإقراره من قبل الهيئة المعنية بمعايير الويبو</w:t>
      </w:r>
      <w:r>
        <w:rPr>
          <w:rFonts w:hint="cs"/>
          <w:rtl/>
        </w:rPr>
        <w:t>:</w:t>
      </w:r>
    </w:p>
    <w:p w:rsidR="00FB134E" w:rsidRDefault="00FB134E" w:rsidP="00A81D5F">
      <w:pPr>
        <w:pStyle w:val="NumberedParaAR"/>
        <w:numPr>
          <w:ilvl w:val="0"/>
          <w:numId w:val="31"/>
        </w:numPr>
        <w:spacing w:after="120"/>
        <w:ind w:left="567" w:firstLine="0"/>
      </w:pPr>
      <w:r>
        <w:rPr>
          <w:rFonts w:hint="cs"/>
          <w:rtl/>
        </w:rPr>
        <w:t xml:space="preserve">توسيع </w:t>
      </w:r>
      <w:r w:rsidRPr="009A7358">
        <w:rPr>
          <w:color w:val="000000"/>
          <w:rtl/>
        </w:rPr>
        <w:t xml:space="preserve">نطاق قاموس البيانات ومخططات لغة الترميز الموسعة </w:t>
      </w:r>
      <w:r w:rsidRPr="009A7358">
        <w:rPr>
          <w:color w:val="000000"/>
        </w:rPr>
        <w:t>XML</w:t>
      </w:r>
      <w:r w:rsidRPr="009A7358">
        <w:rPr>
          <w:color w:val="000000"/>
          <w:rtl/>
        </w:rPr>
        <w:t xml:space="preserve"> لتشمل كافة الحقوق المسجلة</w:t>
      </w:r>
      <w:r>
        <w:rPr>
          <w:rFonts w:hint="cs"/>
          <w:rtl/>
        </w:rPr>
        <w:t>؛ و</w:t>
      </w:r>
    </w:p>
    <w:p w:rsidR="00FB134E" w:rsidRDefault="00BA748B" w:rsidP="00A81D5F">
      <w:pPr>
        <w:pStyle w:val="NumberedParaAR"/>
        <w:numPr>
          <w:ilvl w:val="0"/>
          <w:numId w:val="31"/>
        </w:numPr>
        <w:ind w:left="566" w:firstLine="0"/>
      </w:pPr>
      <w:r>
        <w:rPr>
          <w:rFonts w:hint="cs"/>
          <w:rtl/>
        </w:rPr>
        <w:t>تحديد</w:t>
      </w:r>
      <w:r w:rsidR="00FB134E">
        <w:rPr>
          <w:rFonts w:hint="cs"/>
          <w:rtl/>
        </w:rPr>
        <w:t xml:space="preserve"> </w:t>
      </w:r>
      <w:r w:rsidR="00FB134E" w:rsidRPr="009A7358">
        <w:rPr>
          <w:color w:val="000000"/>
          <w:rtl/>
        </w:rPr>
        <w:t>مكونات مخططات لغة</w:t>
      </w:r>
      <w:r>
        <w:rPr>
          <w:rFonts w:hint="cs"/>
          <w:color w:val="000000"/>
          <w:rtl/>
        </w:rPr>
        <w:t xml:space="preserve"> الترميز الموسعة</w:t>
      </w:r>
      <w:r w:rsidR="00FB134E" w:rsidRPr="009A7358">
        <w:rPr>
          <w:color w:val="000000"/>
          <w:rtl/>
        </w:rPr>
        <w:t xml:space="preserve"> </w:t>
      </w:r>
      <w:r w:rsidR="00FB134E" w:rsidRPr="009A7358">
        <w:rPr>
          <w:color w:val="000000"/>
        </w:rPr>
        <w:t>XML</w:t>
      </w:r>
      <w:r w:rsidR="00FB134E" w:rsidRPr="009A7358">
        <w:rPr>
          <w:color w:val="000000"/>
          <w:rtl/>
        </w:rPr>
        <w:t xml:space="preserve"> المرتبطة والذي سيقتصر في البداية على حق المؤلف للمصنفات اليتيمية</w:t>
      </w:r>
      <w:r w:rsidR="00FB134E">
        <w:rPr>
          <w:rFonts w:hint="cs"/>
          <w:color w:val="000000"/>
          <w:rtl/>
        </w:rPr>
        <w:t>.</w:t>
      </w:r>
    </w:p>
    <w:p w:rsidR="00C036DC" w:rsidRDefault="00FB134E" w:rsidP="00BA748B">
      <w:pPr>
        <w:pStyle w:val="NumberedParaAR"/>
      </w:pPr>
      <w:r>
        <w:rPr>
          <w:rFonts w:hint="cs"/>
          <w:rtl/>
        </w:rPr>
        <w:t xml:space="preserve">كما </w:t>
      </w:r>
      <w:r w:rsidRPr="009A7358">
        <w:rPr>
          <w:rtl/>
        </w:rPr>
        <w:t xml:space="preserve">يقترح مكتب المملكة المتحدة للملكية الفكرية على اللجنة المعنية بمعايير الويبو </w:t>
      </w:r>
      <w:r w:rsidR="00BA748B">
        <w:rPr>
          <w:rFonts w:hint="cs"/>
          <w:rtl/>
        </w:rPr>
        <w:t>الآتي</w:t>
      </w:r>
      <w:r>
        <w:rPr>
          <w:rFonts w:hint="cs"/>
          <w:rtl/>
        </w:rPr>
        <w:t>:</w:t>
      </w:r>
    </w:p>
    <w:p w:rsidR="00317344" w:rsidRPr="00222404" w:rsidRDefault="00FB134E" w:rsidP="00007942">
      <w:pPr>
        <w:pStyle w:val="PreparedbyAR"/>
        <w:numPr>
          <w:ilvl w:val="0"/>
          <w:numId w:val="30"/>
        </w:numPr>
        <w:bidi/>
        <w:spacing w:before="0" w:after="120"/>
        <w:ind w:left="566" w:firstLine="0"/>
        <w:rPr>
          <w:i w:val="0"/>
          <w:iCs w:val="0"/>
        </w:rPr>
      </w:pPr>
      <w:r>
        <w:rPr>
          <w:rFonts w:hint="cs"/>
          <w:i w:val="0"/>
          <w:iCs w:val="0"/>
          <w:rtl/>
        </w:rPr>
        <w:t xml:space="preserve">الإحاطة </w:t>
      </w:r>
      <w:r w:rsidRPr="009A7358">
        <w:rPr>
          <w:color w:val="000000"/>
          <w:rtl/>
        </w:rPr>
        <w:t xml:space="preserve">بتشريعات الاتحاد الأوروبي والمملكة المتحدة، والإشارة إلى مسودة مشروع الترخيص كما هو مبين في الملحق </w:t>
      </w:r>
      <w:r w:rsidR="00007942">
        <w:rPr>
          <w:rFonts w:hint="cs"/>
          <w:color w:val="000000"/>
          <w:rtl/>
        </w:rPr>
        <w:t>الأول</w:t>
      </w:r>
      <w:r>
        <w:rPr>
          <w:rFonts w:hint="cs"/>
          <w:color w:val="000000"/>
          <w:rtl/>
        </w:rPr>
        <w:t>؛</w:t>
      </w:r>
    </w:p>
    <w:p w:rsidR="00222404" w:rsidRPr="00222404" w:rsidRDefault="00FB134E" w:rsidP="00007942">
      <w:pPr>
        <w:pStyle w:val="PreparedbyAR"/>
        <w:numPr>
          <w:ilvl w:val="0"/>
          <w:numId w:val="30"/>
        </w:numPr>
        <w:bidi/>
        <w:spacing w:before="0" w:after="120"/>
        <w:ind w:left="566" w:firstLine="0"/>
        <w:rPr>
          <w:i w:val="0"/>
          <w:iCs w:val="0"/>
        </w:rPr>
      </w:pPr>
      <w:r>
        <w:rPr>
          <w:rFonts w:hint="cs"/>
          <w:i w:val="0"/>
          <w:iCs w:val="0"/>
          <w:rtl/>
        </w:rPr>
        <w:t xml:space="preserve">إقرار </w:t>
      </w:r>
      <w:r w:rsidRPr="009A7358">
        <w:rPr>
          <w:color w:val="000000"/>
          <w:rtl/>
        </w:rPr>
        <w:t>الحاجة إلى توسيع نطاق الحقوق المسجلة لتشمل حق المؤلف</w:t>
      </w:r>
      <w:r>
        <w:rPr>
          <w:rFonts w:hint="cs"/>
          <w:color w:val="000000"/>
          <w:rtl/>
        </w:rPr>
        <w:t>؛</w:t>
      </w:r>
    </w:p>
    <w:p w:rsidR="00317344" w:rsidRPr="00222404" w:rsidRDefault="00FB134E" w:rsidP="00007942">
      <w:pPr>
        <w:pStyle w:val="PreparedbyAR"/>
        <w:numPr>
          <w:ilvl w:val="0"/>
          <w:numId w:val="30"/>
        </w:numPr>
        <w:bidi/>
        <w:spacing w:before="0" w:after="120"/>
        <w:ind w:left="566" w:firstLine="0"/>
        <w:rPr>
          <w:i w:val="0"/>
          <w:iCs w:val="0"/>
        </w:rPr>
      </w:pPr>
      <w:r>
        <w:rPr>
          <w:rFonts w:hint="cs"/>
          <w:i w:val="0"/>
          <w:iCs w:val="0"/>
          <w:rtl/>
        </w:rPr>
        <w:t xml:space="preserve">النظر </w:t>
      </w:r>
      <w:r w:rsidRPr="009A7358">
        <w:rPr>
          <w:color w:val="000000"/>
          <w:rtl/>
        </w:rPr>
        <w:t xml:space="preserve">في والموافقة على توسيع نطاق "فرقة عمل </w:t>
      </w:r>
      <w:r w:rsidRPr="009A7358">
        <w:rPr>
          <w:color w:val="000000"/>
        </w:rPr>
        <w:t>XML4IP</w:t>
      </w:r>
      <w:r w:rsidRPr="009A7358">
        <w:rPr>
          <w:color w:val="000000"/>
          <w:rtl/>
        </w:rPr>
        <w:t>" ليشمل كافة الحقوق المسجلة</w:t>
      </w:r>
      <w:r>
        <w:rPr>
          <w:rFonts w:hint="cs"/>
          <w:color w:val="000000"/>
          <w:rtl/>
        </w:rPr>
        <w:t>؛</w:t>
      </w:r>
    </w:p>
    <w:p w:rsidR="00222404" w:rsidRPr="00222404" w:rsidRDefault="00FB134E" w:rsidP="007B0666">
      <w:pPr>
        <w:pStyle w:val="PreparedbyAR"/>
        <w:numPr>
          <w:ilvl w:val="0"/>
          <w:numId w:val="30"/>
        </w:numPr>
        <w:bidi/>
        <w:spacing w:before="0" w:after="120"/>
        <w:ind w:left="566" w:firstLine="0"/>
        <w:rPr>
          <w:i w:val="0"/>
          <w:iCs w:val="0"/>
        </w:rPr>
      </w:pPr>
      <w:r>
        <w:rPr>
          <w:rFonts w:hint="cs"/>
          <w:i w:val="0"/>
          <w:iCs w:val="0"/>
          <w:rtl/>
        </w:rPr>
        <w:t xml:space="preserve">النظر في </w:t>
      </w:r>
      <w:r w:rsidRPr="009A7358">
        <w:rPr>
          <w:color w:val="000000"/>
          <w:rtl/>
        </w:rPr>
        <w:t xml:space="preserve">والموافقة على إدراج بيانات حق المؤلف في إطار معيار الويبو </w:t>
      </w:r>
      <w:r w:rsidRPr="009A7358">
        <w:rPr>
          <w:color w:val="000000"/>
        </w:rPr>
        <w:t>ST.96</w:t>
      </w:r>
      <w:r w:rsidRPr="009A7358">
        <w:rPr>
          <w:color w:val="000000"/>
          <w:rtl/>
        </w:rPr>
        <w:t>؛</w:t>
      </w:r>
      <w:r>
        <w:rPr>
          <w:rFonts w:hint="cs"/>
          <w:color w:val="000000"/>
          <w:rtl/>
        </w:rPr>
        <w:t xml:space="preserve"> </w:t>
      </w:r>
    </w:p>
    <w:p w:rsidR="00317344" w:rsidRDefault="00FB134E" w:rsidP="00007942">
      <w:pPr>
        <w:pStyle w:val="PreparedbyAR"/>
        <w:numPr>
          <w:ilvl w:val="0"/>
          <w:numId w:val="30"/>
        </w:numPr>
        <w:bidi/>
        <w:spacing w:before="0" w:after="120"/>
        <w:ind w:left="566" w:firstLine="0"/>
        <w:rPr>
          <w:i w:val="0"/>
          <w:iCs w:val="0"/>
          <w:rtl/>
        </w:rPr>
      </w:pPr>
      <w:r>
        <w:rPr>
          <w:rFonts w:hint="cs"/>
          <w:i w:val="0"/>
          <w:iCs w:val="0"/>
          <w:rtl/>
        </w:rPr>
        <w:t xml:space="preserve">النظر في </w:t>
      </w:r>
      <w:r w:rsidRPr="009A7358">
        <w:rPr>
          <w:color w:val="000000"/>
          <w:rtl/>
        </w:rPr>
        <w:t xml:space="preserve">المخطط المقترح والوارد في "الملحق 3" في إطار "فرقة العمل </w:t>
      </w:r>
      <w:r w:rsidRPr="009A7358">
        <w:rPr>
          <w:color w:val="000000"/>
        </w:rPr>
        <w:t>XML4IP</w:t>
      </w:r>
      <w:r>
        <w:rPr>
          <w:rFonts w:hint="cs"/>
          <w:i w:val="0"/>
          <w:iCs w:val="0"/>
          <w:rtl/>
        </w:rPr>
        <w:t>".</w:t>
      </w:r>
    </w:p>
    <w:p w:rsidR="00317344" w:rsidRDefault="00222404" w:rsidP="00222404">
      <w:pPr>
        <w:pStyle w:val="EndofDocumentAR"/>
        <w:rPr>
          <w:rtl/>
        </w:rPr>
      </w:pPr>
      <w:r>
        <w:rPr>
          <w:rFonts w:hint="cs"/>
          <w:rtl/>
        </w:rPr>
        <w:t>[يلي ذلك الملحق الأول]</w:t>
      </w:r>
    </w:p>
    <w:p w:rsidR="0066451E" w:rsidRDefault="0066451E" w:rsidP="00317344">
      <w:pPr>
        <w:pStyle w:val="PreparedbyAR"/>
        <w:bidi/>
        <w:rPr>
          <w:rtl/>
        </w:rPr>
        <w:sectPr w:rsidR="0066451E" w:rsidSect="00EB7752">
          <w:headerReference w:type="default" r:id="rId8"/>
          <w:headerReference w:type="first" r:id="rId9"/>
          <w:pgSz w:w="11907" w:h="16840" w:code="9"/>
          <w:pgMar w:top="567" w:right="1418" w:bottom="1418" w:left="1134" w:header="510" w:footer="1021" w:gutter="0"/>
          <w:cols w:space="720"/>
          <w:titlePg/>
          <w:docGrid w:linePitch="299"/>
        </w:sectPr>
      </w:pPr>
    </w:p>
    <w:p w:rsidR="000630FA" w:rsidRDefault="00454143" w:rsidP="0066451E">
      <w:pPr>
        <w:pStyle w:val="Heading1AR"/>
        <w:rPr>
          <w:rtl/>
          <w:lang w:bidi="ar-EG"/>
        </w:rPr>
      </w:pPr>
      <w:r>
        <w:rPr>
          <w:rFonts w:hint="cs"/>
          <w:rtl/>
          <w:lang w:bidi="ar-EG"/>
        </w:rPr>
        <w:lastRenderedPageBreak/>
        <w:t>الملحق الأول: مخطط ترخيص المملكة المتحدة للمصنفات اليتيمة</w:t>
      </w:r>
    </w:p>
    <w:p w:rsidR="00827937" w:rsidRPr="008A3FE4" w:rsidRDefault="00827937" w:rsidP="000F244A">
      <w:pPr>
        <w:pStyle w:val="Heading2AR"/>
        <w:rPr>
          <w:rtl/>
          <w:lang w:bidi="ar-EG"/>
        </w:rPr>
      </w:pPr>
      <w:r w:rsidRPr="008A3FE4">
        <w:rPr>
          <w:rFonts w:hint="cs"/>
          <w:rtl/>
          <w:lang w:bidi="ar-EG"/>
        </w:rPr>
        <w:t>السياق</w:t>
      </w:r>
    </w:p>
    <w:p w:rsidR="00827937" w:rsidRDefault="00827937" w:rsidP="00476554">
      <w:pPr>
        <w:pStyle w:val="NormalParaAR"/>
        <w:rPr>
          <w:color w:val="000000"/>
          <w:rtl/>
        </w:rPr>
      </w:pPr>
      <w:r>
        <w:rPr>
          <w:rFonts w:hint="cs"/>
          <w:rtl/>
          <w:lang w:bidi="ar-EG"/>
        </w:rPr>
        <w:t xml:space="preserve">في الوقت الحاضر، </w:t>
      </w:r>
      <w:r w:rsidRPr="006A49FA">
        <w:rPr>
          <w:color w:val="000000"/>
          <w:rtl/>
          <w:lang w:bidi="ar-EG"/>
        </w:rPr>
        <w:t xml:space="preserve">يمنع قانون المملكة المتحدة أي متحف أو أي كاتب من عرض </w:t>
      </w:r>
      <w:r w:rsidRPr="006A49FA">
        <w:rPr>
          <w:color w:val="000000"/>
          <w:rtl/>
        </w:rPr>
        <w:t xml:space="preserve">أو نشر نسخة من مصنف في حالة عدم </w:t>
      </w:r>
      <w:r w:rsidR="00476554">
        <w:rPr>
          <w:rFonts w:hint="cs"/>
          <w:color w:val="000000"/>
          <w:rtl/>
        </w:rPr>
        <w:t xml:space="preserve">القدرة على </w:t>
      </w:r>
      <w:r w:rsidRPr="006A49FA">
        <w:rPr>
          <w:color w:val="000000"/>
          <w:rtl/>
        </w:rPr>
        <w:t>العثور على صاحب الحقوق. ومن يرغب في ذلك، فسوف يكون هذا العرض أو النشر على حساب المخاطرة بحق المؤلف</w:t>
      </w:r>
      <w:r>
        <w:rPr>
          <w:rFonts w:hint="cs"/>
          <w:color w:val="000000"/>
          <w:rtl/>
        </w:rPr>
        <w:t>.</w:t>
      </w:r>
    </w:p>
    <w:p w:rsidR="00827937" w:rsidRDefault="00981029" w:rsidP="00476554">
      <w:pPr>
        <w:pStyle w:val="NormalParaAR"/>
        <w:rPr>
          <w:rtl/>
        </w:rPr>
      </w:pPr>
      <w:r>
        <w:rPr>
          <w:rFonts w:hint="cs"/>
          <w:rtl/>
        </w:rPr>
        <w:t>و</w:t>
      </w:r>
      <w:r w:rsidR="00827937">
        <w:rPr>
          <w:rFonts w:hint="cs"/>
          <w:rtl/>
          <w:lang w:bidi="ar-EG"/>
        </w:rPr>
        <w:t xml:space="preserve">أصدرت </w:t>
      </w:r>
      <w:r w:rsidR="00827937" w:rsidRPr="006A49FA">
        <w:rPr>
          <w:color w:val="000000"/>
          <w:rtl/>
        </w:rPr>
        <w:t>الحكومة تشريعاً أساسياً يقضي باستحداث نظام محلي لترخيص المصنفات يتيمة المؤلف في المملكة المتحدة</w:t>
      </w:r>
      <w:r w:rsidR="00827937" w:rsidRPr="006A49FA">
        <w:rPr>
          <w:rStyle w:val="FootnoteReference"/>
          <w:color w:val="000000"/>
          <w:sz w:val="36"/>
          <w:szCs w:val="36"/>
          <w:rtl/>
        </w:rPr>
        <w:footnoteReference w:id="1"/>
      </w:r>
      <w:r w:rsidR="00827937" w:rsidRPr="006A49FA">
        <w:rPr>
          <w:color w:val="000000"/>
          <w:rtl/>
        </w:rPr>
        <w:t>. يسمح هذا النظام بالاستخدام التجاري وغير التجاري لأي نوع من أنواع المصنفات اليتيمة، بواسطة أي شخص يطلب هذا الاستخدام، بشرط التعهد بالبحث الجادّ والدقيق عن أصحاب الحقوق</w:t>
      </w:r>
      <w:r w:rsidR="00827937" w:rsidRPr="006A49FA">
        <w:rPr>
          <w:color w:val="000000"/>
          <w:rtl/>
          <w:lang w:bidi="ar-EG"/>
        </w:rPr>
        <w:t xml:space="preserve"> غير المعروفين وسداد رسوم الترخيص. </w:t>
      </w:r>
      <w:r>
        <w:rPr>
          <w:rFonts w:hint="cs"/>
          <w:color w:val="000000"/>
          <w:rtl/>
          <w:lang w:bidi="ar-EG"/>
        </w:rPr>
        <w:t>و</w:t>
      </w:r>
      <w:r w:rsidR="00827937" w:rsidRPr="006A49FA">
        <w:rPr>
          <w:color w:val="000000"/>
          <w:rtl/>
          <w:lang w:bidi="ar-EG"/>
        </w:rPr>
        <w:t xml:space="preserve">يعد هذا الأمر منفصلاً، ولكنه مكمل </w:t>
      </w:r>
      <w:r w:rsidR="00827937" w:rsidRPr="006A49FA">
        <w:rPr>
          <w:color w:val="000000"/>
          <w:rtl/>
        </w:rPr>
        <w:t xml:space="preserve">للإجراءات التي تتخذها المملكة المتحدة في سياق تنفيذ "توجيه الاتحاد الأوروبي" بشأن بعض الاستخدامات المسموح بها للمصنفات اليتيمة. </w:t>
      </w:r>
      <w:r>
        <w:rPr>
          <w:rFonts w:hint="cs"/>
          <w:color w:val="000000"/>
          <w:rtl/>
        </w:rPr>
        <w:t>و</w:t>
      </w:r>
      <w:r w:rsidR="00827937" w:rsidRPr="006A49FA">
        <w:rPr>
          <w:color w:val="000000"/>
          <w:rtl/>
        </w:rPr>
        <w:t>يسمح "التوجيه" لدور المحفوظات العامة المتاحة للجمهور برقمنة بعض المصنفات ب</w:t>
      </w:r>
      <w:r w:rsidR="00476554">
        <w:rPr>
          <w:rFonts w:hint="cs"/>
          <w:color w:val="000000"/>
          <w:rtl/>
        </w:rPr>
        <w:t>غ</w:t>
      </w:r>
      <w:r>
        <w:rPr>
          <w:color w:val="000000"/>
          <w:rtl/>
        </w:rPr>
        <w:t>رض عرضها على مواقعها ال</w:t>
      </w:r>
      <w:r>
        <w:rPr>
          <w:rFonts w:hint="cs"/>
          <w:color w:val="000000"/>
          <w:rtl/>
        </w:rPr>
        <w:t>إ</w:t>
      </w:r>
      <w:r w:rsidR="00827937" w:rsidRPr="006A49FA">
        <w:rPr>
          <w:color w:val="000000"/>
          <w:rtl/>
        </w:rPr>
        <w:t xml:space="preserve">لكترونية على شبكة الإنترنت وإتاحتها عبر جميع بلدان الاتحاد الأوروبي. </w:t>
      </w:r>
      <w:r>
        <w:rPr>
          <w:rFonts w:hint="cs"/>
          <w:color w:val="000000"/>
          <w:rtl/>
        </w:rPr>
        <w:t>و</w:t>
      </w:r>
      <w:r w:rsidR="00476554">
        <w:rPr>
          <w:rFonts w:hint="cs"/>
          <w:color w:val="000000"/>
          <w:rtl/>
        </w:rPr>
        <w:t>يجب</w:t>
      </w:r>
      <w:r w:rsidR="00827937" w:rsidRPr="006A49FA">
        <w:rPr>
          <w:color w:val="000000"/>
          <w:rtl/>
        </w:rPr>
        <w:t xml:space="preserve"> تنفيذ هذا التشريع كاستثناء من قانون حق المؤلف</w:t>
      </w:r>
      <w:r w:rsidR="00827937">
        <w:rPr>
          <w:rFonts w:hint="cs"/>
          <w:rtl/>
        </w:rPr>
        <w:t>.</w:t>
      </w:r>
    </w:p>
    <w:p w:rsidR="00827937" w:rsidRPr="00827937" w:rsidRDefault="00827937" w:rsidP="000F244A">
      <w:pPr>
        <w:pStyle w:val="Heading2AR"/>
        <w:rPr>
          <w:rtl/>
        </w:rPr>
      </w:pPr>
      <w:r w:rsidRPr="00827937">
        <w:rPr>
          <w:rFonts w:hint="cs"/>
          <w:rtl/>
        </w:rPr>
        <w:t xml:space="preserve">ترخيص </w:t>
      </w:r>
      <w:r w:rsidRPr="00827937">
        <w:rPr>
          <w:rtl/>
        </w:rPr>
        <w:t>استخدام المصنفات اليتيمة محلياً في المملكة</w:t>
      </w:r>
      <w:r w:rsidRPr="00827937">
        <w:rPr>
          <w:rFonts w:hint="cs"/>
          <w:rtl/>
        </w:rPr>
        <w:t xml:space="preserve"> المتحدة</w:t>
      </w:r>
    </w:p>
    <w:p w:rsidR="00827937" w:rsidRDefault="00827937" w:rsidP="00476554">
      <w:pPr>
        <w:pStyle w:val="NormalParaAR"/>
        <w:rPr>
          <w:rtl/>
        </w:rPr>
      </w:pPr>
      <w:r>
        <w:rPr>
          <w:rFonts w:hint="cs"/>
          <w:rtl/>
          <w:lang w:bidi="ar-EG"/>
        </w:rPr>
        <w:t xml:space="preserve">وُضِعَت </w:t>
      </w:r>
      <w:r w:rsidRPr="006A49FA">
        <w:rPr>
          <w:color w:val="000000"/>
          <w:rtl/>
        </w:rPr>
        <w:t xml:space="preserve">تعليمات النظام المحلي لترخيص المصنفات اليتيمة في أعقاب مشاورات كتابية ومناقشات واسعة النطاق </w:t>
      </w:r>
      <w:r w:rsidR="00476554">
        <w:rPr>
          <w:rFonts w:hint="cs"/>
          <w:color w:val="000000"/>
          <w:rtl/>
        </w:rPr>
        <w:t xml:space="preserve">بالاشتراك مع </w:t>
      </w:r>
      <w:r w:rsidRPr="006A49FA">
        <w:rPr>
          <w:color w:val="000000"/>
          <w:rtl/>
        </w:rPr>
        <w:t xml:space="preserve">المنظمات والأفراد، </w:t>
      </w:r>
      <w:r w:rsidR="00476554">
        <w:rPr>
          <w:rFonts w:hint="cs"/>
          <w:color w:val="000000"/>
          <w:rtl/>
        </w:rPr>
        <w:t xml:space="preserve">فضلاً عن </w:t>
      </w:r>
      <w:r w:rsidRPr="006A49FA">
        <w:rPr>
          <w:color w:val="000000"/>
          <w:rtl/>
        </w:rPr>
        <w:t>دراسة أنظمة المصنفات اليتيمة المعمول بها في الخارج، وبعد عقد تسعة اجتماعات لفريق عمل أصحاب المصلحة</w:t>
      </w:r>
      <w:r>
        <w:rPr>
          <w:rFonts w:hint="cs"/>
          <w:rtl/>
        </w:rPr>
        <w:t>.</w:t>
      </w:r>
    </w:p>
    <w:p w:rsidR="00827937" w:rsidRDefault="00981029" w:rsidP="00454143">
      <w:pPr>
        <w:pStyle w:val="NormalParaAR"/>
        <w:rPr>
          <w:rtl/>
        </w:rPr>
      </w:pPr>
      <w:r>
        <w:rPr>
          <w:rFonts w:hint="cs"/>
          <w:rtl/>
        </w:rPr>
        <w:t>و</w:t>
      </w:r>
      <w:r w:rsidR="00827937">
        <w:rPr>
          <w:rFonts w:hint="cs"/>
          <w:rtl/>
        </w:rPr>
        <w:t xml:space="preserve">سبق </w:t>
      </w:r>
      <w:r w:rsidR="00827937" w:rsidRPr="006A49FA">
        <w:rPr>
          <w:color w:val="000000"/>
          <w:rtl/>
        </w:rPr>
        <w:t xml:space="preserve">الإعلان عن بعض </w:t>
      </w:r>
      <w:r w:rsidR="00476554">
        <w:rPr>
          <w:rFonts w:hint="cs"/>
          <w:color w:val="000000"/>
          <w:rtl/>
        </w:rPr>
        <w:t xml:space="preserve">مبادئ معينة خاصة </w:t>
      </w:r>
      <w:r w:rsidR="00827937" w:rsidRPr="006A49FA">
        <w:rPr>
          <w:color w:val="000000"/>
          <w:rtl/>
        </w:rPr>
        <w:t>بالكيفية التي سوف يعمل بها النظام سواء في التشريع المُعَدِّل</w:t>
      </w:r>
      <w:r w:rsidR="00827937" w:rsidRPr="006A49FA">
        <w:rPr>
          <w:color w:val="000000"/>
          <w:rtl/>
          <w:lang w:bidi="ar-EG"/>
        </w:rPr>
        <w:t xml:space="preserve"> </w:t>
      </w:r>
      <w:r w:rsidR="00476554">
        <w:rPr>
          <w:rFonts w:hint="cs"/>
          <w:color w:val="000000"/>
          <w:rtl/>
          <w:lang w:bidi="ar-EG"/>
        </w:rPr>
        <w:t>"</w:t>
      </w:r>
      <w:r w:rsidR="00827937" w:rsidRPr="006A49FA">
        <w:rPr>
          <w:color w:val="000000"/>
          <w:rtl/>
          <w:lang w:bidi="ar-EG"/>
        </w:rPr>
        <w:t>لقانون حق المؤلف والتصاميم الصناعية والبراءات</w:t>
      </w:r>
      <w:r w:rsidR="00476554">
        <w:rPr>
          <w:rFonts w:hint="cs"/>
          <w:color w:val="000000"/>
          <w:rtl/>
          <w:lang w:bidi="ar-EG"/>
        </w:rPr>
        <w:t>"</w:t>
      </w:r>
      <w:r w:rsidR="00827937" w:rsidRPr="006A49FA">
        <w:rPr>
          <w:color w:val="000000"/>
          <w:rtl/>
          <w:lang w:bidi="ar-EG"/>
        </w:rPr>
        <w:t xml:space="preserve"> (</w:t>
      </w:r>
      <w:r w:rsidR="00827937" w:rsidRPr="006A49FA">
        <w:rPr>
          <w:color w:val="000000"/>
          <w:lang w:bidi="ar-EG"/>
        </w:rPr>
        <w:t>CDPA</w:t>
      </w:r>
      <w:r w:rsidR="00827937" w:rsidRPr="006A49FA">
        <w:rPr>
          <w:color w:val="000000"/>
          <w:rtl/>
          <w:lang w:bidi="ar-EG"/>
        </w:rPr>
        <w:t xml:space="preserve">) أو </w:t>
      </w:r>
      <w:r w:rsidR="00827937" w:rsidRPr="006A49FA">
        <w:rPr>
          <w:color w:val="000000"/>
          <w:rtl/>
        </w:rPr>
        <w:t>في إطار السياسة الحكومية بشأن "تحديث حق المؤلف". ونورد فيما</w:t>
      </w:r>
      <w:r>
        <w:rPr>
          <w:rFonts w:hint="cs"/>
          <w:color w:val="000000"/>
          <w:rtl/>
        </w:rPr>
        <w:t> </w:t>
      </w:r>
      <w:r w:rsidR="00827937" w:rsidRPr="006A49FA">
        <w:rPr>
          <w:color w:val="000000"/>
          <w:rtl/>
        </w:rPr>
        <w:t>يلي مزيد من التفاصيل عن كيفية عمل النظام</w:t>
      </w:r>
      <w:r w:rsidR="00827937">
        <w:rPr>
          <w:rFonts w:hint="cs"/>
          <w:rtl/>
        </w:rPr>
        <w:t>.</w:t>
      </w:r>
    </w:p>
    <w:p w:rsidR="00827937" w:rsidRDefault="00981029" w:rsidP="00B63FD3">
      <w:pPr>
        <w:pStyle w:val="NormalParaAR"/>
        <w:rPr>
          <w:color w:val="000000"/>
          <w:rtl/>
          <w:lang w:bidi="ar-EG"/>
        </w:rPr>
      </w:pPr>
      <w:r>
        <w:rPr>
          <w:rFonts w:hint="cs"/>
          <w:rtl/>
        </w:rPr>
        <w:t>و</w:t>
      </w:r>
      <w:r w:rsidR="00827937">
        <w:rPr>
          <w:rFonts w:hint="cs"/>
          <w:rtl/>
        </w:rPr>
        <w:t xml:space="preserve">كما </w:t>
      </w:r>
      <w:r w:rsidR="00827937" w:rsidRPr="006A49FA">
        <w:rPr>
          <w:color w:val="000000"/>
          <w:rtl/>
        </w:rPr>
        <w:t xml:space="preserve">ذُكر أعلاه، يسمح النظام المحلي بترخيص استخدام المصنفات اليتيمة فقط داخل المملكة المتحدة نظراً لاحتمال رغبة بلدان أخرى في معاملة تلك المصنفات بطريقة مختلفة. وعلى الرغم من إدراك </w:t>
      </w:r>
      <w:r w:rsidR="00827937" w:rsidRPr="006A49FA">
        <w:rPr>
          <w:color w:val="000000"/>
          <w:rtl/>
          <w:lang w:bidi="ar-EG"/>
        </w:rPr>
        <w:t>"</w:t>
      </w:r>
      <w:r w:rsidR="00827937" w:rsidRPr="006A49FA">
        <w:rPr>
          <w:color w:val="000000"/>
          <w:rtl/>
        </w:rPr>
        <w:t xml:space="preserve">الحكومة" بما قد يسببه هذا </w:t>
      </w:r>
      <w:r w:rsidR="00476554">
        <w:rPr>
          <w:rFonts w:hint="cs"/>
          <w:color w:val="000000"/>
          <w:rtl/>
        </w:rPr>
        <w:t xml:space="preserve">التقييد المكاني </w:t>
      </w:r>
      <w:r w:rsidR="00827937" w:rsidRPr="006A49FA">
        <w:rPr>
          <w:color w:val="000000"/>
          <w:rtl/>
        </w:rPr>
        <w:t xml:space="preserve">من تأثير سلبي على جاذبية النظام وتجريده من بعض المميزات، </w:t>
      </w:r>
      <w:r w:rsidR="00827937" w:rsidRPr="006A49FA">
        <w:rPr>
          <w:color w:val="000000"/>
          <w:rtl/>
          <w:lang w:bidi="ar-EG"/>
        </w:rPr>
        <w:t xml:space="preserve">على المدى الأطول، </w:t>
      </w:r>
      <w:r w:rsidR="00827937" w:rsidRPr="006A49FA">
        <w:rPr>
          <w:color w:val="000000"/>
          <w:rtl/>
        </w:rPr>
        <w:t xml:space="preserve">إلا أن هناك فرصاً لإبرام اتفاقيات متبادلة مع البلدان الأخرى التي لديها أنظمة متوافقة أو التي </w:t>
      </w:r>
      <w:r w:rsidR="00476554">
        <w:rPr>
          <w:rFonts w:hint="cs"/>
          <w:color w:val="000000"/>
          <w:rtl/>
        </w:rPr>
        <w:t>تشرع</w:t>
      </w:r>
      <w:r w:rsidR="00827937" w:rsidRPr="006A49FA">
        <w:rPr>
          <w:color w:val="000000"/>
          <w:rtl/>
        </w:rPr>
        <w:t xml:space="preserve"> في استحداث أنظمة متوافقة، لا سيما</w:t>
      </w:r>
      <w:r>
        <w:rPr>
          <w:color w:val="000000"/>
          <w:rtl/>
        </w:rPr>
        <w:t xml:space="preserve"> مع البلدان الناطقة باللغة الإن</w:t>
      </w:r>
      <w:r>
        <w:rPr>
          <w:rFonts w:hint="cs"/>
          <w:color w:val="000000"/>
          <w:rtl/>
        </w:rPr>
        <w:t>ك</w:t>
      </w:r>
      <w:r w:rsidR="00827937" w:rsidRPr="006A49FA">
        <w:rPr>
          <w:color w:val="000000"/>
          <w:rtl/>
        </w:rPr>
        <w:t>ليزية. يمكن أن تتيح مثل هذه الاتفاقيات استخدام المصنفات اليتيمة المرخص باستخدامها في بلد واحد لغرض محدد في بلدان أخرى من أطراف الاتفاقية دون الحاجة إلى إيداع طلبات منفصلة في كل إقليم على حدة. ومع ذلك، لم نتشاور حول هذا الأمر لعدم وضوح الرؤية حول الوقت المناسب لظهور مثل هذه الفرص</w:t>
      </w:r>
      <w:r w:rsidR="00B63FD3">
        <w:rPr>
          <w:rFonts w:hint="cs"/>
          <w:color w:val="000000"/>
          <w:rtl/>
        </w:rPr>
        <w:t xml:space="preserve">، و </w:t>
      </w:r>
      <w:r w:rsidR="00827937" w:rsidRPr="006A49FA">
        <w:rPr>
          <w:color w:val="000000"/>
          <w:rtl/>
        </w:rPr>
        <w:t xml:space="preserve">ما هي الشروط التي يمكن </w:t>
      </w:r>
      <w:r w:rsidR="00B63FD3">
        <w:rPr>
          <w:rFonts w:hint="cs"/>
          <w:color w:val="000000"/>
          <w:rtl/>
        </w:rPr>
        <w:t>تأسيس تلك الاتفاقيات على أساسها.</w:t>
      </w:r>
    </w:p>
    <w:p w:rsidR="00827937" w:rsidRPr="00827937" w:rsidRDefault="00827937" w:rsidP="000F244A">
      <w:pPr>
        <w:pStyle w:val="Heading2AR"/>
        <w:rPr>
          <w:rtl/>
          <w:lang w:bidi="ar-EG"/>
        </w:rPr>
      </w:pPr>
      <w:r w:rsidRPr="00827937">
        <w:rPr>
          <w:rFonts w:hint="cs"/>
          <w:rtl/>
          <w:lang w:bidi="ar-EG"/>
        </w:rPr>
        <w:t>جهة الترخيص</w:t>
      </w:r>
    </w:p>
    <w:p w:rsidR="00827937" w:rsidRDefault="00827937" w:rsidP="00981029">
      <w:pPr>
        <w:pStyle w:val="NormalParaAR"/>
        <w:rPr>
          <w:color w:val="000000"/>
          <w:rtl/>
        </w:rPr>
      </w:pPr>
      <w:r>
        <w:rPr>
          <w:rFonts w:hint="cs"/>
          <w:color w:val="000000"/>
          <w:rtl/>
          <w:lang w:bidi="ar-EG"/>
        </w:rPr>
        <w:t xml:space="preserve">سيعمل </w:t>
      </w:r>
      <w:r w:rsidRPr="006A49FA">
        <w:rPr>
          <w:color w:val="000000"/>
          <w:rtl/>
        </w:rPr>
        <w:t>النظام من خلال هيئة، تُعي</w:t>
      </w:r>
      <w:r w:rsidR="00B63FD3">
        <w:rPr>
          <w:rFonts w:hint="cs"/>
          <w:color w:val="000000"/>
          <w:rtl/>
        </w:rPr>
        <w:t>ّ</w:t>
      </w:r>
      <w:r w:rsidRPr="006A49FA">
        <w:rPr>
          <w:color w:val="000000"/>
          <w:rtl/>
        </w:rPr>
        <w:t xml:space="preserve">ن من قبل "الوزير المختص"، لإصدار تراخيص استخدام المصنفات اليتيمة. </w:t>
      </w:r>
      <w:r w:rsidR="00981029">
        <w:rPr>
          <w:rFonts w:hint="cs"/>
          <w:color w:val="000000"/>
          <w:rtl/>
        </w:rPr>
        <w:t>و</w:t>
      </w:r>
      <w:r w:rsidRPr="006A49FA">
        <w:rPr>
          <w:color w:val="000000"/>
          <w:rtl/>
        </w:rPr>
        <w:t xml:space="preserve">يتعين على أي شخص يرغب في استخدام أحد المصنفات اليتيمة إيداع طلب في تلك الهيئة. وقد أُعلن أثناء تمرير قانون المؤسسات </w:t>
      </w:r>
      <w:r w:rsidRPr="006A49FA">
        <w:rPr>
          <w:color w:val="000000"/>
          <w:rtl/>
        </w:rPr>
        <w:lastRenderedPageBreak/>
        <w:t>والإصلاح التنظيمي بأن الجهة المانحة للترخيص سوف تكون هيئة عامة، ومن المحتمل أن تكون من بين الهيئات القائمة بالفعل.</w:t>
      </w:r>
      <w:r w:rsidR="00981029">
        <w:rPr>
          <w:rFonts w:hint="cs"/>
          <w:color w:val="000000"/>
          <w:rtl/>
        </w:rPr>
        <w:t> </w:t>
      </w:r>
      <w:r w:rsidRPr="006A49FA">
        <w:rPr>
          <w:color w:val="000000"/>
          <w:rtl/>
        </w:rPr>
        <w:t xml:space="preserve">وقد تقرر أن يكون "مكتب الملكية الفكرية" هو تلك الجهة المانحة للترخيص بعد تقييم عدة جهات مرشحة محتملة </w:t>
      </w:r>
      <w:r w:rsidR="00B63FD3">
        <w:rPr>
          <w:rFonts w:hint="cs"/>
          <w:color w:val="000000"/>
          <w:rtl/>
        </w:rPr>
        <w:t>وا</w:t>
      </w:r>
      <w:r w:rsidRPr="006A49FA">
        <w:rPr>
          <w:color w:val="000000"/>
          <w:rtl/>
        </w:rPr>
        <w:t>لمفاضلة بينه</w:t>
      </w:r>
      <w:r w:rsidR="00B63FD3">
        <w:rPr>
          <w:rFonts w:hint="cs"/>
          <w:color w:val="000000"/>
          <w:rtl/>
        </w:rPr>
        <w:t>ا.</w:t>
      </w:r>
    </w:p>
    <w:p w:rsidR="00827937" w:rsidRPr="00827937" w:rsidRDefault="00827937" w:rsidP="000F244A">
      <w:pPr>
        <w:pStyle w:val="Heading2AR"/>
        <w:rPr>
          <w:rtl/>
        </w:rPr>
      </w:pPr>
      <w:r w:rsidRPr="00827937">
        <w:rPr>
          <w:rFonts w:hint="cs"/>
          <w:rtl/>
        </w:rPr>
        <w:t>البحث الدقيق</w:t>
      </w:r>
    </w:p>
    <w:p w:rsidR="00827937" w:rsidRDefault="00B63FD3" w:rsidP="00B63FD3">
      <w:pPr>
        <w:pStyle w:val="NormalParaAR"/>
        <w:rPr>
          <w:color w:val="000000"/>
          <w:rtl/>
        </w:rPr>
      </w:pPr>
      <w:r w:rsidRPr="006A49FA">
        <w:rPr>
          <w:color w:val="000000"/>
          <w:rtl/>
        </w:rPr>
        <w:t xml:space="preserve">عندما يريد شخص ما استخدام أي مصنف محمي بطريقة مشروعة، يتعين عليه البحث عن أصحاب الحقوق المعنيين والتواصل معهم بغرض الحصول على إذن لهذا </w:t>
      </w:r>
      <w:r w:rsidRPr="006A49FA">
        <w:rPr>
          <w:rFonts w:hint="cs"/>
          <w:color w:val="000000"/>
          <w:rtl/>
        </w:rPr>
        <w:t>الاستخدام</w:t>
      </w:r>
      <w:r>
        <w:rPr>
          <w:rFonts w:hint="cs"/>
          <w:color w:val="000000"/>
          <w:rtl/>
        </w:rPr>
        <w:t xml:space="preserve">. و بالمثل، </w:t>
      </w:r>
      <w:r w:rsidR="00827937">
        <w:rPr>
          <w:rFonts w:hint="cs"/>
          <w:color w:val="000000"/>
          <w:rtl/>
        </w:rPr>
        <w:t xml:space="preserve">تتطلب </w:t>
      </w:r>
      <w:r w:rsidR="00827937" w:rsidRPr="006A49FA">
        <w:rPr>
          <w:color w:val="000000"/>
          <w:rtl/>
        </w:rPr>
        <w:t xml:space="preserve">اللائحة </w:t>
      </w:r>
      <w:r w:rsidR="00827937" w:rsidRPr="006A49FA">
        <w:rPr>
          <w:color w:val="000000"/>
          <w:rtl/>
          <w:lang w:bidi="ar-EG"/>
        </w:rPr>
        <w:t xml:space="preserve">من طالب الترخيص التعهد بالقيام ببحث دقيق بشأن مصنف </w:t>
      </w:r>
      <w:r w:rsidR="00827937" w:rsidRPr="006A49FA">
        <w:rPr>
          <w:color w:val="000000"/>
          <w:rtl/>
        </w:rPr>
        <w:t>يُشتَبه في كونه من المصنفات اليتيمة. في الوقت الحاضر، وفي حالة عدم التمكن من العثور على صاحب الحقوق، لن يتمكن أحد من استخدام هذا المصنف استخداماً مشروعاً؛ مما ينتج عنه إهدار فعلي للموارد المستخدمة في سياق البحث عن صاحب الحقوق. و</w:t>
      </w:r>
      <w:r w:rsidR="00827937" w:rsidRPr="006A49FA">
        <w:rPr>
          <w:color w:val="000000"/>
          <w:rtl/>
          <w:lang w:bidi="ar-EG"/>
        </w:rPr>
        <w:t>ي</w:t>
      </w:r>
      <w:r w:rsidR="00981029">
        <w:rPr>
          <w:color w:val="000000"/>
          <w:rtl/>
        </w:rPr>
        <w:t>ُعَر</w:t>
      </w:r>
      <w:r w:rsidR="00981029">
        <w:rPr>
          <w:rFonts w:hint="cs"/>
          <w:color w:val="000000"/>
          <w:rtl/>
        </w:rPr>
        <w:t>ِّ</w:t>
      </w:r>
      <w:r w:rsidR="00827937" w:rsidRPr="006A49FA">
        <w:rPr>
          <w:color w:val="000000"/>
          <w:rtl/>
        </w:rPr>
        <w:t>ف البعض عملية البحث عن صاحب الحقوق هذه، والتي يقوم بها كثير من الأفراد بالفعل، بالبحث الدقيق أو بذل العناية الواجبة</w:t>
      </w:r>
      <w:r w:rsidR="00827937">
        <w:rPr>
          <w:rFonts w:hint="cs"/>
          <w:color w:val="000000"/>
          <w:rtl/>
        </w:rPr>
        <w:t>.</w:t>
      </w:r>
    </w:p>
    <w:p w:rsidR="00827937" w:rsidRDefault="00981029" w:rsidP="00B63FD3">
      <w:pPr>
        <w:pStyle w:val="NormalParaAR"/>
        <w:rPr>
          <w:color w:val="000000"/>
          <w:rtl/>
        </w:rPr>
      </w:pPr>
      <w:r>
        <w:rPr>
          <w:rFonts w:hint="cs"/>
          <w:color w:val="000000"/>
          <w:rtl/>
        </w:rPr>
        <w:t>و</w:t>
      </w:r>
      <w:r w:rsidR="00827937">
        <w:rPr>
          <w:rFonts w:hint="cs"/>
          <w:color w:val="000000"/>
          <w:rtl/>
        </w:rPr>
        <w:t xml:space="preserve">سوف </w:t>
      </w:r>
      <w:r w:rsidR="00827937" w:rsidRPr="006A49FA">
        <w:rPr>
          <w:color w:val="000000"/>
          <w:rtl/>
        </w:rPr>
        <w:t xml:space="preserve">يتعين على أي فرد يرغب في </w:t>
      </w:r>
      <w:r w:rsidR="00B63FD3">
        <w:rPr>
          <w:rFonts w:hint="cs"/>
          <w:color w:val="000000"/>
          <w:rtl/>
        </w:rPr>
        <w:t xml:space="preserve">إيداع طلب للحصول </w:t>
      </w:r>
      <w:r w:rsidR="00827937" w:rsidRPr="006A49FA">
        <w:rPr>
          <w:color w:val="000000"/>
          <w:rtl/>
        </w:rPr>
        <w:t>على ترخيص لنسخ أحد المصنفات اليتيمة، موافاة جهة الترخيص بتفاصيل ما قام به من بحث جاد ودقيق. وفي حالة تعدد أصحاب الحقوق، يتطلب الأمر القيام ببحث دقيق عن كل صاحب حق متى كان هذا الحق ذي صلة بالغرض من الاستخدام المقترح والمطلوب الحصول على ترخيص في شأنه</w:t>
      </w:r>
      <w:r w:rsidR="00827937">
        <w:rPr>
          <w:rFonts w:hint="cs"/>
          <w:color w:val="000000"/>
          <w:rtl/>
        </w:rPr>
        <w:t>.</w:t>
      </w:r>
    </w:p>
    <w:p w:rsidR="00827937" w:rsidRDefault="00981029" w:rsidP="00125622">
      <w:pPr>
        <w:pStyle w:val="NormalParaAR"/>
        <w:rPr>
          <w:color w:val="000000"/>
          <w:rtl/>
        </w:rPr>
      </w:pPr>
      <w:r>
        <w:rPr>
          <w:rFonts w:hint="cs"/>
          <w:color w:val="000000"/>
          <w:rtl/>
        </w:rPr>
        <w:t>و</w:t>
      </w:r>
      <w:r w:rsidR="00827937">
        <w:rPr>
          <w:rFonts w:hint="cs"/>
          <w:color w:val="000000"/>
          <w:rtl/>
        </w:rPr>
        <w:t xml:space="preserve">سوف </w:t>
      </w:r>
      <w:r w:rsidR="00827937" w:rsidRPr="006A49FA">
        <w:rPr>
          <w:color w:val="000000"/>
          <w:rtl/>
        </w:rPr>
        <w:t xml:space="preserve">يحتاج طالبو الاستخدام الحصول على إذن من أي صاحب حق معروف ذي صلة بهذا العمل، وذلك هو الحال مع أي مصنف آخر من المصنفات المحمية بحق المؤلف. </w:t>
      </w:r>
      <w:r>
        <w:rPr>
          <w:rFonts w:hint="cs"/>
          <w:color w:val="000000"/>
          <w:rtl/>
        </w:rPr>
        <w:t>و</w:t>
      </w:r>
      <w:r w:rsidR="00827937" w:rsidRPr="006A49FA">
        <w:rPr>
          <w:color w:val="000000"/>
          <w:rtl/>
        </w:rPr>
        <w:t xml:space="preserve">يمكن لمودع الطلب موافاة جهة الترخيص بِنُسَخْ من المصنف اليتيم كمرفق مُكّمِل للطلب المُقدَّم. وتبعاً لنوع العمل، </w:t>
      </w:r>
      <w:r w:rsidR="00536FA1">
        <w:rPr>
          <w:rFonts w:hint="cs"/>
          <w:color w:val="000000"/>
          <w:rtl/>
        </w:rPr>
        <w:t>يمكن أن</w:t>
      </w:r>
      <w:r w:rsidR="00827937" w:rsidRPr="006A49FA">
        <w:rPr>
          <w:color w:val="000000"/>
          <w:rtl/>
        </w:rPr>
        <w:t xml:space="preserve"> تُوّفِر نسخ العمل المرفقة تلك دليلاً لمساعدة جهة الترخيص </w:t>
      </w:r>
      <w:r w:rsidR="00827937" w:rsidRPr="006A49FA">
        <w:rPr>
          <w:color w:val="000000"/>
          <w:rtl/>
          <w:lang w:bidi="ar-EG"/>
        </w:rPr>
        <w:t>في تقييم مدى</w:t>
      </w:r>
      <w:r w:rsidR="00550FB4">
        <w:rPr>
          <w:rFonts w:hint="cs"/>
          <w:color w:val="000000"/>
          <w:rtl/>
          <w:lang w:bidi="ar-EG"/>
        </w:rPr>
        <w:t xml:space="preserve"> احتمالية</w:t>
      </w:r>
      <w:r w:rsidR="00827937" w:rsidRPr="006A49FA">
        <w:rPr>
          <w:color w:val="000000"/>
          <w:rtl/>
          <w:lang w:bidi="ar-EG"/>
        </w:rPr>
        <w:t xml:space="preserve"> </w:t>
      </w:r>
      <w:r w:rsidR="00550FB4">
        <w:rPr>
          <w:rFonts w:hint="cs"/>
          <w:color w:val="000000"/>
          <w:rtl/>
          <w:lang w:bidi="ar-EG"/>
        </w:rPr>
        <w:t>الضرر الذي يسببه الاستخدام المسيء على صاحب أ</w:t>
      </w:r>
      <w:r w:rsidR="00827937" w:rsidRPr="006A49FA">
        <w:rPr>
          <w:color w:val="000000"/>
          <w:rtl/>
          <w:lang w:bidi="ar-EG"/>
        </w:rPr>
        <w:t xml:space="preserve">و أصحاب الحقوق المجهولين. </w:t>
      </w:r>
      <w:r>
        <w:rPr>
          <w:rFonts w:hint="cs"/>
          <w:color w:val="000000"/>
          <w:rtl/>
          <w:lang w:bidi="ar-EG"/>
        </w:rPr>
        <w:t>و</w:t>
      </w:r>
      <w:r w:rsidR="00827937" w:rsidRPr="006A49FA">
        <w:rPr>
          <w:color w:val="000000"/>
          <w:rtl/>
        </w:rPr>
        <w:t xml:space="preserve">لن </w:t>
      </w:r>
      <w:r w:rsidR="00125622">
        <w:rPr>
          <w:rFonts w:hint="cs"/>
          <w:color w:val="000000"/>
          <w:rtl/>
        </w:rPr>
        <w:t>يُطلب</w:t>
      </w:r>
      <w:r w:rsidR="00827937" w:rsidRPr="006A49FA">
        <w:rPr>
          <w:color w:val="000000"/>
          <w:rtl/>
        </w:rPr>
        <w:t xml:space="preserve"> الحصول على الموافقة المسبقة من جميع أصحاب الحقوق المعروفين كشرط مسبق للحصول على ترخيص لمصنفات يتيمة، </w:t>
      </w:r>
      <w:r w:rsidR="00125622">
        <w:rPr>
          <w:rFonts w:hint="cs"/>
          <w:color w:val="000000"/>
          <w:rtl/>
        </w:rPr>
        <w:t>حيث لا</w:t>
      </w:r>
      <w:r w:rsidR="00827937" w:rsidRPr="006A49FA">
        <w:rPr>
          <w:color w:val="000000"/>
          <w:rtl/>
        </w:rPr>
        <w:t xml:space="preserve"> يتسبب في بطء إجراءات استصدار الترخيص بدون داع</w:t>
      </w:r>
      <w:r w:rsidR="00827937">
        <w:rPr>
          <w:rFonts w:hint="cs"/>
          <w:color w:val="000000"/>
          <w:rtl/>
        </w:rPr>
        <w:t>.</w:t>
      </w:r>
    </w:p>
    <w:p w:rsidR="00827937" w:rsidRDefault="00981029" w:rsidP="00125622">
      <w:pPr>
        <w:pStyle w:val="NormalParaAR"/>
        <w:rPr>
          <w:color w:val="000000"/>
          <w:rtl/>
        </w:rPr>
      </w:pPr>
      <w:r>
        <w:rPr>
          <w:rFonts w:hint="cs"/>
          <w:color w:val="000000"/>
          <w:rtl/>
        </w:rPr>
        <w:t>و</w:t>
      </w:r>
      <w:r w:rsidR="00827937">
        <w:rPr>
          <w:rFonts w:hint="cs"/>
          <w:color w:val="000000"/>
          <w:rtl/>
        </w:rPr>
        <w:t xml:space="preserve">في حالة </w:t>
      </w:r>
      <w:r w:rsidR="00827937" w:rsidRPr="006A49FA">
        <w:rPr>
          <w:color w:val="000000"/>
          <w:rtl/>
        </w:rPr>
        <w:t>معرفة مكان تواجد صاحب الحق، ولكنه آثر عدم الاستجابة، فلن يتم في هذه الحالة اعتبار المصنف</w:t>
      </w:r>
      <w:r w:rsidR="00125622">
        <w:rPr>
          <w:rFonts w:hint="cs"/>
          <w:color w:val="000000"/>
          <w:rtl/>
        </w:rPr>
        <w:t xml:space="preserve"> يتيم. </w:t>
      </w:r>
      <w:r>
        <w:rPr>
          <w:rFonts w:hint="cs"/>
          <w:color w:val="000000"/>
          <w:rtl/>
        </w:rPr>
        <w:t>و</w:t>
      </w:r>
      <w:r w:rsidR="00827937" w:rsidRPr="006A49FA">
        <w:rPr>
          <w:color w:val="000000"/>
          <w:rtl/>
        </w:rPr>
        <w:t>تتمتع كندا بنظام مستقر تماماً للمصنفات اليتيمة، وقد تم الاقتداء به في التعامل مع حالة أصحاب الحقوق الذين فضَّلوا عدم الاستجابة، وقد ثبتت فعالية هذا النظام</w:t>
      </w:r>
      <w:r w:rsidR="00827937">
        <w:rPr>
          <w:rFonts w:hint="cs"/>
          <w:color w:val="000000"/>
          <w:rtl/>
        </w:rPr>
        <w:t>.</w:t>
      </w:r>
    </w:p>
    <w:p w:rsidR="00827937" w:rsidRDefault="00981029" w:rsidP="00827937">
      <w:pPr>
        <w:pStyle w:val="NormalParaAR"/>
        <w:rPr>
          <w:color w:val="000000"/>
          <w:rtl/>
        </w:rPr>
      </w:pPr>
      <w:r>
        <w:rPr>
          <w:rFonts w:hint="cs"/>
          <w:color w:val="000000"/>
          <w:rtl/>
        </w:rPr>
        <w:t>و</w:t>
      </w:r>
      <w:r w:rsidR="00827937">
        <w:rPr>
          <w:rFonts w:hint="cs"/>
          <w:color w:val="000000"/>
          <w:rtl/>
        </w:rPr>
        <w:t xml:space="preserve">تنص </w:t>
      </w:r>
      <w:r w:rsidR="00827937" w:rsidRPr="006A49FA">
        <w:rPr>
          <w:color w:val="000000"/>
          <w:rtl/>
        </w:rPr>
        <w:t>اللائحة على ثلاث متطلبات عامة يلزم توفرها في البحث الدقيق</w:t>
      </w:r>
      <w:r w:rsidR="00827937">
        <w:rPr>
          <w:rFonts w:hint="cs"/>
          <w:color w:val="000000"/>
          <w:rtl/>
        </w:rPr>
        <w:t>:</w:t>
      </w:r>
    </w:p>
    <w:p w:rsidR="00827937" w:rsidRDefault="00827937" w:rsidP="00F33BA5">
      <w:pPr>
        <w:pStyle w:val="NormalParaAR"/>
        <w:numPr>
          <w:ilvl w:val="0"/>
          <w:numId w:val="26"/>
        </w:numPr>
        <w:spacing w:after="120"/>
        <w:ind w:left="714" w:hanging="357"/>
        <w:rPr>
          <w:color w:val="000000"/>
          <w:rtl/>
        </w:rPr>
      </w:pPr>
      <w:r>
        <w:rPr>
          <w:rFonts w:hint="cs"/>
          <w:color w:val="000000"/>
          <w:rtl/>
        </w:rPr>
        <w:t xml:space="preserve">يجب أن </w:t>
      </w:r>
      <w:r w:rsidRPr="006A49FA">
        <w:rPr>
          <w:color w:val="000000"/>
          <w:rtl/>
        </w:rPr>
        <w:t>يكون مناسباً للمصنف اليتيم أو للحق اليتيم</w:t>
      </w:r>
      <w:r>
        <w:rPr>
          <w:rFonts w:hint="cs"/>
          <w:color w:val="000000"/>
          <w:rtl/>
        </w:rPr>
        <w:t>؛</w:t>
      </w:r>
    </w:p>
    <w:p w:rsidR="00827937" w:rsidRDefault="000B5060" w:rsidP="00F33BA5">
      <w:pPr>
        <w:pStyle w:val="NormalParaAR"/>
        <w:numPr>
          <w:ilvl w:val="0"/>
          <w:numId w:val="26"/>
        </w:numPr>
        <w:spacing w:after="120"/>
        <w:ind w:left="714" w:hanging="357"/>
        <w:rPr>
          <w:color w:val="000000"/>
          <w:rtl/>
        </w:rPr>
      </w:pPr>
      <w:r>
        <w:rPr>
          <w:rFonts w:hint="cs"/>
          <w:color w:val="000000"/>
          <w:rtl/>
        </w:rPr>
        <w:t>و</w:t>
      </w:r>
      <w:r w:rsidR="00827937">
        <w:rPr>
          <w:rFonts w:hint="cs"/>
          <w:color w:val="000000"/>
          <w:rtl/>
        </w:rPr>
        <w:t xml:space="preserve">يجب </w:t>
      </w:r>
      <w:r w:rsidR="00827937" w:rsidRPr="006A49FA">
        <w:rPr>
          <w:color w:val="000000"/>
          <w:rtl/>
        </w:rPr>
        <w:t>أن يتصف بوثاقة الصلة بالحقوق في المصنف المعني أو بالحق المقترح استخدامه من قبل المرخص له؛</w:t>
      </w:r>
      <w:r w:rsidR="00827937">
        <w:rPr>
          <w:rFonts w:hint="cs"/>
          <w:color w:val="000000"/>
          <w:rtl/>
        </w:rPr>
        <w:t xml:space="preserve"> </w:t>
      </w:r>
    </w:p>
    <w:p w:rsidR="00827937" w:rsidRDefault="000B5060" w:rsidP="00125622">
      <w:pPr>
        <w:pStyle w:val="NormalParaAR"/>
        <w:numPr>
          <w:ilvl w:val="0"/>
          <w:numId w:val="26"/>
        </w:numPr>
        <w:rPr>
          <w:color w:val="000000"/>
          <w:rtl/>
        </w:rPr>
      </w:pPr>
      <w:r>
        <w:rPr>
          <w:rFonts w:hint="cs"/>
          <w:color w:val="000000"/>
          <w:rtl/>
        </w:rPr>
        <w:t>و</w:t>
      </w:r>
      <w:r w:rsidR="00125622">
        <w:rPr>
          <w:rFonts w:hint="cs"/>
          <w:color w:val="000000"/>
          <w:rtl/>
        </w:rPr>
        <w:t xml:space="preserve">يجب أن يتضمن </w:t>
      </w:r>
      <w:r w:rsidR="00827937" w:rsidRPr="006A49FA">
        <w:rPr>
          <w:color w:val="000000"/>
          <w:rtl/>
        </w:rPr>
        <w:t>بذل جهد معقول لتحديد صاحب الحقوق في المصنف أو في الحق</w:t>
      </w:r>
      <w:r w:rsidR="00827937">
        <w:rPr>
          <w:rFonts w:hint="cs"/>
          <w:color w:val="000000"/>
          <w:rtl/>
        </w:rPr>
        <w:t>.</w:t>
      </w:r>
    </w:p>
    <w:p w:rsidR="00827937" w:rsidRDefault="000B5060" w:rsidP="00125622">
      <w:pPr>
        <w:pStyle w:val="NormalParaAR"/>
        <w:rPr>
          <w:color w:val="000000"/>
          <w:rtl/>
        </w:rPr>
      </w:pPr>
      <w:r>
        <w:rPr>
          <w:rFonts w:hint="cs"/>
          <w:color w:val="000000"/>
          <w:rtl/>
        </w:rPr>
        <w:t>و</w:t>
      </w:r>
      <w:r w:rsidR="00827937">
        <w:rPr>
          <w:rFonts w:hint="cs"/>
          <w:color w:val="000000"/>
          <w:rtl/>
        </w:rPr>
        <w:t xml:space="preserve">سيتم </w:t>
      </w:r>
      <w:r w:rsidR="00827937" w:rsidRPr="006A49FA">
        <w:rPr>
          <w:color w:val="000000"/>
          <w:rtl/>
        </w:rPr>
        <w:t xml:space="preserve">إعداد توجيه بشأن البحث الدقيق بمجرد الاتفاق على اللائحة. </w:t>
      </w:r>
      <w:r>
        <w:rPr>
          <w:rFonts w:hint="cs"/>
          <w:color w:val="000000"/>
          <w:rtl/>
        </w:rPr>
        <w:t>و</w:t>
      </w:r>
      <w:r w:rsidR="00827937" w:rsidRPr="006A49FA">
        <w:rPr>
          <w:color w:val="000000"/>
          <w:rtl/>
        </w:rPr>
        <w:t xml:space="preserve">لن تتضمن اللائحة هذا المستوى من التفصيل على أساس إمكانية تحديث التوجيه بسهولة أكبر من تحديث التشريعات لمواكبة التغيرات في السوق أو غير ذلك من المستجدات الأخرى. </w:t>
      </w:r>
      <w:r>
        <w:rPr>
          <w:rFonts w:hint="cs"/>
          <w:color w:val="000000"/>
          <w:rtl/>
        </w:rPr>
        <w:t>و</w:t>
      </w:r>
      <w:r w:rsidR="00827937" w:rsidRPr="006A49FA">
        <w:rPr>
          <w:color w:val="000000"/>
          <w:rtl/>
          <w:lang w:bidi="ar-EG"/>
        </w:rPr>
        <w:t xml:space="preserve">نظراً لاختلاف </w:t>
      </w:r>
      <w:r w:rsidR="00827937" w:rsidRPr="006A49FA">
        <w:rPr>
          <w:color w:val="000000"/>
          <w:rtl/>
        </w:rPr>
        <w:t xml:space="preserve">المصادر المحددة المطلوب التحقق منها من قطاع لقطاع آخر وفقا لنوع المصنف، يعكف حالياً "مكتب الملكية الفكرية" على وضع إرشادات توجيهية للممارسة الجيدة الخاصة بكل قطاع معين بالاشتراك مع ممارسين في كل قطاع معني كي يتسنى الاتساق مع اللائحة. </w:t>
      </w:r>
      <w:r>
        <w:rPr>
          <w:rFonts w:hint="cs"/>
          <w:color w:val="000000"/>
          <w:rtl/>
        </w:rPr>
        <w:t>و</w:t>
      </w:r>
      <w:r w:rsidR="00827937" w:rsidRPr="006A49FA">
        <w:rPr>
          <w:color w:val="000000"/>
          <w:rtl/>
        </w:rPr>
        <w:t xml:space="preserve">لا يوجد نص في اللائحة يمنع طالب الترخيص من استخدام نتائج بحث دقيق </w:t>
      </w:r>
      <w:r w:rsidR="00827937" w:rsidRPr="006A49FA">
        <w:rPr>
          <w:color w:val="000000"/>
          <w:rtl/>
        </w:rPr>
        <w:lastRenderedPageBreak/>
        <w:t>سابق. بل على الجانب الآخر، يُقترح أن يتضمن التوجيه الصادر نصائح إلى مودعي طلبات الترخيص بشأن الفترة الزمنية المعقولة المتوقع استغراقها لإتمام البحث الدقيق قبل إيداع أي طلب يعتمد على هذا البحث</w:t>
      </w:r>
      <w:r w:rsidR="00827937">
        <w:rPr>
          <w:rFonts w:hint="cs"/>
          <w:color w:val="000000"/>
          <w:rtl/>
        </w:rPr>
        <w:t>.</w:t>
      </w:r>
    </w:p>
    <w:p w:rsidR="00827937" w:rsidRDefault="00827937" w:rsidP="0095556B">
      <w:pPr>
        <w:pStyle w:val="NormalParaAR"/>
        <w:rPr>
          <w:color w:val="000000"/>
          <w:rtl/>
        </w:rPr>
      </w:pPr>
      <w:r>
        <w:rPr>
          <w:rFonts w:hint="cs"/>
          <w:color w:val="000000"/>
          <w:rtl/>
        </w:rPr>
        <w:t xml:space="preserve">كما </w:t>
      </w:r>
      <w:r w:rsidRPr="006A49FA">
        <w:rPr>
          <w:color w:val="000000"/>
          <w:rtl/>
        </w:rPr>
        <w:t>يُقترح أيضا إمكانية اعتماد</w:t>
      </w:r>
      <w:r w:rsidR="0095556B">
        <w:rPr>
          <w:rFonts w:hint="cs"/>
          <w:color w:val="000000"/>
          <w:rtl/>
        </w:rPr>
        <w:t xml:space="preserve"> </w:t>
      </w:r>
      <w:r w:rsidR="0095556B" w:rsidRPr="006A49FA">
        <w:rPr>
          <w:color w:val="000000"/>
          <w:rtl/>
        </w:rPr>
        <w:t>نظام الترخيص في المملكة المتحدة</w:t>
      </w:r>
      <w:r w:rsidR="0095556B">
        <w:rPr>
          <w:rFonts w:hint="cs"/>
          <w:color w:val="000000"/>
          <w:rtl/>
        </w:rPr>
        <w:t xml:space="preserve"> ل</w:t>
      </w:r>
      <w:r w:rsidRPr="006A49FA">
        <w:rPr>
          <w:color w:val="000000"/>
          <w:rtl/>
        </w:rPr>
        <w:t>نتائج البحث الدقيق المُنَفَ</w:t>
      </w:r>
      <w:r w:rsidR="0095556B">
        <w:rPr>
          <w:rFonts w:hint="cs"/>
          <w:color w:val="000000"/>
          <w:rtl/>
        </w:rPr>
        <w:t>ّ</w:t>
      </w:r>
      <w:r w:rsidRPr="006A49FA">
        <w:rPr>
          <w:color w:val="000000"/>
          <w:rtl/>
        </w:rPr>
        <w:t>ذ في إطار "توجيه الاتحاد الأوروبي" لأغراض إيداع طلب الحصول على ترخيص استخدام</w:t>
      </w:r>
      <w:r w:rsidR="0095556B">
        <w:rPr>
          <w:rFonts w:hint="cs"/>
          <w:color w:val="000000"/>
          <w:rtl/>
        </w:rPr>
        <w:t xml:space="preserve">، </w:t>
      </w:r>
      <w:r w:rsidRPr="006A49FA">
        <w:rPr>
          <w:color w:val="000000"/>
          <w:rtl/>
        </w:rPr>
        <w:t xml:space="preserve">إذا ما كان هذا بحثاً عن صاحب الحقوق ذي الصلة. فعلى سبيل المثال، يمكن أن </w:t>
      </w:r>
      <w:r w:rsidR="0095556B">
        <w:rPr>
          <w:rFonts w:hint="cs"/>
          <w:color w:val="000000"/>
          <w:rtl/>
        </w:rPr>
        <w:t>ينصب</w:t>
      </w:r>
      <w:r w:rsidRPr="006A49FA">
        <w:rPr>
          <w:color w:val="000000"/>
          <w:rtl/>
        </w:rPr>
        <w:t xml:space="preserve"> البحث في إطار "التوجيه" على البحث عن حقوق الرقمنة والتي غالباً ما يتم الاحتفاظ بها من قبل المؤلفين، بينما يجوز أن </w:t>
      </w:r>
      <w:r w:rsidR="0095556B">
        <w:rPr>
          <w:rFonts w:hint="cs"/>
          <w:color w:val="000000"/>
          <w:rtl/>
        </w:rPr>
        <w:t xml:space="preserve">يكون الناشر هو صاحب الحق </w:t>
      </w:r>
      <w:r w:rsidRPr="006A49FA">
        <w:rPr>
          <w:color w:val="000000"/>
          <w:rtl/>
        </w:rPr>
        <w:t>في نشر المصنف مطبوعاً. وعلى أي حال، سيخضع البحث لإجراءات جهة الترخيص التي تستهدف الوفاء بالمتطلبات السارية من حيث جودة أي أبحاث دقيقة داعمة للطلب المُوُدع</w:t>
      </w:r>
      <w:r>
        <w:rPr>
          <w:rFonts w:hint="cs"/>
          <w:color w:val="000000"/>
          <w:rtl/>
        </w:rPr>
        <w:t>.</w:t>
      </w:r>
    </w:p>
    <w:p w:rsidR="00827937" w:rsidRDefault="000B5060" w:rsidP="00403C05">
      <w:pPr>
        <w:pStyle w:val="NormalParaAR"/>
        <w:rPr>
          <w:color w:val="000000"/>
          <w:rtl/>
        </w:rPr>
      </w:pPr>
      <w:r>
        <w:rPr>
          <w:rFonts w:hint="cs"/>
          <w:color w:val="000000"/>
          <w:rtl/>
        </w:rPr>
        <w:t>و</w:t>
      </w:r>
      <w:r w:rsidR="00827937">
        <w:rPr>
          <w:rFonts w:hint="cs"/>
          <w:color w:val="000000"/>
          <w:rtl/>
        </w:rPr>
        <w:t xml:space="preserve">يسرد </w:t>
      </w:r>
      <w:r w:rsidR="0095556B">
        <w:rPr>
          <w:rFonts w:hint="cs"/>
          <w:color w:val="000000"/>
          <w:rtl/>
        </w:rPr>
        <w:t>"</w:t>
      </w:r>
      <w:r w:rsidR="00827937" w:rsidRPr="006A49FA">
        <w:rPr>
          <w:color w:val="000000"/>
          <w:rtl/>
        </w:rPr>
        <w:t xml:space="preserve">التوجيه" عددا من المصادر التي </w:t>
      </w:r>
      <w:r w:rsidR="00842AC3">
        <w:rPr>
          <w:rFonts w:hint="cs"/>
          <w:color w:val="000000"/>
          <w:rtl/>
        </w:rPr>
        <w:t>يتعين</w:t>
      </w:r>
      <w:r w:rsidR="00827937" w:rsidRPr="006A49FA">
        <w:rPr>
          <w:color w:val="000000"/>
          <w:rtl/>
        </w:rPr>
        <w:t xml:space="preserve"> بحثها كحد أدنى. وعلى الرغم من أن هذه القائمة لا تغطي سوى نوعية المصنفات التي يشملها "التوجيه"، إلا أنها نقطة مرجعية مفيدة لبعض أنشطة البحث الدقيق في سياق الامتثال لنظام الترخيص في المملكة المتحدة أيضا. ولذلك، تشير مسودة اللائحة التنفيذية لنظام الترخيص في المملكة المتحدة إلى القائمة الواردة في "التوجيه"</w:t>
      </w:r>
      <w:r w:rsidR="00403C05">
        <w:rPr>
          <w:rFonts w:hint="cs"/>
          <w:color w:val="000000"/>
          <w:rtl/>
        </w:rPr>
        <w:t xml:space="preserve"> </w:t>
      </w:r>
      <w:r w:rsidR="00827937" w:rsidRPr="006A49FA">
        <w:rPr>
          <w:color w:val="000000"/>
          <w:rtl/>
        </w:rPr>
        <w:t xml:space="preserve">والتي تم إدراجها على نحو صحيح في </w:t>
      </w:r>
      <w:r w:rsidR="00403C05">
        <w:rPr>
          <w:rFonts w:hint="cs"/>
          <w:color w:val="000000"/>
          <w:rtl/>
        </w:rPr>
        <w:t>لائحته التنفيذية</w:t>
      </w:r>
      <w:r w:rsidR="00827937">
        <w:rPr>
          <w:rFonts w:hint="cs"/>
          <w:color w:val="000000"/>
          <w:rtl/>
        </w:rPr>
        <w:t>.</w:t>
      </w:r>
    </w:p>
    <w:p w:rsidR="00827937" w:rsidRPr="00827937" w:rsidRDefault="00827937" w:rsidP="000F244A">
      <w:pPr>
        <w:pStyle w:val="Heading2AR"/>
        <w:rPr>
          <w:rtl/>
        </w:rPr>
      </w:pPr>
      <w:r w:rsidRPr="00827937">
        <w:rPr>
          <w:rFonts w:hint="cs"/>
          <w:rtl/>
        </w:rPr>
        <w:t>سجل المصنفات اليتيمة</w:t>
      </w:r>
    </w:p>
    <w:p w:rsidR="00827937" w:rsidRDefault="00827937" w:rsidP="00827937">
      <w:pPr>
        <w:pStyle w:val="NormalParaAR"/>
        <w:rPr>
          <w:color w:val="000000"/>
          <w:rtl/>
        </w:rPr>
      </w:pPr>
      <w:r>
        <w:rPr>
          <w:rFonts w:hint="cs"/>
          <w:color w:val="000000"/>
          <w:rtl/>
        </w:rPr>
        <w:t xml:space="preserve">سيتم </w:t>
      </w:r>
      <w:r w:rsidRPr="006A49FA">
        <w:rPr>
          <w:color w:val="000000"/>
          <w:rtl/>
        </w:rPr>
        <w:t xml:space="preserve">إنشاء سجل للمصنفات اليتيمة ومتابعته من قبل مكتب الملكية الفكرية بصفته جهة الترخيص، وسوف يتضمن هذا السجل تفاصيل المصنفات التي خضعت للبحث الدقيق، والمصنفات التي تم الترخيص في شأنها كمصنفات يتيمة، والمصنفات التي رُفض منح تراخيص في شأنها، والمصنفات التي ظهر لها صاحب حقوق في مرحلة لاحقة بعد أن كان مجهولاً. </w:t>
      </w:r>
      <w:r w:rsidR="000B5060">
        <w:rPr>
          <w:rFonts w:hint="cs"/>
          <w:color w:val="000000"/>
          <w:rtl/>
        </w:rPr>
        <w:t>و</w:t>
      </w:r>
      <w:r w:rsidRPr="006A49FA">
        <w:rPr>
          <w:color w:val="000000"/>
          <w:rtl/>
        </w:rPr>
        <w:t>سوف يساعد هذا السجل على تنفيذ بحث دقيق وجاد من خلال توفير مصدر إضافي للبحث، فضلا عن توفير سجل لطلبات الحصول على تراخيص استخدام مصنفات يتيمة. كما سيوفر أيضا مصدراً للمعلومات التي قد تساعد في ربط بعض المصنفات بأصحاب الحقوق المعنيين</w:t>
      </w:r>
      <w:r>
        <w:rPr>
          <w:rFonts w:hint="cs"/>
          <w:color w:val="000000"/>
          <w:rtl/>
        </w:rPr>
        <w:t>.</w:t>
      </w:r>
    </w:p>
    <w:p w:rsidR="00827937" w:rsidRPr="00827937" w:rsidRDefault="00827937" w:rsidP="000F244A">
      <w:pPr>
        <w:pStyle w:val="Heading2AR"/>
        <w:rPr>
          <w:rtl/>
        </w:rPr>
      </w:pPr>
      <w:r w:rsidRPr="00827937">
        <w:rPr>
          <w:rFonts w:hint="cs"/>
          <w:rtl/>
        </w:rPr>
        <w:t>شروط الترخيص</w:t>
      </w:r>
    </w:p>
    <w:p w:rsidR="00827937" w:rsidRDefault="00827937" w:rsidP="00F33BA5">
      <w:pPr>
        <w:pStyle w:val="NormalParaAR"/>
        <w:rPr>
          <w:color w:val="000000"/>
          <w:rtl/>
        </w:rPr>
      </w:pPr>
      <w:r>
        <w:rPr>
          <w:rFonts w:hint="cs"/>
          <w:color w:val="000000"/>
          <w:rtl/>
        </w:rPr>
        <w:t xml:space="preserve">لجهة </w:t>
      </w:r>
      <w:r w:rsidRPr="006A49FA">
        <w:rPr>
          <w:color w:val="000000"/>
          <w:rtl/>
        </w:rPr>
        <w:t xml:space="preserve">الترخيص سلطة منح ترخيص باستخدام مصنف يتيم في حالة التأكد من تنفيذ متطلبات البحث الدقيق. </w:t>
      </w:r>
      <w:r w:rsidR="000B5060">
        <w:rPr>
          <w:rFonts w:hint="cs"/>
          <w:color w:val="000000"/>
          <w:rtl/>
        </w:rPr>
        <w:t>و</w:t>
      </w:r>
      <w:r w:rsidRPr="006A49FA">
        <w:rPr>
          <w:color w:val="000000"/>
          <w:rtl/>
        </w:rPr>
        <w:t xml:space="preserve">تعد التراخيص الممنوحة بموجب نظام المصنفات اليتيمة تراخيص استخدام غير حصرية وتسري فقط داخل المملكة المتحدة. وبمقتضى اللائحة، لن يُسمح بالترخيص من الباطن. </w:t>
      </w:r>
      <w:r w:rsidR="000B5060">
        <w:rPr>
          <w:rFonts w:hint="cs"/>
          <w:color w:val="000000"/>
          <w:rtl/>
        </w:rPr>
        <w:t>و</w:t>
      </w:r>
      <w:r w:rsidRPr="006A49FA">
        <w:rPr>
          <w:color w:val="000000"/>
          <w:rtl/>
        </w:rPr>
        <w:t>لا يعني هذا عدم</w:t>
      </w:r>
      <w:r w:rsidR="00403C05">
        <w:rPr>
          <w:rFonts w:hint="cs"/>
          <w:color w:val="000000"/>
          <w:rtl/>
        </w:rPr>
        <w:t xml:space="preserve"> القدرة على </w:t>
      </w:r>
      <w:r w:rsidR="00403C05" w:rsidRPr="006A49FA">
        <w:rPr>
          <w:color w:val="000000"/>
          <w:rtl/>
        </w:rPr>
        <w:t>تغطية مجموعة من الاستخدامات</w:t>
      </w:r>
      <w:r w:rsidR="00403C05">
        <w:rPr>
          <w:rFonts w:hint="cs"/>
          <w:color w:val="000000"/>
          <w:rtl/>
        </w:rPr>
        <w:t xml:space="preserve"> في إطار الترخيص، بل يمكن توسيع مجال الترخيص </w:t>
      </w:r>
      <w:r w:rsidRPr="006A49FA">
        <w:rPr>
          <w:color w:val="000000"/>
          <w:rtl/>
        </w:rPr>
        <w:t xml:space="preserve">بشرط قيام المرخص له بسداد مقابل لكافة الحقوق بأسعار مناسبة. </w:t>
      </w:r>
      <w:r w:rsidR="000B5060">
        <w:rPr>
          <w:rFonts w:hint="cs"/>
          <w:color w:val="000000"/>
          <w:rtl/>
        </w:rPr>
        <w:t>و</w:t>
      </w:r>
      <w:r w:rsidRPr="006A49FA">
        <w:rPr>
          <w:color w:val="000000"/>
          <w:rtl/>
        </w:rPr>
        <w:t xml:space="preserve">في حالة رغبة المرخص له، في مرحلة لاحقة، في استخدام المصنف في أغراض </w:t>
      </w:r>
      <w:r w:rsidR="00403C05">
        <w:rPr>
          <w:rFonts w:hint="cs"/>
          <w:color w:val="000000"/>
          <w:rtl/>
        </w:rPr>
        <w:t>لم يشملها</w:t>
      </w:r>
      <w:r w:rsidRPr="006A49FA">
        <w:rPr>
          <w:color w:val="000000"/>
          <w:rtl/>
        </w:rPr>
        <w:t xml:space="preserve"> الترخيص الحاصل عليه، يمكنه إيداع طلب لتمديد نطاق الرخصة، بشرط، مرة أخرى، سداد الرسوم المرتبطة. و</w:t>
      </w:r>
      <w:r w:rsidRPr="006A49FA">
        <w:rPr>
          <w:color w:val="000000"/>
          <w:rtl/>
          <w:lang w:bidi="ar-EG"/>
        </w:rPr>
        <w:t xml:space="preserve">يتفق هذا الإجراء مع ما يتم تنفيذه في </w:t>
      </w:r>
      <w:r w:rsidR="003A120A">
        <w:rPr>
          <w:rFonts w:hint="cs"/>
          <w:color w:val="000000"/>
          <w:rtl/>
          <w:lang w:bidi="ar-EG"/>
        </w:rPr>
        <w:t xml:space="preserve">حالات المصنفات ذات أصحاب الحقوق المعروفة، طالما لم يتم الترخيص </w:t>
      </w:r>
      <w:r w:rsidRPr="006A49FA">
        <w:rPr>
          <w:color w:val="000000"/>
          <w:rtl/>
          <w:lang w:bidi="ar-EG"/>
        </w:rPr>
        <w:t xml:space="preserve">باستخدام الحقوق بصفة دائمة أو لم يتم التنازل عنها. </w:t>
      </w:r>
      <w:r w:rsidR="000B5060">
        <w:rPr>
          <w:rFonts w:hint="cs"/>
          <w:color w:val="000000"/>
          <w:rtl/>
          <w:lang w:bidi="ar-EG"/>
        </w:rPr>
        <w:t>و</w:t>
      </w:r>
      <w:r w:rsidRPr="006A49FA">
        <w:rPr>
          <w:color w:val="000000"/>
          <w:rtl/>
          <w:lang w:bidi="ar-EG"/>
        </w:rPr>
        <w:t>نورد فيما بعد</w:t>
      </w:r>
      <w:r w:rsidR="00F33BA5">
        <w:rPr>
          <w:rFonts w:hint="cs"/>
          <w:color w:val="000000"/>
          <w:rtl/>
          <w:lang w:bidi="ar-EG"/>
        </w:rPr>
        <w:t xml:space="preserve"> </w:t>
      </w:r>
      <w:r w:rsidRPr="006A49FA">
        <w:rPr>
          <w:color w:val="000000"/>
          <w:rtl/>
        </w:rPr>
        <w:t>مزيد من العمل المفص</w:t>
      </w:r>
      <w:r w:rsidR="003A120A">
        <w:rPr>
          <w:rFonts w:hint="cs"/>
          <w:color w:val="000000"/>
          <w:rtl/>
        </w:rPr>
        <w:t>َّ</w:t>
      </w:r>
      <w:r w:rsidRPr="006A49FA">
        <w:rPr>
          <w:color w:val="000000"/>
          <w:rtl/>
        </w:rPr>
        <w:t>ل بشأن إعداد تراخيص المصنفات اليتيمة من خلال أفرقة العمل المعنية بقطاعات معينة</w:t>
      </w:r>
      <w:r>
        <w:rPr>
          <w:rFonts w:hint="cs"/>
          <w:color w:val="000000"/>
          <w:rtl/>
        </w:rPr>
        <w:t>.</w:t>
      </w:r>
    </w:p>
    <w:p w:rsidR="00827937" w:rsidRDefault="00827937" w:rsidP="003A120A">
      <w:pPr>
        <w:pStyle w:val="NormalParaAR"/>
        <w:rPr>
          <w:color w:val="000000"/>
          <w:rtl/>
        </w:rPr>
      </w:pPr>
      <w:r>
        <w:rPr>
          <w:rFonts w:hint="cs"/>
          <w:color w:val="000000"/>
          <w:rtl/>
        </w:rPr>
        <w:t xml:space="preserve">وبصفة عامة، </w:t>
      </w:r>
      <w:r w:rsidRPr="006A49FA">
        <w:rPr>
          <w:color w:val="000000"/>
          <w:rtl/>
        </w:rPr>
        <w:t>لا تُحَّو</w:t>
      </w:r>
      <w:r w:rsidR="003A120A">
        <w:rPr>
          <w:rFonts w:hint="cs"/>
          <w:color w:val="000000"/>
          <w:rtl/>
        </w:rPr>
        <w:t>ّ</w:t>
      </w:r>
      <w:r w:rsidRPr="006A49FA">
        <w:rPr>
          <w:color w:val="000000"/>
          <w:rtl/>
        </w:rPr>
        <w:t xml:space="preserve">ل ملكية حقوق تراخيص المصنفات معروفة المؤلف، </w:t>
      </w:r>
      <w:r w:rsidR="000B5060">
        <w:rPr>
          <w:rFonts w:hint="cs"/>
          <w:color w:val="000000"/>
          <w:rtl/>
        </w:rPr>
        <w:t>حيث إ</w:t>
      </w:r>
      <w:r w:rsidR="003A120A">
        <w:rPr>
          <w:rFonts w:hint="cs"/>
          <w:color w:val="000000"/>
          <w:rtl/>
        </w:rPr>
        <w:t>نها حقوقاً</w:t>
      </w:r>
      <w:r w:rsidRPr="006A49FA">
        <w:rPr>
          <w:color w:val="000000"/>
          <w:rtl/>
        </w:rPr>
        <w:t xml:space="preserve"> غير قابلة للتحويل. وبالمثل، ووفقا لما تم تضمينه في مسودة اللائحة، لن يُسمح بتحويل ملكية ترخيص المصنفات اليتيمة. </w:t>
      </w:r>
      <w:r w:rsidR="000B5060">
        <w:rPr>
          <w:rFonts w:hint="cs"/>
          <w:color w:val="000000"/>
          <w:rtl/>
        </w:rPr>
        <w:t>و</w:t>
      </w:r>
      <w:r w:rsidRPr="006A49FA">
        <w:rPr>
          <w:color w:val="000000"/>
          <w:rtl/>
        </w:rPr>
        <w:t>تهدف هذه المشاورات إلى التعرف على وجهات نظر بشأن ما إذا كان يجدر معاملة تراخيص المصنفات اليتيمة بطريقة مختلفة عن المصنفات معروفة المؤلف والسماح بتحويل حقوق استخدامها</w:t>
      </w:r>
      <w:r>
        <w:rPr>
          <w:rFonts w:hint="cs"/>
          <w:color w:val="000000"/>
          <w:rtl/>
        </w:rPr>
        <w:t>.</w:t>
      </w:r>
    </w:p>
    <w:p w:rsidR="00827937" w:rsidRDefault="00827937" w:rsidP="002F7B31">
      <w:pPr>
        <w:pStyle w:val="NormalParaAR"/>
        <w:rPr>
          <w:color w:val="000000"/>
          <w:rtl/>
        </w:rPr>
      </w:pPr>
      <w:r>
        <w:rPr>
          <w:rFonts w:hint="cs"/>
          <w:color w:val="000000"/>
          <w:rtl/>
        </w:rPr>
        <w:t xml:space="preserve">وبغية </w:t>
      </w:r>
      <w:r w:rsidRPr="006A49FA">
        <w:rPr>
          <w:color w:val="000000"/>
          <w:rtl/>
          <w:lang w:bidi="ar-EG"/>
        </w:rPr>
        <w:t xml:space="preserve">خلق عنصر جذب للراغبين في الحصول على تراخيص وتشجيعهم على استخدام النظام، ممن قد يستثمرون في صناعة منتج جديد أو قد يرغبون في تقديم خدمة جديدة تنطوي على استخدام مصنف يتيم (كتاب مثلاً أو خدمة من خدمات </w:t>
      </w:r>
      <w:r w:rsidRPr="006A49FA">
        <w:rPr>
          <w:color w:val="000000"/>
          <w:rtl/>
          <w:lang w:bidi="ar-EG"/>
        </w:rPr>
        <w:lastRenderedPageBreak/>
        <w:t xml:space="preserve">الإنترنت)، فسوف يكون من الضروري </w:t>
      </w:r>
      <w:r w:rsidRPr="006A49FA">
        <w:rPr>
          <w:color w:val="000000"/>
          <w:rtl/>
        </w:rPr>
        <w:t xml:space="preserve">توفير </w:t>
      </w:r>
      <w:r w:rsidR="003A120A">
        <w:rPr>
          <w:rFonts w:hint="cs"/>
          <w:color w:val="000000"/>
          <w:rtl/>
        </w:rPr>
        <w:t>ال</w:t>
      </w:r>
      <w:r w:rsidRPr="006A49FA">
        <w:rPr>
          <w:color w:val="000000"/>
          <w:rtl/>
        </w:rPr>
        <w:t>يقين</w:t>
      </w:r>
      <w:r w:rsidR="003A120A">
        <w:rPr>
          <w:rFonts w:hint="cs"/>
          <w:color w:val="000000"/>
          <w:rtl/>
        </w:rPr>
        <w:t xml:space="preserve"> المطلوب من جانبهم </w:t>
      </w:r>
      <w:r w:rsidRPr="006A49FA">
        <w:rPr>
          <w:color w:val="000000"/>
          <w:rtl/>
        </w:rPr>
        <w:t xml:space="preserve">فيما يتعلق باستدامة أنشطتهم التجارية والتأكيد على استمرارهم في بيع المنتج حتى في ظل الظروف غير المحتملة والتي يظهر فيها صاحب الحق، على الأقل لفترة معقولة من الزمن. وعلى </w:t>
      </w:r>
      <w:r w:rsidR="003A120A">
        <w:rPr>
          <w:rFonts w:hint="cs"/>
          <w:color w:val="000000"/>
          <w:rtl/>
        </w:rPr>
        <w:t>ال</w:t>
      </w:r>
      <w:r w:rsidRPr="006A49FA">
        <w:rPr>
          <w:color w:val="000000"/>
          <w:rtl/>
        </w:rPr>
        <w:t>جانب</w:t>
      </w:r>
      <w:r w:rsidR="003A120A">
        <w:rPr>
          <w:rFonts w:hint="cs"/>
          <w:color w:val="000000"/>
          <w:rtl/>
        </w:rPr>
        <w:t xml:space="preserve"> ال</w:t>
      </w:r>
      <w:r w:rsidRPr="006A49FA">
        <w:rPr>
          <w:color w:val="000000"/>
          <w:rtl/>
        </w:rPr>
        <w:t xml:space="preserve">آخر، </w:t>
      </w:r>
      <w:r w:rsidR="003A120A">
        <w:rPr>
          <w:rFonts w:hint="cs"/>
          <w:color w:val="000000"/>
          <w:rtl/>
        </w:rPr>
        <w:t xml:space="preserve">فمن المرجح عدم سعادة </w:t>
      </w:r>
      <w:r w:rsidRPr="006A49FA">
        <w:rPr>
          <w:color w:val="000000"/>
          <w:rtl/>
        </w:rPr>
        <w:t xml:space="preserve">أصحاب الحق </w:t>
      </w:r>
      <w:r w:rsidR="003A120A">
        <w:rPr>
          <w:rFonts w:hint="cs"/>
          <w:color w:val="000000"/>
          <w:rtl/>
        </w:rPr>
        <w:t>العائدين</w:t>
      </w:r>
      <w:r w:rsidRPr="006A49FA">
        <w:rPr>
          <w:color w:val="000000"/>
          <w:rtl/>
        </w:rPr>
        <w:t xml:space="preserve"> للظهور </w:t>
      </w:r>
      <w:r w:rsidR="003A120A">
        <w:rPr>
          <w:rFonts w:hint="cs"/>
          <w:color w:val="000000"/>
          <w:rtl/>
        </w:rPr>
        <w:t>عند علمهم ب</w:t>
      </w:r>
      <w:r w:rsidRPr="006A49FA">
        <w:rPr>
          <w:color w:val="000000"/>
          <w:rtl/>
        </w:rPr>
        <w:t>نبأ ترخيص أعمالهم، وقد يرغبون في توقيف الاستخدام في أسرع وقت ممكن</w:t>
      </w:r>
      <w:r>
        <w:rPr>
          <w:rFonts w:hint="cs"/>
          <w:color w:val="000000"/>
          <w:rtl/>
        </w:rPr>
        <w:t>.</w:t>
      </w:r>
    </w:p>
    <w:p w:rsidR="00827937" w:rsidRDefault="000B5060" w:rsidP="002F7B31">
      <w:pPr>
        <w:pStyle w:val="NormalParaAR"/>
        <w:rPr>
          <w:color w:val="000000"/>
          <w:rtl/>
        </w:rPr>
      </w:pPr>
      <w:r>
        <w:rPr>
          <w:rFonts w:hint="cs"/>
          <w:color w:val="000000"/>
          <w:rtl/>
        </w:rPr>
        <w:t>و</w:t>
      </w:r>
      <w:r w:rsidR="00827937">
        <w:rPr>
          <w:rFonts w:hint="cs"/>
          <w:color w:val="000000"/>
          <w:rtl/>
        </w:rPr>
        <w:t xml:space="preserve">تُظهر </w:t>
      </w:r>
      <w:r w:rsidR="00827937" w:rsidRPr="006A49FA">
        <w:rPr>
          <w:color w:val="000000"/>
          <w:rtl/>
        </w:rPr>
        <w:t>المشاورات والتعليقات الواردة حالياً من المتاحف والمكتبات ودور الحفظ ندرة فرص ظهور صاحب الحقوق في حالة المخاطرة باستخدام مصنفات يتيمة، وحتى في حالة ظهوره، فإن احتمال مطالبته بتوقيف الاستخدام أو المطالبة بتعويض تكون أكثر ندرة. و</w:t>
      </w:r>
      <w:r w:rsidR="002F7B31">
        <w:rPr>
          <w:rFonts w:hint="cs"/>
          <w:color w:val="000000"/>
          <w:rtl/>
        </w:rPr>
        <w:t xml:space="preserve">في الغالب، قد </w:t>
      </w:r>
      <w:r w:rsidR="00827937" w:rsidRPr="006A49FA">
        <w:rPr>
          <w:color w:val="000000"/>
          <w:rtl/>
        </w:rPr>
        <w:t>يكون هذا هو النهج المتوقع اتباعه في حالة الاستخدام غير التجاري في إطار نظام المصنفات اليتيمة، ولا سيما مع الالتزام بتنفيذ البحث الدقيق وعلى نحو سليم</w:t>
      </w:r>
      <w:r w:rsidR="00827937">
        <w:rPr>
          <w:rFonts w:hint="cs"/>
          <w:color w:val="000000"/>
          <w:rtl/>
        </w:rPr>
        <w:t>.</w:t>
      </w:r>
    </w:p>
    <w:p w:rsidR="00827937" w:rsidRDefault="000B5060" w:rsidP="000B5060">
      <w:pPr>
        <w:pStyle w:val="NormalParaAR"/>
        <w:rPr>
          <w:color w:val="000000"/>
          <w:rtl/>
        </w:rPr>
      </w:pPr>
      <w:r>
        <w:rPr>
          <w:rFonts w:hint="cs"/>
          <w:color w:val="000000"/>
          <w:rtl/>
        </w:rPr>
        <w:t>و</w:t>
      </w:r>
      <w:r w:rsidR="00827937">
        <w:rPr>
          <w:rFonts w:hint="cs"/>
          <w:color w:val="000000"/>
          <w:rtl/>
        </w:rPr>
        <w:t xml:space="preserve">سوف </w:t>
      </w:r>
      <w:r w:rsidR="00827937" w:rsidRPr="006A49FA">
        <w:rPr>
          <w:color w:val="000000"/>
          <w:rtl/>
        </w:rPr>
        <w:t>يأ</w:t>
      </w:r>
      <w:r>
        <w:rPr>
          <w:color w:val="000000"/>
          <w:rtl/>
        </w:rPr>
        <w:t>خذ مكتب الملكية الفكرية كجهة مس</w:t>
      </w:r>
      <w:r>
        <w:rPr>
          <w:rFonts w:hint="cs"/>
          <w:color w:val="000000"/>
          <w:rtl/>
        </w:rPr>
        <w:t>ؤ</w:t>
      </w:r>
      <w:r w:rsidR="00827937" w:rsidRPr="006A49FA">
        <w:rPr>
          <w:color w:val="000000"/>
          <w:rtl/>
        </w:rPr>
        <w:t>ولة عن منح تراخيص الاستخدام في اعتباره معايير الصناعة</w:t>
      </w:r>
      <w:r>
        <w:rPr>
          <w:color w:val="000000"/>
          <w:rtl/>
        </w:rPr>
        <w:t xml:space="preserve"> وشروط الترخيص ذات الصلة. وحيث </w:t>
      </w:r>
      <w:r>
        <w:rPr>
          <w:rFonts w:hint="cs"/>
          <w:color w:val="000000"/>
          <w:rtl/>
        </w:rPr>
        <w:t>إ</w:t>
      </w:r>
      <w:r w:rsidR="00827937" w:rsidRPr="006A49FA">
        <w:rPr>
          <w:color w:val="000000"/>
          <w:rtl/>
        </w:rPr>
        <w:t xml:space="preserve">نه يتم الترخيص بطباعة مصنف معروف مؤلفه من خلال دورة طباعة واحدة، بدلا من الترخيص باستخدامه لفترة محددة، فسوف يتم تضمين هذا في شرط ترخيص استخدام المصنفات اليتيمة المماثلة. </w:t>
      </w:r>
      <w:r>
        <w:rPr>
          <w:rFonts w:hint="cs"/>
          <w:color w:val="000000"/>
          <w:rtl/>
        </w:rPr>
        <w:t>و</w:t>
      </w:r>
      <w:r w:rsidR="00827937" w:rsidRPr="006A49FA">
        <w:rPr>
          <w:color w:val="000000"/>
          <w:rtl/>
        </w:rPr>
        <w:t>يجب ألا</w:t>
      </w:r>
      <w:r>
        <w:rPr>
          <w:rFonts w:hint="cs"/>
          <w:color w:val="000000"/>
          <w:rtl/>
        </w:rPr>
        <w:t> </w:t>
      </w:r>
      <w:r w:rsidR="00827937" w:rsidRPr="006A49FA">
        <w:rPr>
          <w:color w:val="000000"/>
          <w:rtl/>
        </w:rPr>
        <w:t>تتعدى أطول فترة للترخيص (بصرف النظر عن المقياس المستخدم)</w:t>
      </w:r>
      <w:r w:rsidR="00827937" w:rsidRPr="006A49FA">
        <w:rPr>
          <w:color w:val="000000"/>
          <w:rtl/>
          <w:lang w:bidi="ar-EG"/>
        </w:rPr>
        <w:t xml:space="preserve"> عن سبع سنوات، </w:t>
      </w:r>
      <w:r w:rsidR="00827937" w:rsidRPr="006A49FA">
        <w:rPr>
          <w:color w:val="000000"/>
          <w:rtl/>
        </w:rPr>
        <w:t>والتي تتفق مع أطول فترة قياسية وجدناها، هذا بصرف النظر عن حالات التراخيص الدائمة</w:t>
      </w:r>
      <w:r w:rsidR="00827937">
        <w:rPr>
          <w:rFonts w:hint="cs"/>
          <w:color w:val="000000"/>
          <w:rtl/>
        </w:rPr>
        <w:t>.</w:t>
      </w:r>
    </w:p>
    <w:p w:rsidR="00827937" w:rsidRDefault="00827937" w:rsidP="002F7B31">
      <w:pPr>
        <w:pStyle w:val="NormalParaAR"/>
        <w:rPr>
          <w:color w:val="000000"/>
          <w:rtl/>
        </w:rPr>
      </w:pPr>
      <w:r>
        <w:rPr>
          <w:rFonts w:hint="cs"/>
          <w:color w:val="000000"/>
          <w:rtl/>
        </w:rPr>
        <w:t xml:space="preserve">كما </w:t>
      </w:r>
      <w:r w:rsidRPr="006A49FA">
        <w:rPr>
          <w:color w:val="000000"/>
          <w:rtl/>
        </w:rPr>
        <w:t>يمكن أيضا تضمين فترات</w:t>
      </w:r>
      <w:r w:rsidRPr="006A49FA">
        <w:rPr>
          <w:color w:val="000000"/>
          <w:rtl/>
          <w:lang w:bidi="ar-EG"/>
        </w:rPr>
        <w:t xml:space="preserve"> محددة للإشعارات </w:t>
      </w:r>
      <w:r w:rsidRPr="006A49FA">
        <w:rPr>
          <w:color w:val="000000"/>
          <w:rtl/>
        </w:rPr>
        <w:t xml:space="preserve">في النظام، حيث تشكل تلك الإشعارات المعيار المعمول به بالنسبة للمصنفات المماثلة معروفة المؤلف، مثل فترات الحد الأقصى للمدة الزمنية التي يتعين خلالها سحب مصنف ما من التداول. </w:t>
      </w:r>
      <w:r w:rsidR="000B5060">
        <w:rPr>
          <w:rFonts w:hint="cs"/>
          <w:color w:val="000000"/>
          <w:rtl/>
        </w:rPr>
        <w:t>و</w:t>
      </w:r>
      <w:r w:rsidRPr="006A49FA">
        <w:rPr>
          <w:color w:val="000000"/>
          <w:rtl/>
        </w:rPr>
        <w:t>يتعاون حالياً مكتب الملكية الفكرية مع ممارسين في مجال الصناعة في القطاعات المختلفة لوضع توجيهات بشأن مدة التراخيص وأي فترات إشعار</w:t>
      </w:r>
      <w:r>
        <w:rPr>
          <w:rFonts w:hint="cs"/>
          <w:color w:val="000000"/>
          <w:rtl/>
        </w:rPr>
        <w:t>.</w:t>
      </w:r>
    </w:p>
    <w:p w:rsidR="00827937" w:rsidRDefault="000C6B35" w:rsidP="002F7B31">
      <w:pPr>
        <w:pStyle w:val="NormalParaAR"/>
        <w:rPr>
          <w:color w:val="000000"/>
          <w:rtl/>
          <w:lang w:bidi="ar-EG"/>
        </w:rPr>
      </w:pPr>
      <w:r>
        <w:rPr>
          <w:rFonts w:hint="cs"/>
          <w:color w:val="000000"/>
          <w:rtl/>
        </w:rPr>
        <w:t xml:space="preserve">كما </w:t>
      </w:r>
      <w:r w:rsidR="000B5060">
        <w:rPr>
          <w:rFonts w:hint="cs"/>
          <w:color w:val="000000"/>
          <w:rtl/>
        </w:rPr>
        <w:t>ا</w:t>
      </w:r>
      <w:r w:rsidRPr="006A49FA">
        <w:rPr>
          <w:color w:val="000000"/>
          <w:rtl/>
        </w:rPr>
        <w:t>قت</w:t>
      </w:r>
      <w:r w:rsidR="000B5060">
        <w:rPr>
          <w:rFonts w:hint="cs"/>
          <w:color w:val="000000"/>
          <w:rtl/>
        </w:rPr>
        <w:t>ُ</w:t>
      </w:r>
      <w:r w:rsidRPr="006A49FA">
        <w:rPr>
          <w:color w:val="000000"/>
          <w:rtl/>
        </w:rPr>
        <w:t>رح أيضا وجوب تبسيط الإجراءات عند السماح بتجديد ترخيص استخدام المصنفات اليتيمة دون الحاجة إلى استيفاء الإجراءات الكاملة اللازمة لمنح ترخيص لطلب جديد. ومع ذلك، سوف يتطلب الأمر القيام ببحث</w:t>
      </w:r>
      <w:r w:rsidR="002F7B31">
        <w:rPr>
          <w:rFonts w:hint="cs"/>
          <w:color w:val="000000"/>
          <w:rtl/>
        </w:rPr>
        <w:t xml:space="preserve"> </w:t>
      </w:r>
      <w:r w:rsidR="002F7B31" w:rsidRPr="006A49FA">
        <w:rPr>
          <w:color w:val="000000"/>
          <w:rtl/>
        </w:rPr>
        <w:t>جديد</w:t>
      </w:r>
      <w:r w:rsidRPr="006A49FA">
        <w:rPr>
          <w:color w:val="000000"/>
          <w:rtl/>
        </w:rPr>
        <w:t xml:space="preserve"> دقيق في حالة طلب تجديد الترخيص. (البند الثامن من اللائحة</w:t>
      </w:r>
      <w:r>
        <w:rPr>
          <w:rFonts w:hint="cs"/>
          <w:color w:val="000000"/>
          <w:rtl/>
          <w:lang w:bidi="ar-EG"/>
        </w:rPr>
        <w:t>).</w:t>
      </w:r>
    </w:p>
    <w:p w:rsidR="000C6B35" w:rsidRPr="000C6B35" w:rsidRDefault="000C6B35" w:rsidP="000F244A">
      <w:pPr>
        <w:pStyle w:val="Heading2AR"/>
        <w:rPr>
          <w:rtl/>
          <w:lang w:bidi="ar-EG"/>
        </w:rPr>
      </w:pPr>
      <w:r w:rsidRPr="000C6B35">
        <w:rPr>
          <w:rFonts w:hint="cs"/>
          <w:rtl/>
          <w:lang w:bidi="ar-EG"/>
        </w:rPr>
        <w:t>الحقوق المعنوية</w:t>
      </w:r>
    </w:p>
    <w:p w:rsidR="000C6B35" w:rsidRDefault="000C6B35" w:rsidP="00FF3494">
      <w:pPr>
        <w:pStyle w:val="NormalParaAR"/>
        <w:rPr>
          <w:color w:val="000000"/>
          <w:rtl/>
          <w:lang w:bidi="ar-EG"/>
        </w:rPr>
      </w:pPr>
      <w:r>
        <w:rPr>
          <w:rFonts w:hint="cs"/>
          <w:color w:val="000000"/>
          <w:rtl/>
          <w:lang w:bidi="ar-EG"/>
        </w:rPr>
        <w:t xml:space="preserve">سيُفترض </w:t>
      </w:r>
      <w:r w:rsidR="004C795D">
        <w:rPr>
          <w:rFonts w:hint="cs"/>
          <w:color w:val="000000"/>
          <w:rtl/>
        </w:rPr>
        <w:t>تأكيد</w:t>
      </w:r>
      <w:r w:rsidRPr="006A49FA">
        <w:rPr>
          <w:color w:val="000000"/>
          <w:rtl/>
        </w:rPr>
        <w:t xml:space="preserve"> صاحب المصنف اليتيم </w:t>
      </w:r>
      <w:r w:rsidR="004C795D">
        <w:rPr>
          <w:rFonts w:hint="cs"/>
          <w:color w:val="000000"/>
          <w:rtl/>
        </w:rPr>
        <w:t>على المطالبة ب</w:t>
      </w:r>
      <w:r w:rsidRPr="006A49FA">
        <w:rPr>
          <w:color w:val="000000"/>
          <w:rtl/>
        </w:rPr>
        <w:t xml:space="preserve">حقوقه المعنوية، ولذلك يتوجب إسناد المصنف اليتيم إلى صاحبه (حيثما يكون معروفاً) عند إعادة إنتاج المصنف، جنبا إلى جنب مع بيان التفاصيل المقدَّمة من الجهة المرخصة. </w:t>
      </w:r>
      <w:r w:rsidR="000B5060">
        <w:rPr>
          <w:rFonts w:hint="cs"/>
          <w:color w:val="000000"/>
          <w:rtl/>
        </w:rPr>
        <w:t>و</w:t>
      </w:r>
      <w:r w:rsidRPr="006A49FA">
        <w:rPr>
          <w:color w:val="000000"/>
          <w:rtl/>
        </w:rPr>
        <w:t>يؤكد هذا الإجراء على مشروعية الاستخدام كما يزيد من فرص إعادة ربط المصنف بصاحبه. ويم</w:t>
      </w:r>
      <w:r w:rsidR="000B5060">
        <w:rPr>
          <w:color w:val="000000"/>
          <w:rtl/>
        </w:rPr>
        <w:t>كن تنفيذ ذلك من خلال الروابط ال</w:t>
      </w:r>
      <w:r w:rsidR="000B5060">
        <w:rPr>
          <w:rFonts w:hint="cs"/>
          <w:color w:val="000000"/>
          <w:rtl/>
        </w:rPr>
        <w:t>إ</w:t>
      </w:r>
      <w:r w:rsidRPr="006A49FA">
        <w:rPr>
          <w:color w:val="000000"/>
          <w:rtl/>
        </w:rPr>
        <w:t xml:space="preserve">لكترونية لشبكة الإنترنت. ونظراً لعدم إمكانية معرفة </w:t>
      </w:r>
      <w:r w:rsidR="004C795D">
        <w:rPr>
          <w:rFonts w:hint="cs"/>
          <w:color w:val="000000"/>
          <w:rtl/>
        </w:rPr>
        <w:t>هل</w:t>
      </w:r>
      <w:r w:rsidRPr="006A49FA">
        <w:rPr>
          <w:color w:val="000000"/>
          <w:rtl/>
        </w:rPr>
        <w:t xml:space="preserve"> تم تطبيق أحد الاستثناءات القانونية في سياق إسناد العمل إلى صاحبه من</w:t>
      </w:r>
      <w:r w:rsidR="00FF3494">
        <w:rPr>
          <w:rFonts w:hint="cs"/>
          <w:color w:val="000000"/>
          <w:rtl/>
        </w:rPr>
        <w:t> </w:t>
      </w:r>
      <w:r w:rsidRPr="006A49FA">
        <w:rPr>
          <w:color w:val="000000"/>
          <w:rtl/>
        </w:rPr>
        <w:t xml:space="preserve">عدمه في جميع الحالات، فسوف يُفترض ضرورة الإشارة إلى </w:t>
      </w:r>
      <w:r w:rsidRPr="006A49FA">
        <w:rPr>
          <w:color w:val="000000"/>
          <w:rtl/>
          <w:lang w:bidi="ar-EG"/>
        </w:rPr>
        <w:t>فضل صاحب العمل لكافة المصنفا</w:t>
      </w:r>
      <w:r w:rsidR="00FF3494">
        <w:rPr>
          <w:color w:val="000000"/>
          <w:rtl/>
          <w:lang w:bidi="ar-EG"/>
        </w:rPr>
        <w:t>ت اليتيمة التي تم التعرف على أص</w:t>
      </w:r>
      <w:r w:rsidRPr="006A49FA">
        <w:rPr>
          <w:color w:val="000000"/>
          <w:rtl/>
          <w:lang w:bidi="ar-EG"/>
        </w:rPr>
        <w:t>ح</w:t>
      </w:r>
      <w:r w:rsidR="00FF3494">
        <w:rPr>
          <w:rFonts w:hint="cs"/>
          <w:color w:val="000000"/>
          <w:rtl/>
          <w:lang w:bidi="ar-EG"/>
        </w:rPr>
        <w:t>ا</w:t>
      </w:r>
      <w:r w:rsidRPr="006A49FA">
        <w:rPr>
          <w:color w:val="000000"/>
          <w:rtl/>
          <w:lang w:bidi="ar-EG"/>
        </w:rPr>
        <w:t>بها</w:t>
      </w:r>
      <w:r>
        <w:rPr>
          <w:rFonts w:hint="cs"/>
          <w:color w:val="000000"/>
          <w:rtl/>
          <w:lang w:bidi="ar-EG"/>
        </w:rPr>
        <w:t>.</w:t>
      </w:r>
    </w:p>
    <w:p w:rsidR="000C6B35" w:rsidRDefault="00FF3494" w:rsidP="004C795D">
      <w:pPr>
        <w:pStyle w:val="NormalParaAR"/>
        <w:rPr>
          <w:color w:val="000000"/>
          <w:rtl/>
        </w:rPr>
      </w:pPr>
      <w:r>
        <w:rPr>
          <w:rFonts w:hint="cs"/>
          <w:color w:val="000000"/>
          <w:rtl/>
          <w:lang w:bidi="ar-EG"/>
        </w:rPr>
        <w:t>و</w:t>
      </w:r>
      <w:r w:rsidR="000C6B35">
        <w:rPr>
          <w:rFonts w:hint="cs"/>
          <w:color w:val="000000"/>
          <w:rtl/>
          <w:lang w:bidi="ar-EG"/>
        </w:rPr>
        <w:t xml:space="preserve">يتمثل </w:t>
      </w:r>
      <w:r w:rsidR="000C6B35" w:rsidRPr="006A49FA">
        <w:rPr>
          <w:color w:val="000000"/>
          <w:rtl/>
          <w:lang w:bidi="ar-EG"/>
        </w:rPr>
        <w:t xml:space="preserve">الافتراض في </w:t>
      </w:r>
      <w:r w:rsidR="004C795D">
        <w:rPr>
          <w:rFonts w:hint="cs"/>
          <w:color w:val="000000"/>
          <w:rtl/>
          <w:lang w:bidi="ar-EG"/>
        </w:rPr>
        <w:t>تطبيق</w:t>
      </w:r>
      <w:r w:rsidR="000C6B35" w:rsidRPr="006A49FA">
        <w:rPr>
          <w:color w:val="000000"/>
          <w:rtl/>
          <w:lang w:bidi="ar-EG"/>
        </w:rPr>
        <w:t xml:space="preserve"> نظام </w:t>
      </w:r>
      <w:r w:rsidR="000C6B35" w:rsidRPr="006A49FA">
        <w:rPr>
          <w:color w:val="000000"/>
          <w:rtl/>
        </w:rPr>
        <w:t xml:space="preserve">الحقوق المعنوية في "قانون </w:t>
      </w:r>
      <w:r w:rsidR="000C6B35" w:rsidRPr="006A49FA">
        <w:rPr>
          <w:color w:val="000000"/>
          <w:rtl/>
          <w:lang w:bidi="ar-EG"/>
        </w:rPr>
        <w:t xml:space="preserve">حق المؤلف والتصاميم الصناعية والبراءات" الساري في حالات المعاملة المسيئة </w:t>
      </w:r>
      <w:r w:rsidR="004C795D">
        <w:rPr>
          <w:rFonts w:hint="cs"/>
          <w:color w:val="000000"/>
          <w:rtl/>
          <w:lang w:bidi="ar-EG"/>
        </w:rPr>
        <w:t>والتصدي لها</w:t>
      </w:r>
      <w:r w:rsidR="000C6B35" w:rsidRPr="006A49FA">
        <w:rPr>
          <w:color w:val="000000"/>
          <w:rtl/>
          <w:lang w:bidi="ar-EG"/>
        </w:rPr>
        <w:t xml:space="preserve">، وسوف يحتفظ أصحاب المصنفات الأصليون </w:t>
      </w:r>
      <w:r w:rsidR="000C6B35" w:rsidRPr="006A49FA">
        <w:rPr>
          <w:color w:val="000000"/>
          <w:rtl/>
        </w:rPr>
        <w:t>بالحق في إقامة دعاوى حال تعرض المصنفات لمعاملة مسيئة. وتقترح الحكومة أيضا وجوب تخويل جهة الترخيص الحق في رفض منح ترخيص تأسيساً على قناعتها بتوفر شبهة معاملة مسيئة من جراء الاستخدام المقترح للمصنف اليتيم. وسوف تتمتع جهة الترخيص أيضا بسلطة تقديرية عامة في رفض منح ترخيص بسبب تعارضه مع اعتبارات المصلحة العامة، وهو ما يُمَّكِن من تغطية الحالات التي يُحتمل أن يتضمن فيها الاستخدام المقترح على أمور غير ملاءمة</w:t>
      </w:r>
      <w:r w:rsidR="000C6B35">
        <w:rPr>
          <w:rFonts w:hint="cs"/>
          <w:color w:val="000000"/>
          <w:rtl/>
        </w:rPr>
        <w:t>.</w:t>
      </w:r>
    </w:p>
    <w:p w:rsidR="000C6B35" w:rsidRPr="000C6B35" w:rsidRDefault="000C6B35" w:rsidP="000F244A">
      <w:pPr>
        <w:pStyle w:val="Heading2AR"/>
        <w:rPr>
          <w:rtl/>
          <w:lang w:bidi="ar-EG"/>
        </w:rPr>
      </w:pPr>
      <w:r w:rsidRPr="000C6B35">
        <w:rPr>
          <w:rFonts w:hint="cs"/>
          <w:rtl/>
        </w:rPr>
        <w:lastRenderedPageBreak/>
        <w:t xml:space="preserve">حقوق </w:t>
      </w:r>
      <w:r w:rsidRPr="000C6B35">
        <w:rPr>
          <w:rtl/>
        </w:rPr>
        <w:t xml:space="preserve">صاحب المصنف اليتيم </w:t>
      </w:r>
      <w:r w:rsidRPr="000C6B35">
        <w:rPr>
          <w:rtl/>
          <w:lang w:bidi="ar-EG"/>
        </w:rPr>
        <w:t xml:space="preserve">بعد </w:t>
      </w:r>
      <w:r w:rsidRPr="000C6B35">
        <w:rPr>
          <w:rFonts w:hint="cs"/>
          <w:rtl/>
          <w:lang w:bidi="ar-EG"/>
        </w:rPr>
        <w:t>ظهوره والتعرف عليه</w:t>
      </w:r>
    </w:p>
    <w:p w:rsidR="000C6B35" w:rsidRDefault="000C6B35" w:rsidP="00827937">
      <w:pPr>
        <w:pStyle w:val="NormalParaAR"/>
        <w:rPr>
          <w:color w:val="000000"/>
          <w:rtl/>
        </w:rPr>
      </w:pPr>
      <w:r>
        <w:rPr>
          <w:rFonts w:hint="cs"/>
          <w:color w:val="000000"/>
          <w:rtl/>
          <w:lang w:bidi="ar-EG"/>
        </w:rPr>
        <w:t xml:space="preserve">في حالة </w:t>
      </w:r>
      <w:r w:rsidRPr="006A49FA">
        <w:rPr>
          <w:color w:val="000000"/>
          <w:rtl/>
        </w:rPr>
        <w:t xml:space="preserve">ظهور مالك المصنف اليتيم بعد إصدار ترخيص الاستخدام، سيتوفر لهذا المالك إمكانية المطالبة بتعويض نظير استخدام الحق ذي الصلة. </w:t>
      </w:r>
      <w:r w:rsidR="00FF3494">
        <w:rPr>
          <w:rFonts w:hint="cs"/>
          <w:color w:val="000000"/>
          <w:rtl/>
        </w:rPr>
        <w:t>و</w:t>
      </w:r>
      <w:r w:rsidRPr="006A49FA">
        <w:rPr>
          <w:color w:val="000000"/>
          <w:rtl/>
        </w:rPr>
        <w:t xml:space="preserve">سيحتاج صاحب الحق إلى موافاة جهة الترخيص بما يثبت ملكيته. </w:t>
      </w:r>
      <w:r w:rsidR="00FF3494">
        <w:rPr>
          <w:rFonts w:hint="cs"/>
          <w:color w:val="000000"/>
          <w:rtl/>
        </w:rPr>
        <w:t>و</w:t>
      </w:r>
      <w:r w:rsidRPr="006A49FA">
        <w:rPr>
          <w:color w:val="000000"/>
          <w:rtl/>
        </w:rPr>
        <w:t>من المتوقع أن يُترك هذا إلى الإثبات المدني، بمعنى، تأسيس القرار على توازن الاحتمالات</w:t>
      </w:r>
      <w:r>
        <w:rPr>
          <w:rFonts w:hint="cs"/>
          <w:color w:val="000000"/>
          <w:rtl/>
        </w:rPr>
        <w:t>.</w:t>
      </w:r>
    </w:p>
    <w:p w:rsidR="000C6B35" w:rsidRDefault="00FF3494" w:rsidP="00827937">
      <w:pPr>
        <w:pStyle w:val="NormalParaAR"/>
        <w:rPr>
          <w:color w:val="000000"/>
          <w:rtl/>
        </w:rPr>
      </w:pPr>
      <w:r>
        <w:rPr>
          <w:rFonts w:hint="cs"/>
          <w:color w:val="000000"/>
          <w:rtl/>
        </w:rPr>
        <w:t>و</w:t>
      </w:r>
      <w:r w:rsidR="000C6B35">
        <w:rPr>
          <w:rFonts w:hint="cs"/>
          <w:color w:val="000000"/>
          <w:rtl/>
        </w:rPr>
        <w:t xml:space="preserve">بمجرد </w:t>
      </w:r>
      <w:r w:rsidR="000C6B35" w:rsidRPr="006A49FA">
        <w:rPr>
          <w:color w:val="000000"/>
          <w:rtl/>
        </w:rPr>
        <w:t>التعرف على مالك المصنف، سيتوقف على الفور إدراج المصنف ذي الصلة ضمن المصنفات اليتيمة. ويستمر سريان ترخيص الاستخدام القائم وغير الحصري حتى نهاية مدته المتبقية، مع مراعاة أي فترة إشعار منصوص عليها في الترخيص الأصلي، مع تولي صاحب الحقوق سلطة الترخيص بدلاً من جهة التراخيص. وبطبيعة</w:t>
      </w:r>
      <w:r>
        <w:rPr>
          <w:color w:val="000000"/>
          <w:rtl/>
        </w:rPr>
        <w:t xml:space="preserve"> الحال، سيكون صاحب الحق هو المس</w:t>
      </w:r>
      <w:r>
        <w:rPr>
          <w:rFonts w:hint="cs"/>
          <w:color w:val="000000"/>
          <w:rtl/>
        </w:rPr>
        <w:t>ؤ</w:t>
      </w:r>
      <w:r w:rsidR="000C6B35" w:rsidRPr="006A49FA">
        <w:rPr>
          <w:color w:val="000000"/>
          <w:rtl/>
        </w:rPr>
        <w:t>ول عن الاستخدامات المستقبلية للمصنف</w:t>
      </w:r>
      <w:r w:rsidR="000C6B35">
        <w:rPr>
          <w:rFonts w:hint="cs"/>
          <w:color w:val="000000"/>
          <w:rtl/>
        </w:rPr>
        <w:t>.</w:t>
      </w:r>
    </w:p>
    <w:p w:rsidR="000C6B35" w:rsidRPr="000C6B35" w:rsidRDefault="000C6B35" w:rsidP="000F244A">
      <w:pPr>
        <w:pStyle w:val="Heading2AR"/>
        <w:rPr>
          <w:rtl/>
        </w:rPr>
      </w:pPr>
      <w:r w:rsidRPr="000C6B35">
        <w:rPr>
          <w:rFonts w:hint="cs"/>
          <w:rtl/>
        </w:rPr>
        <w:t>الطعون</w:t>
      </w:r>
    </w:p>
    <w:p w:rsidR="000C6B35" w:rsidRDefault="000C6B35" w:rsidP="00827937">
      <w:pPr>
        <w:pStyle w:val="NormalParaAR"/>
        <w:rPr>
          <w:color w:val="000000"/>
          <w:rtl/>
        </w:rPr>
      </w:pPr>
      <w:r>
        <w:rPr>
          <w:rFonts w:hint="cs"/>
          <w:color w:val="000000"/>
          <w:rtl/>
        </w:rPr>
        <w:t xml:space="preserve">ستخضع </w:t>
      </w:r>
      <w:r w:rsidRPr="006A49FA">
        <w:rPr>
          <w:color w:val="000000"/>
          <w:rtl/>
          <w:lang w:bidi="ar-EG"/>
        </w:rPr>
        <w:t xml:space="preserve">جهة الترخيص في عملها إلى القانون العام، شأنها في ذلك شأن أي هيئة عامة، ولهذا سوف تَخضع إلى المراجعة القضائية، وإلى "قانون حرية المعلومات" وغير ذلك من التشريعات المرتبطة. </w:t>
      </w:r>
      <w:r w:rsidRPr="006A49FA">
        <w:rPr>
          <w:color w:val="000000"/>
          <w:rtl/>
        </w:rPr>
        <w:t>وعلاوة على ذلك، فمن المقترح وضع نظام أو نظامين لسير إجراءات الطعن على قرارات تلك الجهة</w:t>
      </w:r>
      <w:r>
        <w:rPr>
          <w:rFonts w:hint="cs"/>
          <w:color w:val="000000"/>
          <w:rtl/>
        </w:rPr>
        <w:t>.</w:t>
      </w:r>
    </w:p>
    <w:p w:rsidR="000C6B35" w:rsidRDefault="00FF3494" w:rsidP="00D724EA">
      <w:pPr>
        <w:pStyle w:val="NormalParaAR"/>
        <w:rPr>
          <w:color w:val="000000"/>
          <w:rtl/>
        </w:rPr>
      </w:pPr>
      <w:r>
        <w:rPr>
          <w:rFonts w:hint="cs"/>
          <w:color w:val="000000"/>
          <w:rtl/>
        </w:rPr>
        <w:t>و</w:t>
      </w:r>
      <w:r w:rsidR="000C6B35">
        <w:rPr>
          <w:rFonts w:hint="cs"/>
          <w:color w:val="000000"/>
          <w:rtl/>
        </w:rPr>
        <w:t xml:space="preserve">من المرجح </w:t>
      </w:r>
      <w:r w:rsidR="000C6B35" w:rsidRPr="006A49FA">
        <w:rPr>
          <w:color w:val="000000"/>
          <w:rtl/>
          <w:lang w:bidi="ar-EG"/>
        </w:rPr>
        <w:t xml:space="preserve">أن تتمثل أقوى </w:t>
      </w:r>
      <w:r w:rsidR="00D724EA">
        <w:rPr>
          <w:rFonts w:hint="cs"/>
          <w:color w:val="000000"/>
          <w:rtl/>
        </w:rPr>
        <w:t>دعاوى</w:t>
      </w:r>
      <w:r w:rsidR="000C6B35" w:rsidRPr="006A49FA">
        <w:rPr>
          <w:color w:val="000000"/>
          <w:rtl/>
        </w:rPr>
        <w:t xml:space="preserve"> للطعن في تلك الدعوى التي يرفعها صاحب المصنف الذي صدر ترخيص باستخدام عمله</w:t>
      </w:r>
      <w:r w:rsidR="00D724EA">
        <w:rPr>
          <w:rFonts w:hint="cs"/>
          <w:color w:val="000000"/>
          <w:rtl/>
        </w:rPr>
        <w:t xml:space="preserve"> </w:t>
      </w:r>
      <w:r w:rsidR="000C6B35" w:rsidRPr="006A49FA">
        <w:rPr>
          <w:color w:val="000000"/>
          <w:rtl/>
        </w:rPr>
        <w:t xml:space="preserve">بصفته مصنفاً يتيماً </w:t>
      </w:r>
      <w:r w:rsidR="00D724EA">
        <w:rPr>
          <w:rFonts w:hint="cs"/>
          <w:color w:val="000000"/>
          <w:rtl/>
        </w:rPr>
        <w:t>على نحو مخالف للحقيقة و</w:t>
      </w:r>
      <w:r w:rsidR="000C6B35" w:rsidRPr="006A49FA">
        <w:rPr>
          <w:color w:val="000000"/>
          <w:rtl/>
        </w:rPr>
        <w:t xml:space="preserve">يكون من الواضح عدم وجوب منح هذا الترخيص، أو عندما يتم الترخيص نظير أتعاب غير متناسبة مع العمل بشكل واضح. ولذلك، تقترح الحكومة </w:t>
      </w:r>
      <w:r w:rsidR="00D724EA">
        <w:rPr>
          <w:rFonts w:hint="cs"/>
          <w:color w:val="000000"/>
          <w:rtl/>
        </w:rPr>
        <w:t xml:space="preserve">إتاحة الفرصة أمام </w:t>
      </w:r>
      <w:r w:rsidR="000C6B35" w:rsidRPr="006A49FA">
        <w:rPr>
          <w:color w:val="000000"/>
          <w:rtl/>
        </w:rPr>
        <w:t xml:space="preserve">أصحاب الحقوق العائدين إلى الظهور </w:t>
      </w:r>
      <w:r w:rsidR="00D724EA">
        <w:rPr>
          <w:rFonts w:hint="cs"/>
          <w:color w:val="000000"/>
          <w:rtl/>
        </w:rPr>
        <w:t xml:space="preserve">وتمكينهم من الطعن؛ </w:t>
      </w:r>
      <w:r w:rsidR="000C6B35" w:rsidRPr="006A49FA">
        <w:rPr>
          <w:color w:val="000000"/>
          <w:rtl/>
        </w:rPr>
        <w:t>وتشكل الأسباب المحتملة لهذا النوع من الطعن جزءاً من هذه المشاورات</w:t>
      </w:r>
      <w:r w:rsidR="000C6B35">
        <w:rPr>
          <w:rFonts w:hint="cs"/>
          <w:color w:val="000000"/>
          <w:rtl/>
        </w:rPr>
        <w:t>.</w:t>
      </w:r>
    </w:p>
    <w:p w:rsidR="000C6B35" w:rsidRDefault="00777D4B" w:rsidP="00D724EA">
      <w:pPr>
        <w:pStyle w:val="NormalParaAR"/>
        <w:rPr>
          <w:color w:val="000000"/>
          <w:rtl/>
        </w:rPr>
      </w:pPr>
      <w:r>
        <w:rPr>
          <w:rFonts w:hint="cs"/>
          <w:color w:val="000000"/>
          <w:rtl/>
        </w:rPr>
        <w:t>و</w:t>
      </w:r>
      <w:r w:rsidR="000C6B35">
        <w:rPr>
          <w:rFonts w:hint="cs"/>
          <w:color w:val="000000"/>
          <w:rtl/>
        </w:rPr>
        <w:t xml:space="preserve">سيكون </w:t>
      </w:r>
      <w:r w:rsidR="000C6B35" w:rsidRPr="006A49FA">
        <w:rPr>
          <w:color w:val="000000"/>
          <w:rtl/>
        </w:rPr>
        <w:t>المسار المحتمل للطعون هو محكمة الدرجة الأولى (</w:t>
      </w:r>
      <w:proofErr w:type="spellStart"/>
      <w:r w:rsidR="000C6B35" w:rsidRPr="006A49FA">
        <w:rPr>
          <w:color w:val="000000"/>
        </w:rPr>
        <w:t>FtT</w:t>
      </w:r>
      <w:proofErr w:type="spellEnd"/>
      <w:r w:rsidR="000C6B35" w:rsidRPr="006A49FA">
        <w:rPr>
          <w:color w:val="000000"/>
          <w:rtl/>
        </w:rPr>
        <w:t>)؛ وهي جزء من نظام المحاكم في المملكة المتحدة</w:t>
      </w:r>
      <w:r w:rsidR="00D724EA">
        <w:rPr>
          <w:rFonts w:hint="cs"/>
          <w:color w:val="000000"/>
          <w:rtl/>
        </w:rPr>
        <w:t xml:space="preserve">. </w:t>
      </w:r>
      <w:r>
        <w:rPr>
          <w:rFonts w:hint="cs"/>
          <w:color w:val="000000"/>
          <w:rtl/>
        </w:rPr>
        <w:t>و</w:t>
      </w:r>
      <w:r w:rsidR="000C6B35" w:rsidRPr="006A49FA">
        <w:rPr>
          <w:color w:val="000000"/>
          <w:rtl/>
        </w:rPr>
        <w:t xml:space="preserve">أُنشئت </w:t>
      </w:r>
      <w:r w:rsidR="00D724EA">
        <w:rPr>
          <w:rFonts w:hint="cs"/>
          <w:color w:val="000000"/>
          <w:rtl/>
        </w:rPr>
        <w:t>تلك المحاكم في</w:t>
      </w:r>
      <w:r w:rsidR="000C6B35" w:rsidRPr="006A49FA">
        <w:rPr>
          <w:color w:val="000000"/>
          <w:rtl/>
        </w:rPr>
        <w:t xml:space="preserve"> إطار قانون تنظيم الهيئات القضائية للمحاكم وإنفاذ القانون لعام 2007. </w:t>
      </w:r>
      <w:r>
        <w:rPr>
          <w:rFonts w:hint="cs"/>
          <w:color w:val="000000"/>
          <w:rtl/>
        </w:rPr>
        <w:t>و</w:t>
      </w:r>
      <w:r w:rsidR="000C6B35" w:rsidRPr="006A49FA">
        <w:rPr>
          <w:color w:val="000000"/>
          <w:rtl/>
        </w:rPr>
        <w:t xml:space="preserve">تختص محكمة الدرجة الأولى بالنظر في والتعامل مع طائفة واسعة من القضايا التي يمكن أن تشكل </w:t>
      </w:r>
      <w:r w:rsidR="00D724EA">
        <w:rPr>
          <w:rFonts w:hint="cs"/>
          <w:color w:val="000000"/>
          <w:rtl/>
        </w:rPr>
        <w:t xml:space="preserve">الأسباب الجوهرية لإقامة </w:t>
      </w:r>
      <w:r w:rsidR="000C6B35" w:rsidRPr="006A49FA">
        <w:rPr>
          <w:color w:val="000000"/>
          <w:rtl/>
        </w:rPr>
        <w:t xml:space="preserve">الطعون. </w:t>
      </w:r>
      <w:r>
        <w:rPr>
          <w:rFonts w:hint="cs"/>
          <w:color w:val="000000"/>
          <w:rtl/>
        </w:rPr>
        <w:t>و</w:t>
      </w:r>
      <w:r w:rsidR="000C6B35" w:rsidRPr="006A49FA">
        <w:rPr>
          <w:color w:val="000000"/>
          <w:rtl/>
        </w:rPr>
        <w:t xml:space="preserve">من المرجح أن تسلك الطعون في إطار البند 14 من اللائحة إجراءات التقاضي (محكمة الدرجة الأولى) (القواعد التنظيمية العامة) لعام 2009 والتي توفر مرونة للتعامل مع الحالات الفردية. </w:t>
      </w:r>
      <w:r>
        <w:rPr>
          <w:rFonts w:hint="cs"/>
          <w:color w:val="000000"/>
          <w:rtl/>
        </w:rPr>
        <w:t>و</w:t>
      </w:r>
      <w:r w:rsidR="000C6B35" w:rsidRPr="006A49FA">
        <w:rPr>
          <w:color w:val="000000"/>
          <w:rtl/>
        </w:rPr>
        <w:t xml:space="preserve">في حالة إذا ما أسفر الطعن المقدَّم من صاحب الحقوق عن زيادة في المبلغ المدفوع نظير استخدام المصنف اليتيم، فسوف تقع </w:t>
      </w:r>
      <w:r w:rsidR="00D724EA">
        <w:rPr>
          <w:rFonts w:hint="cs"/>
          <w:color w:val="000000"/>
          <w:rtl/>
        </w:rPr>
        <w:t>ال</w:t>
      </w:r>
      <w:r>
        <w:rPr>
          <w:color w:val="000000"/>
          <w:rtl/>
        </w:rPr>
        <w:t>مس</w:t>
      </w:r>
      <w:r>
        <w:rPr>
          <w:rFonts w:hint="cs"/>
          <w:color w:val="000000"/>
          <w:rtl/>
        </w:rPr>
        <w:t>ؤ</w:t>
      </w:r>
      <w:r w:rsidR="000C6B35" w:rsidRPr="006A49FA">
        <w:rPr>
          <w:color w:val="000000"/>
          <w:rtl/>
        </w:rPr>
        <w:t xml:space="preserve">ولية على جهة الترخيص وليس على المرخص له. </w:t>
      </w:r>
      <w:r>
        <w:rPr>
          <w:rFonts w:hint="cs"/>
          <w:color w:val="000000"/>
          <w:rtl/>
        </w:rPr>
        <w:t>و</w:t>
      </w:r>
      <w:r w:rsidR="000C6B35" w:rsidRPr="006A49FA">
        <w:rPr>
          <w:color w:val="000000"/>
          <w:rtl/>
        </w:rPr>
        <w:t xml:space="preserve">يحق لأي طرف من أطراف الدعوى الطعن في الحكم أمام المحكمة العليا بشأن نقاط قانونية واردة في حيثيات قرار "محكمة الدرجة الأولى". </w:t>
      </w:r>
      <w:r>
        <w:rPr>
          <w:rFonts w:hint="cs"/>
          <w:color w:val="000000"/>
          <w:rtl/>
        </w:rPr>
        <w:t>و</w:t>
      </w:r>
      <w:r w:rsidR="000C6B35" w:rsidRPr="006A49FA">
        <w:rPr>
          <w:color w:val="000000"/>
          <w:rtl/>
        </w:rPr>
        <w:t>لن يتسنى ممارسة هذا الحق إلا بعد الحصول على إذن من "محكمة الدرجة الأولى" أو من "المحكمة العليا"</w:t>
      </w:r>
      <w:r w:rsidR="000C6B35">
        <w:rPr>
          <w:rFonts w:hint="cs"/>
          <w:color w:val="000000"/>
          <w:rtl/>
        </w:rPr>
        <w:t>.</w:t>
      </w:r>
    </w:p>
    <w:p w:rsidR="000C6B35" w:rsidRDefault="00777D4B" w:rsidP="00827937">
      <w:pPr>
        <w:pStyle w:val="NormalParaAR"/>
        <w:rPr>
          <w:color w:val="000000"/>
          <w:rtl/>
        </w:rPr>
      </w:pPr>
      <w:r>
        <w:rPr>
          <w:rFonts w:hint="cs"/>
          <w:color w:val="000000"/>
          <w:rtl/>
        </w:rPr>
        <w:t>و</w:t>
      </w:r>
      <w:r w:rsidR="000C6B35">
        <w:rPr>
          <w:rFonts w:hint="cs"/>
          <w:color w:val="000000"/>
          <w:rtl/>
        </w:rPr>
        <w:t xml:space="preserve">هناك </w:t>
      </w:r>
      <w:r w:rsidR="000C6B35" w:rsidRPr="006A49FA">
        <w:rPr>
          <w:color w:val="000000"/>
          <w:rtl/>
        </w:rPr>
        <w:t xml:space="preserve">أيضا إمكانية لمنح مودعي الطلبات الراغبين في الحصول على تراخيص استخدام للمصنفات اليتيمة الحق في الطعن أمام "محكمة حق المؤلف" متى ظهرت الحاجة إلى ذلك فيما يتعلق برسوم الترخيص المحددة من قبل جهة الترخيص. </w:t>
      </w:r>
      <w:r>
        <w:rPr>
          <w:rFonts w:hint="cs"/>
          <w:color w:val="000000"/>
          <w:rtl/>
        </w:rPr>
        <w:t>و</w:t>
      </w:r>
      <w:r w:rsidR="000C6B35" w:rsidRPr="006A49FA">
        <w:rPr>
          <w:color w:val="000000"/>
          <w:rtl/>
        </w:rPr>
        <w:t>يؤكد هذا الأمر</w:t>
      </w:r>
      <w:r w:rsidR="00CF756F">
        <w:rPr>
          <w:rFonts w:hint="cs"/>
          <w:color w:val="000000"/>
          <w:rtl/>
        </w:rPr>
        <w:t xml:space="preserve"> على</w:t>
      </w:r>
      <w:r w:rsidR="000C6B35" w:rsidRPr="006A49FA">
        <w:rPr>
          <w:color w:val="000000"/>
          <w:rtl/>
        </w:rPr>
        <w:t xml:space="preserve"> الحق القائم للمرخص لهم والمرخصين المحتملين لإحالة مثل تلك المنازعات إلى "محكمة حق المؤلف</w:t>
      </w:r>
      <w:r w:rsidR="000C6B35">
        <w:rPr>
          <w:rFonts w:hint="cs"/>
          <w:color w:val="000000"/>
          <w:rtl/>
        </w:rPr>
        <w:t>".</w:t>
      </w:r>
    </w:p>
    <w:p w:rsidR="000C6B35" w:rsidRPr="000C6B35" w:rsidRDefault="000C6B35" w:rsidP="000F244A">
      <w:pPr>
        <w:pStyle w:val="Heading2AR"/>
        <w:rPr>
          <w:rtl/>
        </w:rPr>
      </w:pPr>
      <w:r w:rsidRPr="000C6B35">
        <w:rPr>
          <w:rFonts w:hint="cs"/>
          <w:rtl/>
        </w:rPr>
        <w:t xml:space="preserve">استثناء </w:t>
      </w:r>
      <w:r w:rsidRPr="000C6B35">
        <w:rPr>
          <w:rtl/>
        </w:rPr>
        <w:t>المصنفات اليتيمة في الاتحاد الأوروبي</w:t>
      </w:r>
    </w:p>
    <w:p w:rsidR="000C6B35" w:rsidRDefault="000C6B35" w:rsidP="00777D4B">
      <w:pPr>
        <w:pStyle w:val="NormalParaAR"/>
        <w:rPr>
          <w:color w:val="000000"/>
          <w:rtl/>
        </w:rPr>
      </w:pPr>
      <w:r>
        <w:rPr>
          <w:rFonts w:hint="cs"/>
          <w:color w:val="000000"/>
          <w:rtl/>
        </w:rPr>
        <w:t xml:space="preserve">يتعلق </w:t>
      </w:r>
      <w:r w:rsidRPr="006A49FA">
        <w:rPr>
          <w:color w:val="000000"/>
          <w:rtl/>
        </w:rPr>
        <w:t xml:space="preserve">هذا الجزء من المشاورات بتفاصيل تنفيذ "التوجيه </w:t>
      </w:r>
      <w:r w:rsidR="00777D4B">
        <w:rPr>
          <w:color w:val="000000"/>
        </w:rPr>
        <w:t>2012/28/EU</w:t>
      </w:r>
      <w:r w:rsidRPr="006A49FA">
        <w:rPr>
          <w:color w:val="000000"/>
          <w:rtl/>
        </w:rPr>
        <w:t xml:space="preserve">" بشأن بعض استخدامات المصنفات اليتيمة المسموح بها. </w:t>
      </w:r>
      <w:r w:rsidR="00777D4B">
        <w:rPr>
          <w:rFonts w:hint="cs"/>
          <w:color w:val="000000"/>
          <w:rtl/>
        </w:rPr>
        <w:t>و</w:t>
      </w:r>
      <w:r w:rsidRPr="006A49FA">
        <w:rPr>
          <w:color w:val="000000"/>
          <w:rtl/>
        </w:rPr>
        <w:t xml:space="preserve">دخل "التوجيه" حيز </w:t>
      </w:r>
      <w:r w:rsidR="00CF756F">
        <w:rPr>
          <w:rFonts w:hint="cs"/>
          <w:color w:val="000000"/>
          <w:rtl/>
        </w:rPr>
        <w:t>التنفيذ</w:t>
      </w:r>
      <w:r w:rsidRPr="006A49FA">
        <w:rPr>
          <w:color w:val="000000"/>
          <w:rtl/>
        </w:rPr>
        <w:t xml:space="preserve"> في 25 أكتوبر 2012، ويتعين على الدول الأعضاء تنفيذ أحكامه قبل 29 أكتوبر</w:t>
      </w:r>
      <w:r w:rsidR="00777D4B">
        <w:rPr>
          <w:rFonts w:hint="cs"/>
          <w:color w:val="000000"/>
          <w:rtl/>
        </w:rPr>
        <w:t> </w:t>
      </w:r>
      <w:r w:rsidRPr="006A49FA">
        <w:rPr>
          <w:color w:val="000000"/>
          <w:rtl/>
        </w:rPr>
        <w:t xml:space="preserve">2014. </w:t>
      </w:r>
      <w:r w:rsidR="00777D4B">
        <w:rPr>
          <w:rFonts w:hint="cs"/>
          <w:color w:val="000000"/>
          <w:rtl/>
        </w:rPr>
        <w:t>و</w:t>
      </w:r>
      <w:r w:rsidRPr="006A49FA">
        <w:rPr>
          <w:color w:val="000000"/>
          <w:rtl/>
        </w:rPr>
        <w:t>يسمح هذا "التوجيه" للمنظمات الثقافية والمهتمة بالمواد التراثية والتي تتمتع بمصداقية قانونية باستنساخ المصنفات استنساخاً رقمياً والاحتفاظ بها ضمن مجموعاتها وإتاحتها إ</w:t>
      </w:r>
      <w:r w:rsidR="00777D4B">
        <w:rPr>
          <w:color w:val="000000"/>
          <w:rtl/>
        </w:rPr>
        <w:t>لى الجمهور (خلال شبكة الإنترنت/</w:t>
      </w:r>
      <w:r w:rsidRPr="006A49FA">
        <w:rPr>
          <w:color w:val="000000"/>
          <w:rtl/>
        </w:rPr>
        <w:t xml:space="preserve">عند الطلب) بعد تنفيذ </w:t>
      </w:r>
      <w:r w:rsidRPr="006A49FA">
        <w:rPr>
          <w:color w:val="000000"/>
          <w:rtl/>
        </w:rPr>
        <w:lastRenderedPageBreak/>
        <w:t xml:space="preserve">بحث دقيق، وذلك بغرض الاستخدام غير التجاري. </w:t>
      </w:r>
      <w:r w:rsidR="00777D4B">
        <w:rPr>
          <w:rFonts w:hint="cs"/>
          <w:color w:val="000000"/>
          <w:rtl/>
        </w:rPr>
        <w:t>و</w:t>
      </w:r>
      <w:r w:rsidRPr="006A49FA">
        <w:rPr>
          <w:color w:val="000000"/>
          <w:rtl/>
        </w:rPr>
        <w:t xml:space="preserve">تخضع استخدامات المصنفات اليتيمة المعاد استنساخها وإتاحتها للجمهور العام إلى المواد 2 و3 من "التوجية </w:t>
      </w:r>
      <w:r w:rsidR="00777D4B">
        <w:rPr>
          <w:color w:val="000000"/>
        </w:rPr>
        <w:t>2001/29/EC</w:t>
      </w:r>
      <w:r w:rsidRPr="006A49FA">
        <w:rPr>
          <w:color w:val="000000"/>
          <w:rtl/>
        </w:rPr>
        <w:t>" بشأن تنسيق بعض الجوانب الخاصة بحق المؤلف والحقوق المجاورة في مجتمع المعلومات</w:t>
      </w:r>
      <w:r>
        <w:rPr>
          <w:rFonts w:hint="cs"/>
          <w:color w:val="000000"/>
          <w:rtl/>
        </w:rPr>
        <w:t>.</w:t>
      </w:r>
    </w:p>
    <w:p w:rsidR="000C6B35" w:rsidRDefault="00777D4B" w:rsidP="00777D4B">
      <w:pPr>
        <w:pStyle w:val="NormalParaAR"/>
        <w:rPr>
          <w:color w:val="000000"/>
          <w:rtl/>
        </w:rPr>
      </w:pPr>
      <w:r>
        <w:rPr>
          <w:rFonts w:hint="cs"/>
          <w:color w:val="000000"/>
          <w:rtl/>
        </w:rPr>
        <w:t>و</w:t>
      </w:r>
      <w:r w:rsidR="00E45B4E">
        <w:rPr>
          <w:rFonts w:hint="cs"/>
          <w:color w:val="000000"/>
          <w:rtl/>
        </w:rPr>
        <w:t xml:space="preserve">تقتصر </w:t>
      </w:r>
      <w:r w:rsidR="00E45B4E" w:rsidRPr="006A49FA">
        <w:rPr>
          <w:color w:val="000000"/>
          <w:rtl/>
        </w:rPr>
        <w:t>أنواع المصنفات اليتيمة على الكتب والدوريات والصحف والمجلات أو المطبوعات الأخرى، والمصنفات السينمائية أو</w:t>
      </w:r>
      <w:r>
        <w:rPr>
          <w:rFonts w:hint="cs"/>
          <w:color w:val="000000"/>
          <w:rtl/>
        </w:rPr>
        <w:t> </w:t>
      </w:r>
      <w:r w:rsidR="00E45B4E" w:rsidRPr="006A49FA">
        <w:rPr>
          <w:color w:val="000000"/>
          <w:rtl/>
        </w:rPr>
        <w:t xml:space="preserve">السمعية البصرية والتسجيلات الصوتية الأخرى. </w:t>
      </w:r>
      <w:r>
        <w:rPr>
          <w:rFonts w:hint="cs"/>
          <w:color w:val="000000"/>
          <w:rtl/>
        </w:rPr>
        <w:t>و</w:t>
      </w:r>
      <w:r w:rsidR="00E45B4E" w:rsidRPr="006A49FA">
        <w:rPr>
          <w:color w:val="000000"/>
          <w:rtl/>
        </w:rPr>
        <w:t>لا يدخل ضمن</w:t>
      </w:r>
      <w:r w:rsidR="00CF756F">
        <w:rPr>
          <w:rFonts w:hint="cs"/>
          <w:color w:val="000000"/>
          <w:rtl/>
        </w:rPr>
        <w:t xml:space="preserve"> هذا</w:t>
      </w:r>
      <w:r w:rsidR="00E45B4E" w:rsidRPr="006A49FA">
        <w:rPr>
          <w:color w:val="000000"/>
          <w:rtl/>
        </w:rPr>
        <w:t xml:space="preserve"> النطاق استخدام المصنفات الفنية مثل الصور الفوتوغرافية المنفردة أو الرسوم التوضيحية أو اللوحات، ولكن يُسمح بالأعمال الفنية الم</w:t>
      </w:r>
      <w:r w:rsidR="00CF756F">
        <w:rPr>
          <w:rFonts w:hint="cs"/>
          <w:color w:val="000000"/>
          <w:rtl/>
        </w:rPr>
        <w:t>ُ</w:t>
      </w:r>
      <w:r w:rsidR="00E45B4E" w:rsidRPr="006A49FA">
        <w:rPr>
          <w:color w:val="000000"/>
          <w:rtl/>
        </w:rPr>
        <w:t>ت</w:t>
      </w:r>
      <w:r w:rsidR="00CF756F">
        <w:rPr>
          <w:rFonts w:hint="cs"/>
          <w:color w:val="000000"/>
          <w:rtl/>
        </w:rPr>
        <w:t>َ</w:t>
      </w:r>
      <w:r w:rsidR="00E45B4E" w:rsidRPr="006A49FA">
        <w:rPr>
          <w:color w:val="000000"/>
          <w:rtl/>
        </w:rPr>
        <w:t>ض</w:t>
      </w:r>
      <w:r w:rsidR="00CF756F">
        <w:rPr>
          <w:rFonts w:hint="cs"/>
          <w:color w:val="000000"/>
          <w:rtl/>
        </w:rPr>
        <w:t>َ</w:t>
      </w:r>
      <w:r w:rsidR="00E45B4E" w:rsidRPr="006A49FA">
        <w:rPr>
          <w:color w:val="000000"/>
          <w:rtl/>
        </w:rPr>
        <w:t>م</w:t>
      </w:r>
      <w:r w:rsidR="00CF756F">
        <w:rPr>
          <w:rFonts w:hint="cs"/>
          <w:color w:val="000000"/>
          <w:rtl/>
        </w:rPr>
        <w:t>ّ</w:t>
      </w:r>
      <w:r w:rsidR="00E45B4E" w:rsidRPr="006A49FA">
        <w:rPr>
          <w:color w:val="000000"/>
          <w:rtl/>
        </w:rPr>
        <w:t xml:space="preserve">نة كعناصر جزئية في مصنفات أخرى. </w:t>
      </w:r>
      <w:r>
        <w:rPr>
          <w:rFonts w:hint="cs"/>
          <w:color w:val="000000"/>
          <w:rtl/>
        </w:rPr>
        <w:t>و</w:t>
      </w:r>
      <w:r w:rsidR="00E45B4E" w:rsidRPr="006A49FA">
        <w:rPr>
          <w:color w:val="000000"/>
          <w:rtl/>
        </w:rPr>
        <w:t>تقتصر الهيئات المعنية التي يُسمح لها باستخدام المصنفات اليتيمة على المنظمات الثقافية والتراثية المتاحة للجمهور والتي تستهدف المصلحة العام</w:t>
      </w:r>
      <w:r>
        <w:rPr>
          <w:rFonts w:hint="cs"/>
          <w:color w:val="000000"/>
          <w:rtl/>
        </w:rPr>
        <w:t>ة</w:t>
      </w:r>
      <w:r w:rsidR="00E45B4E" w:rsidRPr="006A49FA">
        <w:rPr>
          <w:color w:val="000000"/>
          <w:rtl/>
        </w:rPr>
        <w:t>، مثل</w:t>
      </w:r>
      <w:r w:rsidR="00E45B4E">
        <w:rPr>
          <w:rFonts w:hint="cs"/>
          <w:color w:val="000000"/>
          <w:rtl/>
        </w:rPr>
        <w:t>:</w:t>
      </w:r>
    </w:p>
    <w:p w:rsidR="00E45B4E" w:rsidRDefault="00E45B4E" w:rsidP="000F244A">
      <w:pPr>
        <w:pStyle w:val="NormalParaAR"/>
        <w:numPr>
          <w:ilvl w:val="0"/>
          <w:numId w:val="25"/>
        </w:numPr>
        <w:spacing w:after="120"/>
        <w:ind w:left="714" w:hanging="357"/>
        <w:rPr>
          <w:color w:val="000000"/>
          <w:rtl/>
        </w:rPr>
      </w:pPr>
      <w:r>
        <w:rPr>
          <w:rFonts w:hint="cs"/>
          <w:color w:val="000000"/>
          <w:rtl/>
        </w:rPr>
        <w:t>المكتبات؛</w:t>
      </w:r>
    </w:p>
    <w:p w:rsidR="00E45B4E" w:rsidRDefault="00777D4B" w:rsidP="000F244A">
      <w:pPr>
        <w:pStyle w:val="NormalParaAR"/>
        <w:numPr>
          <w:ilvl w:val="0"/>
          <w:numId w:val="25"/>
        </w:numPr>
        <w:spacing w:after="120"/>
        <w:ind w:left="714" w:hanging="357"/>
        <w:rPr>
          <w:color w:val="000000"/>
          <w:rtl/>
        </w:rPr>
      </w:pPr>
      <w:r>
        <w:rPr>
          <w:rFonts w:hint="cs"/>
          <w:color w:val="000000"/>
          <w:rtl/>
        </w:rPr>
        <w:t>و</w:t>
      </w:r>
      <w:r w:rsidR="00E45B4E">
        <w:rPr>
          <w:rFonts w:hint="cs"/>
          <w:color w:val="000000"/>
          <w:rtl/>
        </w:rPr>
        <w:t>المؤسسات التعليمية؛</w:t>
      </w:r>
    </w:p>
    <w:p w:rsidR="00E45B4E" w:rsidRDefault="00777D4B" w:rsidP="000F244A">
      <w:pPr>
        <w:pStyle w:val="NormalParaAR"/>
        <w:numPr>
          <w:ilvl w:val="0"/>
          <w:numId w:val="25"/>
        </w:numPr>
        <w:spacing w:after="120"/>
        <w:ind w:left="714" w:hanging="357"/>
        <w:rPr>
          <w:color w:val="000000"/>
          <w:rtl/>
        </w:rPr>
      </w:pPr>
      <w:r>
        <w:rPr>
          <w:rFonts w:hint="cs"/>
          <w:color w:val="000000"/>
          <w:rtl/>
        </w:rPr>
        <w:t>و</w:t>
      </w:r>
      <w:r w:rsidR="00E45B4E">
        <w:rPr>
          <w:rFonts w:hint="cs"/>
          <w:color w:val="000000"/>
          <w:rtl/>
        </w:rPr>
        <w:t>المتاحف؛</w:t>
      </w:r>
    </w:p>
    <w:p w:rsidR="00E45B4E" w:rsidRDefault="00777D4B" w:rsidP="000F244A">
      <w:pPr>
        <w:pStyle w:val="NormalParaAR"/>
        <w:numPr>
          <w:ilvl w:val="0"/>
          <w:numId w:val="25"/>
        </w:numPr>
        <w:spacing w:after="120"/>
        <w:ind w:left="714" w:hanging="357"/>
        <w:rPr>
          <w:color w:val="000000"/>
          <w:rtl/>
        </w:rPr>
      </w:pPr>
      <w:r>
        <w:rPr>
          <w:rFonts w:hint="cs"/>
          <w:color w:val="000000"/>
          <w:rtl/>
        </w:rPr>
        <w:t>و</w:t>
      </w:r>
      <w:r w:rsidR="00E45B4E">
        <w:rPr>
          <w:rFonts w:hint="cs"/>
          <w:color w:val="000000"/>
          <w:rtl/>
        </w:rPr>
        <w:t>دور المحفوظات؛</w:t>
      </w:r>
    </w:p>
    <w:p w:rsidR="00E45B4E" w:rsidRDefault="00777D4B" w:rsidP="000F244A">
      <w:pPr>
        <w:pStyle w:val="NormalParaAR"/>
        <w:numPr>
          <w:ilvl w:val="0"/>
          <w:numId w:val="25"/>
        </w:numPr>
        <w:spacing w:after="120"/>
        <w:ind w:left="714" w:hanging="357"/>
        <w:rPr>
          <w:color w:val="000000"/>
          <w:rtl/>
        </w:rPr>
      </w:pPr>
      <w:r>
        <w:rPr>
          <w:rFonts w:hint="cs"/>
          <w:color w:val="000000"/>
          <w:rtl/>
        </w:rPr>
        <w:t>و</w:t>
      </w:r>
      <w:r w:rsidR="00E45B4E">
        <w:rPr>
          <w:rFonts w:hint="cs"/>
          <w:color w:val="000000"/>
          <w:rtl/>
        </w:rPr>
        <w:t xml:space="preserve">منظمات </w:t>
      </w:r>
      <w:r w:rsidR="00E45B4E" w:rsidRPr="006A49FA">
        <w:rPr>
          <w:color w:val="000000"/>
          <w:rtl/>
        </w:rPr>
        <w:t>الأفلام أو الوسائط السمعية التراثية</w:t>
      </w:r>
      <w:r w:rsidR="00E02563">
        <w:rPr>
          <w:rFonts w:hint="cs"/>
          <w:color w:val="000000"/>
          <w:rtl/>
        </w:rPr>
        <w:t xml:space="preserve">؛ </w:t>
      </w:r>
    </w:p>
    <w:p w:rsidR="00E45B4E" w:rsidRDefault="00E02563" w:rsidP="00FF510F">
      <w:pPr>
        <w:pStyle w:val="NormalParaAR"/>
        <w:numPr>
          <w:ilvl w:val="0"/>
          <w:numId w:val="25"/>
        </w:numPr>
        <w:rPr>
          <w:color w:val="000000"/>
          <w:rtl/>
        </w:rPr>
      </w:pPr>
      <w:r>
        <w:rPr>
          <w:rFonts w:hint="cs"/>
          <w:color w:val="000000"/>
          <w:rtl/>
        </w:rPr>
        <w:t>و</w:t>
      </w:r>
      <w:r w:rsidR="00E45B4E">
        <w:rPr>
          <w:rFonts w:hint="cs"/>
          <w:color w:val="000000"/>
          <w:rtl/>
        </w:rPr>
        <w:t xml:space="preserve">هيئات </w:t>
      </w:r>
      <w:r w:rsidR="00E45B4E" w:rsidRPr="006A49FA">
        <w:rPr>
          <w:color w:val="000000"/>
          <w:rtl/>
        </w:rPr>
        <w:t>الإذاعة المعنية بالخدمة العامة</w:t>
      </w:r>
      <w:r w:rsidR="00E45B4E">
        <w:rPr>
          <w:rFonts w:hint="cs"/>
          <w:color w:val="000000"/>
          <w:rtl/>
        </w:rPr>
        <w:t>.</w:t>
      </w:r>
    </w:p>
    <w:p w:rsidR="00E45B4E" w:rsidRDefault="00E02563" w:rsidP="00E02563">
      <w:pPr>
        <w:pStyle w:val="NormalParaAR"/>
        <w:rPr>
          <w:color w:val="000000"/>
          <w:rtl/>
        </w:rPr>
      </w:pPr>
      <w:r>
        <w:rPr>
          <w:rFonts w:hint="cs"/>
          <w:color w:val="000000"/>
          <w:rtl/>
        </w:rPr>
        <w:t>و</w:t>
      </w:r>
      <w:r w:rsidR="00E45B4E">
        <w:rPr>
          <w:rFonts w:hint="cs"/>
          <w:color w:val="000000"/>
          <w:rtl/>
        </w:rPr>
        <w:t xml:space="preserve">يتعين على </w:t>
      </w:r>
      <w:r w:rsidR="00E45B4E" w:rsidRPr="006A49FA">
        <w:rPr>
          <w:color w:val="000000"/>
          <w:rtl/>
        </w:rPr>
        <w:t xml:space="preserve">الكيانات المعنية البحث عن أصحاب الحقوق في المصادر المناسبة المنصوص عليها في "التوجيه"، كحد أدنى، بغية العثور على </w:t>
      </w:r>
      <w:r w:rsidR="00E45B4E" w:rsidRPr="003C6D04">
        <w:rPr>
          <w:color w:val="000000"/>
          <w:rtl/>
        </w:rPr>
        <w:t>أصحاب الحقوق</w:t>
      </w:r>
      <w:r w:rsidR="00EA71B4" w:rsidRPr="003C6D04">
        <w:rPr>
          <w:rFonts w:hint="cs"/>
          <w:color w:val="000000"/>
          <w:rtl/>
        </w:rPr>
        <w:t>، بما يشمل كل ما ورد ذكره في مرفق التوجيه</w:t>
      </w:r>
      <w:r w:rsidR="00E45B4E" w:rsidRPr="003C6D04">
        <w:rPr>
          <w:color w:val="000000"/>
          <w:rtl/>
        </w:rPr>
        <w:t xml:space="preserve">. </w:t>
      </w:r>
      <w:r w:rsidRPr="003C6D04">
        <w:rPr>
          <w:rFonts w:hint="cs"/>
          <w:color w:val="000000"/>
          <w:rtl/>
        </w:rPr>
        <w:t>و</w:t>
      </w:r>
      <w:r w:rsidR="00E45B4E" w:rsidRPr="003C6D04">
        <w:rPr>
          <w:color w:val="000000"/>
          <w:rtl/>
        </w:rPr>
        <w:t>ينص</w:t>
      </w:r>
      <w:r w:rsidR="00E45B4E" w:rsidRPr="006A49FA">
        <w:rPr>
          <w:color w:val="000000"/>
          <w:rtl/>
        </w:rPr>
        <w:t xml:space="preserve"> "التوجيه" على ضرورة تنفيذ البحث الدقيق الجاد في الدولة العضو التي شهدت أول نشر أو بث للمصنف ذي الصلة</w:t>
      </w:r>
      <w:r w:rsidR="009F3DDA">
        <w:rPr>
          <w:rFonts w:hint="cs"/>
          <w:color w:val="000000"/>
          <w:rtl/>
        </w:rPr>
        <w:t>، والذي يشمل تلك المنصوص عليها في "مرفق التوجيه"</w:t>
      </w:r>
      <w:r w:rsidR="00E45B4E" w:rsidRPr="006A49FA">
        <w:rPr>
          <w:color w:val="000000"/>
          <w:rtl/>
        </w:rPr>
        <w:t xml:space="preserve">. </w:t>
      </w:r>
      <w:r>
        <w:rPr>
          <w:rFonts w:hint="cs"/>
          <w:color w:val="000000"/>
          <w:rtl/>
        </w:rPr>
        <w:t>و</w:t>
      </w:r>
      <w:r w:rsidR="00E45B4E" w:rsidRPr="006A49FA">
        <w:rPr>
          <w:color w:val="000000"/>
          <w:rtl/>
        </w:rPr>
        <w:t xml:space="preserve">في حالة توفر دليل يشير إلى توفر معلومات ذات صلة بشأن أصحاب الحقوق في بلدان أخرى، يتعين الرجوع إلى مصادر تلك المعلومات أيضا. </w:t>
      </w:r>
      <w:r>
        <w:rPr>
          <w:rFonts w:hint="cs"/>
          <w:color w:val="000000"/>
          <w:rtl/>
        </w:rPr>
        <w:t>و</w:t>
      </w:r>
      <w:r w:rsidR="00E45B4E" w:rsidRPr="006A49FA">
        <w:rPr>
          <w:color w:val="000000"/>
          <w:rtl/>
        </w:rPr>
        <w:t xml:space="preserve">يُسمح للدول الأعضاء بإضافة مصادر مناسبة، ولكن لا يسمح لها بحذف أي مصدر. </w:t>
      </w:r>
      <w:r>
        <w:rPr>
          <w:rFonts w:hint="cs"/>
          <w:color w:val="000000"/>
          <w:rtl/>
        </w:rPr>
        <w:t>و</w:t>
      </w:r>
      <w:r>
        <w:rPr>
          <w:color w:val="000000"/>
          <w:rtl/>
        </w:rPr>
        <w:t>تقع مس</w:t>
      </w:r>
      <w:r>
        <w:rPr>
          <w:rFonts w:hint="cs"/>
          <w:color w:val="000000"/>
          <w:rtl/>
        </w:rPr>
        <w:t>ؤ</w:t>
      </w:r>
      <w:r w:rsidR="00E45B4E" w:rsidRPr="006A49FA">
        <w:rPr>
          <w:color w:val="000000"/>
          <w:rtl/>
        </w:rPr>
        <w:t xml:space="preserve">ولية جدية البحث ودقته على الهيئة المعنية المستفيدة من تلك المصنفات. </w:t>
      </w:r>
      <w:r>
        <w:rPr>
          <w:rFonts w:hint="cs"/>
          <w:color w:val="000000"/>
          <w:rtl/>
        </w:rPr>
        <w:t>و</w:t>
      </w:r>
      <w:r w:rsidR="00E45B4E" w:rsidRPr="006A49FA">
        <w:rPr>
          <w:color w:val="000000"/>
          <w:rtl/>
        </w:rPr>
        <w:t xml:space="preserve">في حالة ظهور أصحاب حقوق بعد الانتهاء من البحث الجاد والدقيق، يحق لهم الحصول على تعويض عادل نظير استخدام أعمالهم التي </w:t>
      </w:r>
      <w:r w:rsidR="00CF756F">
        <w:rPr>
          <w:rFonts w:hint="cs"/>
          <w:color w:val="000000"/>
          <w:rtl/>
        </w:rPr>
        <w:t>صُرِّح</w:t>
      </w:r>
      <w:r>
        <w:rPr>
          <w:rFonts w:hint="cs"/>
          <w:color w:val="000000"/>
          <w:rtl/>
        </w:rPr>
        <w:t> </w:t>
      </w:r>
      <w:r w:rsidR="00E45B4E" w:rsidRPr="006A49FA">
        <w:rPr>
          <w:color w:val="000000"/>
          <w:rtl/>
        </w:rPr>
        <w:t>باستخدامها</w:t>
      </w:r>
      <w:r w:rsidR="00E45B4E">
        <w:rPr>
          <w:rFonts w:hint="cs"/>
          <w:color w:val="000000"/>
          <w:rtl/>
        </w:rPr>
        <w:t>.</w:t>
      </w:r>
    </w:p>
    <w:p w:rsidR="00E45B4E" w:rsidRDefault="00E02563" w:rsidP="00E45B4E">
      <w:pPr>
        <w:pStyle w:val="NormalParaAR"/>
        <w:rPr>
          <w:color w:val="000000"/>
          <w:rtl/>
        </w:rPr>
      </w:pPr>
      <w:r>
        <w:rPr>
          <w:rFonts w:hint="cs"/>
          <w:color w:val="000000"/>
          <w:rtl/>
        </w:rPr>
        <w:t>و</w:t>
      </w:r>
      <w:r w:rsidR="00E45B4E">
        <w:rPr>
          <w:rFonts w:hint="cs"/>
          <w:color w:val="000000"/>
          <w:rtl/>
        </w:rPr>
        <w:t xml:space="preserve">في أعقاب تنفيذ </w:t>
      </w:r>
      <w:r w:rsidR="00E45B4E" w:rsidRPr="006A49FA">
        <w:rPr>
          <w:color w:val="000000"/>
          <w:rtl/>
          <w:lang w:bidi="ar-EG"/>
        </w:rPr>
        <w:t>البحث الجاد، تلتزم الجهات المعنية بتسليم المعلومات التالية إلى الجهة المعنية في المملكة المتحدة</w:t>
      </w:r>
      <w:r w:rsidR="00E45B4E">
        <w:rPr>
          <w:rFonts w:hint="cs"/>
          <w:color w:val="000000"/>
          <w:rtl/>
        </w:rPr>
        <w:t>:</w:t>
      </w:r>
    </w:p>
    <w:p w:rsidR="00E45B4E" w:rsidRDefault="00E45B4E" w:rsidP="000F244A">
      <w:pPr>
        <w:pStyle w:val="NormalParaAR"/>
        <w:numPr>
          <w:ilvl w:val="0"/>
          <w:numId w:val="24"/>
        </w:numPr>
        <w:spacing w:after="120"/>
        <w:ind w:left="714" w:hanging="357"/>
        <w:rPr>
          <w:color w:val="000000"/>
          <w:rtl/>
        </w:rPr>
      </w:pPr>
      <w:r>
        <w:rPr>
          <w:rFonts w:hint="cs"/>
          <w:color w:val="000000"/>
          <w:rtl/>
        </w:rPr>
        <w:t xml:space="preserve">بيانات السلطة </w:t>
      </w:r>
      <w:r w:rsidRPr="006A49FA">
        <w:rPr>
          <w:color w:val="000000"/>
          <w:rtl/>
        </w:rPr>
        <w:t>الوطنية المختصة</w:t>
      </w:r>
      <w:r>
        <w:rPr>
          <w:rFonts w:hint="cs"/>
          <w:color w:val="000000"/>
          <w:rtl/>
        </w:rPr>
        <w:t>؛</w:t>
      </w:r>
    </w:p>
    <w:p w:rsidR="00E45B4E" w:rsidRDefault="00E02563" w:rsidP="000F244A">
      <w:pPr>
        <w:pStyle w:val="NormalParaAR"/>
        <w:numPr>
          <w:ilvl w:val="0"/>
          <w:numId w:val="24"/>
        </w:numPr>
        <w:spacing w:after="120"/>
        <w:ind w:left="714" w:hanging="357"/>
        <w:rPr>
          <w:color w:val="000000"/>
          <w:rtl/>
        </w:rPr>
      </w:pPr>
      <w:r>
        <w:rPr>
          <w:rFonts w:hint="cs"/>
          <w:color w:val="000000"/>
          <w:rtl/>
        </w:rPr>
        <w:t>و</w:t>
      </w:r>
      <w:r w:rsidR="00E45B4E">
        <w:rPr>
          <w:rFonts w:hint="cs"/>
          <w:color w:val="000000"/>
          <w:rtl/>
        </w:rPr>
        <w:t>نتائج البحث؛</w:t>
      </w:r>
    </w:p>
    <w:p w:rsidR="00E45B4E" w:rsidRDefault="00E02563" w:rsidP="000F244A">
      <w:pPr>
        <w:pStyle w:val="NormalParaAR"/>
        <w:numPr>
          <w:ilvl w:val="0"/>
          <w:numId w:val="24"/>
        </w:numPr>
        <w:spacing w:after="120"/>
        <w:ind w:left="714" w:hanging="357"/>
        <w:rPr>
          <w:color w:val="000000"/>
          <w:rtl/>
        </w:rPr>
      </w:pPr>
      <w:r>
        <w:rPr>
          <w:rFonts w:hint="cs"/>
          <w:color w:val="000000"/>
          <w:rtl/>
        </w:rPr>
        <w:t>و</w:t>
      </w:r>
      <w:r w:rsidR="00E45B4E">
        <w:rPr>
          <w:rFonts w:hint="cs"/>
          <w:color w:val="000000"/>
          <w:rtl/>
        </w:rPr>
        <w:t xml:space="preserve">الاستخدام </w:t>
      </w:r>
      <w:r w:rsidR="00E45B4E" w:rsidRPr="006A49FA">
        <w:rPr>
          <w:color w:val="000000"/>
          <w:rtl/>
        </w:rPr>
        <w:t>الذي سوف تقوم به المنظمة للمصنف</w:t>
      </w:r>
      <w:r w:rsidR="00E45B4E">
        <w:rPr>
          <w:rFonts w:hint="cs"/>
          <w:color w:val="000000"/>
          <w:rtl/>
        </w:rPr>
        <w:t>؛</w:t>
      </w:r>
    </w:p>
    <w:p w:rsidR="00E45B4E" w:rsidRDefault="00E02563" w:rsidP="000F244A">
      <w:pPr>
        <w:pStyle w:val="NormalParaAR"/>
        <w:numPr>
          <w:ilvl w:val="0"/>
          <w:numId w:val="24"/>
        </w:numPr>
        <w:spacing w:after="120"/>
        <w:ind w:left="714" w:hanging="357"/>
        <w:rPr>
          <w:color w:val="000000"/>
          <w:rtl/>
        </w:rPr>
      </w:pPr>
      <w:r>
        <w:rPr>
          <w:rFonts w:hint="cs"/>
          <w:color w:val="000000"/>
          <w:rtl/>
        </w:rPr>
        <w:t>و</w:t>
      </w:r>
      <w:r w:rsidR="00E45B4E">
        <w:rPr>
          <w:rFonts w:hint="cs"/>
          <w:color w:val="000000"/>
          <w:rtl/>
        </w:rPr>
        <w:t xml:space="preserve">أي </w:t>
      </w:r>
      <w:r w:rsidR="00E45B4E" w:rsidRPr="006A49FA">
        <w:rPr>
          <w:color w:val="000000"/>
          <w:rtl/>
        </w:rPr>
        <w:t>تغيير في حالة المصنف</w:t>
      </w:r>
      <w:r>
        <w:rPr>
          <w:rFonts w:hint="cs"/>
          <w:color w:val="000000"/>
          <w:rtl/>
        </w:rPr>
        <w:t>؛</w:t>
      </w:r>
    </w:p>
    <w:p w:rsidR="00E45B4E" w:rsidRDefault="00E02563" w:rsidP="00E45B4E">
      <w:pPr>
        <w:pStyle w:val="NormalParaAR"/>
        <w:numPr>
          <w:ilvl w:val="0"/>
          <w:numId w:val="24"/>
        </w:numPr>
        <w:rPr>
          <w:color w:val="000000"/>
          <w:rtl/>
        </w:rPr>
      </w:pPr>
      <w:r>
        <w:rPr>
          <w:rFonts w:hint="cs"/>
          <w:color w:val="000000"/>
          <w:rtl/>
        </w:rPr>
        <w:t>و</w:t>
      </w:r>
      <w:r w:rsidR="00E45B4E">
        <w:rPr>
          <w:rFonts w:hint="cs"/>
          <w:color w:val="000000"/>
          <w:rtl/>
        </w:rPr>
        <w:t xml:space="preserve">بيانات </w:t>
      </w:r>
      <w:r w:rsidR="00E45B4E" w:rsidRPr="006A49FA">
        <w:rPr>
          <w:color w:val="000000"/>
          <w:rtl/>
        </w:rPr>
        <w:t>الاتصال ذات الصلة</w:t>
      </w:r>
      <w:r w:rsidR="00E45B4E">
        <w:rPr>
          <w:rFonts w:hint="cs"/>
          <w:color w:val="000000"/>
          <w:rtl/>
        </w:rPr>
        <w:t>.</w:t>
      </w:r>
    </w:p>
    <w:p w:rsidR="00E45B4E" w:rsidRDefault="00E02563" w:rsidP="00CF756F">
      <w:pPr>
        <w:pStyle w:val="NormalParaAR"/>
        <w:rPr>
          <w:color w:val="000000"/>
          <w:rtl/>
        </w:rPr>
      </w:pPr>
      <w:r>
        <w:rPr>
          <w:rFonts w:hint="cs"/>
          <w:color w:val="000000"/>
          <w:rtl/>
        </w:rPr>
        <w:t>و</w:t>
      </w:r>
      <w:r w:rsidR="00E45B4E">
        <w:rPr>
          <w:rFonts w:hint="cs"/>
          <w:color w:val="000000"/>
          <w:rtl/>
        </w:rPr>
        <w:t xml:space="preserve">سوف </w:t>
      </w:r>
      <w:r w:rsidR="00E45B4E" w:rsidRPr="006A49FA">
        <w:rPr>
          <w:color w:val="000000"/>
          <w:rtl/>
        </w:rPr>
        <w:t>تحيل السلطة الوطنية المختصة في المملكة المتحدة هذه المعلومات إلى مكتب مواءمة السوق الداخلية (</w:t>
      </w:r>
      <w:r w:rsidR="00E45B4E" w:rsidRPr="006A49FA">
        <w:rPr>
          <w:color w:val="000000"/>
        </w:rPr>
        <w:t>OHIM</w:t>
      </w:r>
      <w:r w:rsidR="00E45B4E" w:rsidRPr="006A49FA">
        <w:rPr>
          <w:color w:val="000000"/>
          <w:rtl/>
        </w:rPr>
        <w:t xml:space="preserve">)، والذي يدير قاعدة بيانات للمصنفات اليتيمة الجاري استخدامها، وهي قاعدة بيانات متاحة للجمهور. </w:t>
      </w:r>
      <w:r>
        <w:rPr>
          <w:rFonts w:hint="cs"/>
          <w:color w:val="000000"/>
          <w:rtl/>
        </w:rPr>
        <w:t>و</w:t>
      </w:r>
      <w:r w:rsidR="00E45B4E" w:rsidRPr="006A49FA">
        <w:rPr>
          <w:color w:val="000000"/>
          <w:rtl/>
        </w:rPr>
        <w:t>سيتم استكمال كل هذه الإجراءات من خلال تطبيق حاسوبي للتعامل مع قاعدة بيانات المصنفات اليتيمة تم إعداده بواسطة</w:t>
      </w:r>
      <w:r w:rsidR="00CF756F">
        <w:rPr>
          <w:rFonts w:hint="cs"/>
          <w:color w:val="000000"/>
          <w:rtl/>
        </w:rPr>
        <w:t xml:space="preserve"> هذا المكتب </w:t>
      </w:r>
      <w:r w:rsidR="00E45B4E" w:rsidRPr="006A49FA">
        <w:rPr>
          <w:color w:val="000000"/>
        </w:rPr>
        <w:t>OHIM</w:t>
      </w:r>
      <w:r w:rsidR="00E45B4E" w:rsidRPr="006A49FA">
        <w:rPr>
          <w:color w:val="000000"/>
          <w:rtl/>
        </w:rPr>
        <w:t xml:space="preserve">. </w:t>
      </w:r>
      <w:r>
        <w:rPr>
          <w:rFonts w:hint="cs"/>
          <w:color w:val="000000"/>
          <w:rtl/>
        </w:rPr>
        <w:lastRenderedPageBreak/>
        <w:t>و</w:t>
      </w:r>
      <w:r w:rsidR="00E45B4E" w:rsidRPr="006A49FA">
        <w:rPr>
          <w:color w:val="000000"/>
          <w:rtl/>
        </w:rPr>
        <w:t xml:space="preserve">من المرجح أن تكون السلطة الوطنية البريطانية المختصة هي نفسها جهة الترخيص </w:t>
      </w:r>
      <w:r w:rsidR="00CF756F">
        <w:rPr>
          <w:rFonts w:hint="cs"/>
          <w:color w:val="000000"/>
          <w:rtl/>
        </w:rPr>
        <w:t xml:space="preserve">في </w:t>
      </w:r>
      <w:r w:rsidR="00E45B4E" w:rsidRPr="006A49FA">
        <w:rPr>
          <w:color w:val="000000"/>
          <w:rtl/>
        </w:rPr>
        <w:t xml:space="preserve">نظام ترخيص المصنفات اليتيمة </w:t>
      </w:r>
      <w:r w:rsidR="00CF756F">
        <w:rPr>
          <w:rFonts w:hint="cs"/>
          <w:color w:val="000000"/>
          <w:rtl/>
        </w:rPr>
        <w:t>محلياً</w:t>
      </w:r>
      <w:r w:rsidR="00E45B4E" w:rsidRPr="006A49FA">
        <w:rPr>
          <w:color w:val="000000"/>
          <w:rtl/>
        </w:rPr>
        <w:t xml:space="preserve"> في المملكة المتحدة، أي، مكتب الملكية الفكرية</w:t>
      </w:r>
      <w:r w:rsidR="00E45B4E">
        <w:rPr>
          <w:rFonts w:hint="cs"/>
          <w:color w:val="000000"/>
          <w:rtl/>
        </w:rPr>
        <w:t>.</w:t>
      </w:r>
    </w:p>
    <w:p w:rsidR="00FF510F" w:rsidRDefault="00E02563" w:rsidP="00CF756F">
      <w:pPr>
        <w:pStyle w:val="NormalParaAR"/>
        <w:rPr>
          <w:color w:val="000000"/>
          <w:rtl/>
        </w:rPr>
      </w:pPr>
      <w:r>
        <w:rPr>
          <w:rFonts w:hint="cs"/>
          <w:color w:val="000000"/>
          <w:rtl/>
        </w:rPr>
        <w:t>و</w:t>
      </w:r>
      <w:r w:rsidR="00FF510F">
        <w:rPr>
          <w:rFonts w:hint="cs"/>
          <w:color w:val="000000"/>
          <w:rtl/>
        </w:rPr>
        <w:t>ي</w:t>
      </w:r>
      <w:r w:rsidR="00CF756F">
        <w:rPr>
          <w:rFonts w:hint="cs"/>
          <w:color w:val="000000"/>
          <w:rtl/>
        </w:rPr>
        <w:t>َ</w:t>
      </w:r>
      <w:r w:rsidR="00FF510F">
        <w:rPr>
          <w:rFonts w:hint="cs"/>
          <w:color w:val="000000"/>
          <w:rtl/>
        </w:rPr>
        <w:t>س</w:t>
      </w:r>
      <w:r w:rsidR="00CF756F">
        <w:rPr>
          <w:rFonts w:hint="cs"/>
          <w:color w:val="000000"/>
          <w:rtl/>
        </w:rPr>
        <w:t>ْ</w:t>
      </w:r>
      <w:r w:rsidR="00FF510F">
        <w:rPr>
          <w:rFonts w:hint="cs"/>
          <w:color w:val="000000"/>
          <w:rtl/>
        </w:rPr>
        <w:t>م</w:t>
      </w:r>
      <w:r w:rsidR="00CF756F">
        <w:rPr>
          <w:rFonts w:hint="cs"/>
          <w:color w:val="000000"/>
          <w:rtl/>
        </w:rPr>
        <w:t>َ</w:t>
      </w:r>
      <w:r w:rsidR="00FF510F">
        <w:rPr>
          <w:rFonts w:hint="cs"/>
          <w:color w:val="000000"/>
          <w:rtl/>
        </w:rPr>
        <w:t xml:space="preserve">ح </w:t>
      </w:r>
      <w:r w:rsidR="00FF510F" w:rsidRPr="006A49FA">
        <w:rPr>
          <w:color w:val="000000"/>
          <w:rtl/>
        </w:rPr>
        <w:t xml:space="preserve">"التوجيه" بالاعتراف المتبادل عبر بلدان الاتحاد الأوروبي، وبالتالي، فإن البحث الدقيق المُنجز في إحدى الدول الأعضاء سيتم الاعتراف به في بلدان الاتحاد الأوروبي جميعها. </w:t>
      </w:r>
      <w:r>
        <w:rPr>
          <w:rFonts w:hint="cs"/>
          <w:color w:val="000000"/>
          <w:rtl/>
        </w:rPr>
        <w:t>و</w:t>
      </w:r>
      <w:r w:rsidR="00FF510F" w:rsidRPr="006A49FA">
        <w:rPr>
          <w:color w:val="000000"/>
          <w:rtl/>
        </w:rPr>
        <w:t xml:space="preserve">سوف يؤدي هذا إلى تجنب تكرار البحث متى امتلكت الجهة المعنية نسخة ورقية من المصنف اليتيم ضمن مجموعتها </w:t>
      </w:r>
      <w:r w:rsidR="00CF756F">
        <w:rPr>
          <w:rFonts w:hint="cs"/>
          <w:color w:val="000000"/>
          <w:rtl/>
        </w:rPr>
        <w:t>تؤكد</w:t>
      </w:r>
      <w:r w:rsidR="00FF510F" w:rsidRPr="006A49FA">
        <w:rPr>
          <w:color w:val="000000"/>
          <w:rtl/>
        </w:rPr>
        <w:t xml:space="preserve"> بالفعل </w:t>
      </w:r>
      <w:r w:rsidR="00CF756F">
        <w:rPr>
          <w:rFonts w:hint="cs"/>
          <w:color w:val="000000"/>
          <w:rtl/>
        </w:rPr>
        <w:t xml:space="preserve">استكمال البحث الدقيق </w:t>
      </w:r>
      <w:r w:rsidR="00FF510F" w:rsidRPr="006A49FA">
        <w:rPr>
          <w:color w:val="000000"/>
          <w:rtl/>
        </w:rPr>
        <w:t>في شأنها من قبل هيئة معنية أخرى</w:t>
      </w:r>
      <w:r w:rsidR="00FF510F">
        <w:rPr>
          <w:rFonts w:hint="cs"/>
          <w:color w:val="000000"/>
          <w:rtl/>
        </w:rPr>
        <w:t>.</w:t>
      </w:r>
    </w:p>
    <w:p w:rsidR="00FF510F" w:rsidRDefault="00FF510F" w:rsidP="00CA389E">
      <w:pPr>
        <w:pStyle w:val="EndofDocumentAR"/>
        <w:rPr>
          <w:color w:val="000000"/>
        </w:rPr>
      </w:pPr>
      <w:r>
        <w:rPr>
          <w:rFonts w:hint="cs"/>
          <w:rtl/>
        </w:rPr>
        <w:t>[يلي ذلك الملحق</w:t>
      </w:r>
      <w:r w:rsidR="0066451E">
        <w:t xml:space="preserve"> </w:t>
      </w:r>
      <w:r w:rsidR="0066451E">
        <w:rPr>
          <w:rFonts w:hint="cs"/>
          <w:rtl/>
        </w:rPr>
        <w:t>الثاني</w:t>
      </w:r>
      <w:r>
        <w:rPr>
          <w:rFonts w:hint="cs"/>
          <w:rtl/>
        </w:rPr>
        <w:t>]</w:t>
      </w:r>
    </w:p>
    <w:p w:rsidR="00E02563" w:rsidRPr="0066451E" w:rsidRDefault="00E02563" w:rsidP="0066451E">
      <w:pPr>
        <w:jc w:val="right"/>
        <w:rPr>
          <w:rFonts w:ascii="Arabic Typesetting" w:hAnsi="Arabic Typesetting" w:cs="Arabic Typesetting"/>
          <w:b/>
          <w:bCs/>
          <w:color w:val="000000"/>
          <w:sz w:val="40"/>
          <w:szCs w:val="40"/>
        </w:rPr>
      </w:pPr>
    </w:p>
    <w:p w:rsidR="0066451E" w:rsidRDefault="0066451E" w:rsidP="0066451E">
      <w:pPr>
        <w:jc w:val="right"/>
        <w:rPr>
          <w:rFonts w:ascii="Arabic Typesetting" w:hAnsi="Arabic Typesetting" w:cs="Arabic Typesetting"/>
          <w:b/>
          <w:bCs/>
          <w:color w:val="000000"/>
          <w:sz w:val="40"/>
          <w:szCs w:val="40"/>
        </w:rPr>
        <w:sectPr w:rsidR="0066451E" w:rsidSect="0066451E">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FF510F" w:rsidRPr="00F537EA" w:rsidRDefault="00FF510F" w:rsidP="000F244A">
      <w:pPr>
        <w:pStyle w:val="Heading2AR"/>
        <w:rPr>
          <w:b/>
          <w:bCs/>
          <w:rtl/>
          <w:lang w:bidi="ar-EG"/>
        </w:rPr>
      </w:pPr>
      <w:r w:rsidRPr="00F537EA">
        <w:rPr>
          <w:rFonts w:hint="cs"/>
          <w:b/>
          <w:bCs/>
          <w:rtl/>
        </w:rPr>
        <w:lastRenderedPageBreak/>
        <w:t>الملحق</w:t>
      </w:r>
      <w:r w:rsidR="006307C5" w:rsidRPr="00F537EA">
        <w:rPr>
          <w:rFonts w:hint="cs"/>
          <w:b/>
          <w:bCs/>
          <w:rtl/>
        </w:rPr>
        <w:t xml:space="preserve"> الثاني</w:t>
      </w:r>
      <w:r w:rsidRPr="00F537EA">
        <w:rPr>
          <w:rFonts w:hint="cs"/>
          <w:b/>
          <w:bCs/>
          <w:rtl/>
        </w:rPr>
        <w:t xml:space="preserve">: مسودة </w:t>
      </w:r>
      <w:r w:rsidRPr="00F537EA">
        <w:rPr>
          <w:b/>
          <w:bCs/>
          <w:rtl/>
        </w:rPr>
        <w:t>ترخيص استخدام مصنفات يتيمة</w:t>
      </w:r>
    </w:p>
    <w:p w:rsidR="00E02563" w:rsidRDefault="00FF510F" w:rsidP="00E02563">
      <w:pPr>
        <w:pStyle w:val="NormalParaAR"/>
        <w:rPr>
          <w:color w:val="000000"/>
          <w:sz w:val="40"/>
          <w:szCs w:val="40"/>
          <w:rtl/>
        </w:rPr>
      </w:pPr>
      <w:r w:rsidRPr="00E02563">
        <w:rPr>
          <w:rFonts w:hint="cs"/>
          <w:color w:val="000000"/>
          <w:sz w:val="40"/>
          <w:szCs w:val="40"/>
          <w:rtl/>
          <w:lang w:bidi="ar-EG"/>
        </w:rPr>
        <w:t xml:space="preserve">رخصة </w:t>
      </w:r>
      <w:r w:rsidRPr="00E02563">
        <w:rPr>
          <w:color w:val="000000"/>
          <w:sz w:val="40"/>
          <w:szCs w:val="40"/>
          <w:rtl/>
        </w:rPr>
        <w:t xml:space="preserve">غير حصرية صادرة إلى [   ] لاستخدام </w:t>
      </w:r>
      <w:r w:rsidR="00E74B99" w:rsidRPr="00E02563">
        <w:rPr>
          <w:rFonts w:hint="cs"/>
          <w:color w:val="000000"/>
          <w:sz w:val="40"/>
          <w:szCs w:val="40"/>
          <w:rtl/>
          <w:lang w:bidi="ar-EG"/>
        </w:rPr>
        <w:t xml:space="preserve">مشاهد فيلمية مصورة، </w:t>
      </w:r>
      <w:r w:rsidRPr="00E02563">
        <w:rPr>
          <w:color w:val="000000"/>
          <w:sz w:val="40"/>
          <w:szCs w:val="40"/>
          <w:rtl/>
        </w:rPr>
        <w:t>وإعادة نسخها والأداء العلني لها [وصف للعمل</w:t>
      </w:r>
      <w:r w:rsidRPr="00E02563">
        <w:rPr>
          <w:rFonts w:hint="cs"/>
          <w:color w:val="000000"/>
          <w:sz w:val="40"/>
          <w:szCs w:val="40"/>
          <w:rtl/>
        </w:rPr>
        <w:t>]</w:t>
      </w:r>
    </w:p>
    <w:p w:rsidR="00FF510F" w:rsidRPr="00E02563" w:rsidRDefault="00FF510F" w:rsidP="000F244A">
      <w:pPr>
        <w:pStyle w:val="Heading3AR"/>
        <w:rPr>
          <w:rtl/>
        </w:rPr>
      </w:pPr>
      <w:r w:rsidRPr="00E02563">
        <w:rPr>
          <w:rFonts w:hint="cs"/>
          <w:rtl/>
        </w:rPr>
        <w:t>المرخص له:</w:t>
      </w:r>
      <w:r w:rsidRPr="00E02563">
        <w:rPr>
          <w:rtl/>
        </w:rPr>
        <w:t xml:space="preserve"> [اسم وبيانات المرخص له</w:t>
      </w:r>
      <w:r w:rsidRPr="00E02563">
        <w:rPr>
          <w:rFonts w:hint="cs"/>
          <w:rtl/>
        </w:rPr>
        <w:t>]</w:t>
      </w:r>
    </w:p>
    <w:p w:rsidR="00FF510F" w:rsidRDefault="00FF510F" w:rsidP="00E45B4E">
      <w:pPr>
        <w:pStyle w:val="NormalParaAR"/>
        <w:rPr>
          <w:color w:val="000000"/>
          <w:rtl/>
          <w:lang w:bidi="ar-EG"/>
        </w:rPr>
      </w:pPr>
      <w:r>
        <w:rPr>
          <w:rFonts w:hint="cs"/>
          <w:color w:val="000000"/>
          <w:rtl/>
        </w:rPr>
        <w:t xml:space="preserve">عملاً </w:t>
      </w:r>
      <w:r w:rsidRPr="006A49FA">
        <w:rPr>
          <w:color w:val="000000"/>
          <w:rtl/>
        </w:rPr>
        <w:t>بأحكام البند 6 بشأن حق المؤلف (ترخيص المصنفات اليتيمة) من اللائحة الصادرة في عام 2014، تمنح [جهة الترخيص] ترخيص استخدام لصالح[   ]</w:t>
      </w:r>
      <w:r w:rsidR="00E02563">
        <w:rPr>
          <w:rFonts w:hint="cs"/>
          <w:color w:val="000000"/>
          <w:rtl/>
        </w:rPr>
        <w:t xml:space="preserve"> </w:t>
      </w:r>
      <w:r w:rsidRPr="006A49FA">
        <w:rPr>
          <w:color w:val="000000"/>
          <w:rtl/>
        </w:rPr>
        <w:t>على النحو التالي</w:t>
      </w:r>
      <w:r>
        <w:rPr>
          <w:rFonts w:hint="cs"/>
          <w:color w:val="000000"/>
          <w:rtl/>
        </w:rPr>
        <w:t>:</w:t>
      </w:r>
    </w:p>
    <w:p w:rsidR="00FF510F" w:rsidRDefault="00FF510F" w:rsidP="00E74B99">
      <w:pPr>
        <w:pStyle w:val="NormalParaAR"/>
        <w:rPr>
          <w:color w:val="000000"/>
          <w:rtl/>
        </w:rPr>
      </w:pPr>
      <w:r>
        <w:rPr>
          <w:rFonts w:hint="cs"/>
          <w:color w:val="000000"/>
          <w:rtl/>
          <w:lang w:bidi="ar-EG"/>
        </w:rPr>
        <w:t xml:space="preserve">تُخّول </w:t>
      </w:r>
      <w:r w:rsidRPr="006A49FA">
        <w:rPr>
          <w:color w:val="000000"/>
          <w:rtl/>
        </w:rPr>
        <w:t xml:space="preserve">الرخصة حق استخدام </w:t>
      </w:r>
      <w:r w:rsidR="00E74B99">
        <w:rPr>
          <w:rFonts w:hint="cs"/>
          <w:color w:val="000000"/>
          <w:rtl/>
          <w:lang w:bidi="ar-EG"/>
        </w:rPr>
        <w:t>مشاهد فيلمية مصورة</w:t>
      </w:r>
      <w:r w:rsidR="00E74B99" w:rsidRPr="006A49FA">
        <w:rPr>
          <w:color w:val="000000"/>
          <w:rtl/>
        </w:rPr>
        <w:t xml:space="preserve"> </w:t>
      </w:r>
      <w:r w:rsidRPr="006A49FA">
        <w:rPr>
          <w:color w:val="000000"/>
          <w:rtl/>
        </w:rPr>
        <w:t xml:space="preserve">لـ [وصف </w:t>
      </w:r>
      <w:r w:rsidR="00E74B99">
        <w:rPr>
          <w:rFonts w:hint="cs"/>
          <w:color w:val="000000"/>
          <w:rtl/>
        </w:rPr>
        <w:t>المشاهد</w:t>
      </w:r>
      <w:r w:rsidRPr="006A49FA">
        <w:rPr>
          <w:color w:val="000000"/>
          <w:rtl/>
        </w:rPr>
        <w:t xml:space="preserve"> </w:t>
      </w:r>
      <w:r w:rsidR="00E74B99">
        <w:rPr>
          <w:rFonts w:hint="cs"/>
          <w:color w:val="000000"/>
          <w:rtl/>
        </w:rPr>
        <w:t>المصورة</w:t>
      </w:r>
      <w:r w:rsidRPr="006A49FA">
        <w:rPr>
          <w:color w:val="000000"/>
          <w:rtl/>
        </w:rPr>
        <w:t>، بما في ذلك أي من التفاصيل المعروفة مثل مبدع العمل/الناشر، سنة الإنتاج، الخ] في الفيلم الوثائقي بعنوان [   ] من إنتاج [   ]</w:t>
      </w:r>
      <w:r w:rsidR="00E02563">
        <w:rPr>
          <w:rFonts w:hint="cs"/>
          <w:color w:val="000000"/>
          <w:rtl/>
        </w:rPr>
        <w:t>.</w:t>
      </w:r>
    </w:p>
    <w:p w:rsidR="00FF510F" w:rsidRDefault="00FF510F" w:rsidP="00E74B99">
      <w:pPr>
        <w:pStyle w:val="NormalParaAR"/>
        <w:rPr>
          <w:color w:val="000000"/>
          <w:rtl/>
        </w:rPr>
      </w:pPr>
      <w:r>
        <w:rPr>
          <w:rFonts w:hint="cs"/>
          <w:color w:val="000000"/>
          <w:rtl/>
          <w:lang w:bidi="ar-EG"/>
        </w:rPr>
        <w:t xml:space="preserve">كما </w:t>
      </w:r>
      <w:r w:rsidRPr="006A49FA">
        <w:rPr>
          <w:color w:val="000000"/>
          <w:rtl/>
        </w:rPr>
        <w:t xml:space="preserve">يجيز الترخيص أيضا إعادة نسخ </w:t>
      </w:r>
      <w:r w:rsidR="00E74B99">
        <w:rPr>
          <w:rFonts w:hint="cs"/>
          <w:color w:val="000000"/>
          <w:rtl/>
        </w:rPr>
        <w:t>المشاهد الفيلمية</w:t>
      </w:r>
      <w:r w:rsidRPr="006A49FA">
        <w:rPr>
          <w:color w:val="000000"/>
          <w:rtl/>
        </w:rPr>
        <w:t xml:space="preserve"> على أقراص</w:t>
      </w:r>
      <w:r w:rsidRPr="006A49FA">
        <w:rPr>
          <w:color w:val="000000"/>
          <w:rtl/>
          <w:lang w:bidi="ar-EG"/>
        </w:rPr>
        <w:t xml:space="preserve"> </w:t>
      </w:r>
      <w:r w:rsidRPr="006A49FA">
        <w:rPr>
          <w:color w:val="000000"/>
          <w:lang w:bidi="ar-EG"/>
        </w:rPr>
        <w:t>DVD</w:t>
      </w:r>
      <w:r w:rsidRPr="006A49FA">
        <w:rPr>
          <w:color w:val="000000"/>
          <w:rtl/>
          <w:lang w:bidi="ar-EG"/>
        </w:rPr>
        <w:t xml:space="preserve">، وأداء المصنف أداءً علنياً أو عرضه على الجمهور من خلال وسائل الاتصالات السلكية واللاسلكية </w:t>
      </w:r>
      <w:r w:rsidRPr="006A49FA">
        <w:rPr>
          <w:color w:val="000000"/>
          <w:rtl/>
        </w:rPr>
        <w:t>كجزء من حق استغلال الفيلم الوثائقي</w:t>
      </w:r>
      <w:r>
        <w:rPr>
          <w:rFonts w:hint="cs"/>
          <w:color w:val="000000"/>
          <w:rtl/>
        </w:rPr>
        <w:t>.</w:t>
      </w:r>
    </w:p>
    <w:p w:rsidR="00FF510F" w:rsidRPr="00B51B7A" w:rsidRDefault="00B51B7A" w:rsidP="000F244A">
      <w:pPr>
        <w:pStyle w:val="Heading3AR"/>
        <w:rPr>
          <w:rtl/>
        </w:rPr>
      </w:pPr>
      <w:r>
        <w:rPr>
          <w:rFonts w:hint="cs"/>
          <w:rtl/>
        </w:rPr>
        <w:t>ال</w:t>
      </w:r>
      <w:r w:rsidR="00FF510F" w:rsidRPr="00B51B7A">
        <w:rPr>
          <w:rFonts w:hint="cs"/>
          <w:rtl/>
        </w:rPr>
        <w:t>شروط و</w:t>
      </w:r>
      <w:r>
        <w:rPr>
          <w:rFonts w:hint="cs"/>
          <w:rtl/>
        </w:rPr>
        <w:t>ال</w:t>
      </w:r>
      <w:r w:rsidR="00FF510F" w:rsidRPr="00B51B7A">
        <w:rPr>
          <w:rFonts w:hint="cs"/>
          <w:rtl/>
        </w:rPr>
        <w:t>أحكام</w:t>
      </w:r>
    </w:p>
    <w:p w:rsidR="00FF510F" w:rsidRDefault="00FF510F" w:rsidP="00AF1D26">
      <w:pPr>
        <w:pStyle w:val="NormalParaAR"/>
        <w:numPr>
          <w:ilvl w:val="0"/>
          <w:numId w:val="27"/>
        </w:numPr>
        <w:ind w:left="355" w:firstLine="0"/>
        <w:rPr>
          <w:color w:val="000000"/>
        </w:rPr>
      </w:pPr>
      <w:r>
        <w:rPr>
          <w:rFonts w:hint="cs"/>
          <w:color w:val="000000"/>
          <w:rtl/>
        </w:rPr>
        <w:t xml:space="preserve">مدة </w:t>
      </w:r>
      <w:r w:rsidRPr="006A49FA">
        <w:rPr>
          <w:color w:val="000000"/>
          <w:rtl/>
        </w:rPr>
        <w:t>"الترخيص" 7 سنوات وتنتهي في [   ]. ويجوز تجديده وفقا للأحكام المبينة في [الإشارة إلى بند اللائحة</w:t>
      </w:r>
      <w:r>
        <w:rPr>
          <w:rFonts w:hint="cs"/>
          <w:color w:val="000000"/>
          <w:rtl/>
        </w:rPr>
        <w:t>].</w:t>
      </w:r>
    </w:p>
    <w:p w:rsidR="00FF510F" w:rsidRDefault="00FF510F" w:rsidP="00AF1D26">
      <w:pPr>
        <w:pStyle w:val="NormalParaAR"/>
        <w:numPr>
          <w:ilvl w:val="0"/>
          <w:numId w:val="27"/>
        </w:numPr>
        <w:ind w:left="355" w:firstLine="0"/>
        <w:rPr>
          <w:color w:val="000000"/>
        </w:rPr>
      </w:pPr>
      <w:r>
        <w:rPr>
          <w:rFonts w:hint="cs"/>
          <w:color w:val="000000"/>
          <w:rtl/>
        </w:rPr>
        <w:t>"الترخيص" غير حصري.</w:t>
      </w:r>
    </w:p>
    <w:p w:rsidR="00FF510F" w:rsidRDefault="00FF510F" w:rsidP="00AF1D26">
      <w:pPr>
        <w:pStyle w:val="NormalParaAR"/>
        <w:numPr>
          <w:ilvl w:val="0"/>
          <w:numId w:val="27"/>
        </w:numPr>
        <w:ind w:left="355" w:firstLine="0"/>
        <w:rPr>
          <w:color w:val="000000"/>
        </w:rPr>
      </w:pPr>
      <w:r>
        <w:rPr>
          <w:rFonts w:hint="cs"/>
          <w:color w:val="000000"/>
          <w:rtl/>
        </w:rPr>
        <w:t xml:space="preserve">يسري </w:t>
      </w:r>
      <w:r w:rsidRPr="006A49FA">
        <w:rPr>
          <w:color w:val="000000"/>
          <w:rtl/>
        </w:rPr>
        <w:t>"الترخيص" داخل المملكة المتحدة فقط. و</w:t>
      </w:r>
      <w:r w:rsidR="00E74B99">
        <w:rPr>
          <w:rFonts w:hint="cs"/>
          <w:color w:val="000000"/>
          <w:rtl/>
        </w:rPr>
        <w:t xml:space="preserve">يسود قانون كل بلد معني </w:t>
      </w:r>
      <w:r w:rsidRPr="006A49FA">
        <w:rPr>
          <w:color w:val="000000"/>
          <w:rtl/>
        </w:rPr>
        <w:t>ف</w:t>
      </w:r>
      <w:r w:rsidR="00E74B99">
        <w:rPr>
          <w:rFonts w:hint="cs"/>
          <w:color w:val="000000"/>
          <w:rtl/>
        </w:rPr>
        <w:t>يما يتعلق ب</w:t>
      </w:r>
      <w:r w:rsidRPr="006A49FA">
        <w:rPr>
          <w:color w:val="000000"/>
          <w:rtl/>
        </w:rPr>
        <w:t>البلدان الأخرى</w:t>
      </w:r>
      <w:r w:rsidR="00E74B99">
        <w:rPr>
          <w:rFonts w:hint="cs"/>
          <w:color w:val="000000"/>
          <w:rtl/>
        </w:rPr>
        <w:t xml:space="preserve">. </w:t>
      </w:r>
    </w:p>
    <w:p w:rsidR="00FF510F" w:rsidRDefault="00FF510F" w:rsidP="00AF1D26">
      <w:pPr>
        <w:pStyle w:val="NormalParaAR"/>
        <w:numPr>
          <w:ilvl w:val="0"/>
          <w:numId w:val="27"/>
        </w:numPr>
        <w:ind w:left="355" w:firstLine="0"/>
        <w:rPr>
          <w:color w:val="000000"/>
        </w:rPr>
      </w:pPr>
      <w:r>
        <w:rPr>
          <w:rFonts w:hint="cs"/>
          <w:color w:val="000000"/>
          <w:rtl/>
        </w:rPr>
        <w:t xml:space="preserve">لا يجوز </w:t>
      </w:r>
      <w:r w:rsidRPr="006A49FA">
        <w:rPr>
          <w:color w:val="000000"/>
          <w:rtl/>
        </w:rPr>
        <w:t xml:space="preserve">"للمرخص له" الترخيص من الباطن "للمواد المرخصة" لصالحه </w:t>
      </w:r>
      <w:r w:rsidR="00E74B99">
        <w:rPr>
          <w:rFonts w:hint="cs"/>
          <w:color w:val="000000"/>
          <w:rtl/>
        </w:rPr>
        <w:t>والمنصوص عليها</w:t>
      </w:r>
      <w:r w:rsidRPr="006A49FA">
        <w:rPr>
          <w:color w:val="000000"/>
          <w:rtl/>
        </w:rPr>
        <w:t xml:space="preserve"> في هذا "الترخيص</w:t>
      </w:r>
      <w:r>
        <w:rPr>
          <w:rFonts w:hint="cs"/>
          <w:color w:val="000000"/>
          <w:rtl/>
        </w:rPr>
        <w:t>".</w:t>
      </w:r>
    </w:p>
    <w:p w:rsidR="00FF510F" w:rsidRDefault="00FF510F" w:rsidP="00AF1D26">
      <w:pPr>
        <w:pStyle w:val="NormalParaAR"/>
        <w:numPr>
          <w:ilvl w:val="0"/>
          <w:numId w:val="27"/>
        </w:numPr>
        <w:ind w:left="355" w:firstLine="0"/>
        <w:rPr>
          <w:color w:val="000000"/>
        </w:rPr>
      </w:pPr>
      <w:r>
        <w:rPr>
          <w:rFonts w:hint="cs"/>
          <w:color w:val="000000"/>
          <w:rtl/>
        </w:rPr>
        <w:t xml:space="preserve">لا </w:t>
      </w:r>
      <w:r w:rsidRPr="006A49FA">
        <w:rPr>
          <w:color w:val="000000"/>
          <w:rtl/>
        </w:rPr>
        <w:t>يَعْفِي هذا "الترخيص" "المرخص له" من وجوب حصوله على إذن نظير أي استخدام آخر لم يُنص عليه تحديداً في هذا "الترخيص"</w:t>
      </w:r>
      <w:r>
        <w:rPr>
          <w:rFonts w:hint="cs"/>
          <w:color w:val="000000"/>
          <w:rtl/>
        </w:rPr>
        <w:t>.</w:t>
      </w:r>
    </w:p>
    <w:p w:rsidR="00FF510F" w:rsidRDefault="00FF510F" w:rsidP="00E02563">
      <w:pPr>
        <w:pStyle w:val="NormalParaAR"/>
        <w:numPr>
          <w:ilvl w:val="0"/>
          <w:numId w:val="27"/>
        </w:numPr>
        <w:ind w:left="355" w:firstLine="0"/>
        <w:rPr>
          <w:color w:val="000000"/>
        </w:rPr>
      </w:pPr>
      <w:r>
        <w:rPr>
          <w:rFonts w:hint="cs"/>
          <w:color w:val="000000"/>
          <w:rtl/>
        </w:rPr>
        <w:t xml:space="preserve">لا </w:t>
      </w:r>
      <w:r w:rsidRPr="006A49FA">
        <w:rPr>
          <w:color w:val="000000"/>
          <w:rtl/>
        </w:rPr>
        <w:t>يَعْفِي هذا "الترخيص" "المرخص له" من وجوب حصوله على إذن من أي صاحب حقوق آخر في هذا</w:t>
      </w:r>
      <w:r w:rsidR="00E02563">
        <w:rPr>
          <w:rFonts w:hint="cs"/>
          <w:color w:val="000000"/>
          <w:rtl/>
        </w:rPr>
        <w:t> </w:t>
      </w:r>
      <w:r w:rsidRPr="006A49FA">
        <w:rPr>
          <w:color w:val="000000"/>
          <w:rtl/>
        </w:rPr>
        <w:t>المصنف</w:t>
      </w:r>
      <w:r>
        <w:rPr>
          <w:rFonts w:hint="cs"/>
          <w:color w:val="000000"/>
          <w:rtl/>
        </w:rPr>
        <w:t>.</w:t>
      </w:r>
    </w:p>
    <w:p w:rsidR="00FF510F" w:rsidRDefault="00FF510F" w:rsidP="00AF1D26">
      <w:pPr>
        <w:pStyle w:val="NormalParaAR"/>
        <w:numPr>
          <w:ilvl w:val="0"/>
          <w:numId w:val="27"/>
        </w:numPr>
        <w:ind w:left="355" w:firstLine="0"/>
        <w:rPr>
          <w:color w:val="000000"/>
        </w:rPr>
      </w:pPr>
      <w:r>
        <w:rPr>
          <w:rFonts w:hint="cs"/>
          <w:color w:val="000000"/>
          <w:rtl/>
        </w:rPr>
        <w:t xml:space="preserve">يُشترط </w:t>
      </w:r>
      <w:r w:rsidRPr="006A49FA">
        <w:rPr>
          <w:color w:val="000000"/>
          <w:rtl/>
        </w:rPr>
        <w:t>لبدء سريان هذا "الترخيص" تعهد "المرخص له" بالالتزام بالشروط المنصوص عليها في الفقرات (5) و(6) أعلاه</w:t>
      </w:r>
      <w:r>
        <w:rPr>
          <w:rFonts w:hint="cs"/>
          <w:color w:val="000000"/>
          <w:rtl/>
        </w:rPr>
        <w:t>.</w:t>
      </w:r>
    </w:p>
    <w:p w:rsidR="00FF510F" w:rsidRDefault="00FF510F" w:rsidP="00AF1D26">
      <w:pPr>
        <w:pStyle w:val="NormalParaAR"/>
        <w:numPr>
          <w:ilvl w:val="0"/>
          <w:numId w:val="27"/>
        </w:numPr>
        <w:ind w:left="355" w:firstLine="0"/>
        <w:rPr>
          <w:color w:val="000000"/>
        </w:rPr>
      </w:pPr>
      <w:r>
        <w:rPr>
          <w:rFonts w:hint="cs"/>
          <w:color w:val="000000"/>
          <w:rtl/>
        </w:rPr>
        <w:t>يسدد "</w:t>
      </w:r>
      <w:r w:rsidRPr="006A49FA">
        <w:rPr>
          <w:color w:val="000000"/>
          <w:rtl/>
        </w:rPr>
        <w:t>المرخص له" مبلغاً وقدره [   ] لصالح "جهة الترخيص</w:t>
      </w:r>
      <w:r>
        <w:rPr>
          <w:rFonts w:hint="cs"/>
          <w:color w:val="000000"/>
          <w:rtl/>
        </w:rPr>
        <w:t>".</w:t>
      </w:r>
    </w:p>
    <w:p w:rsidR="00FF510F" w:rsidRDefault="00FF510F" w:rsidP="00E02563">
      <w:pPr>
        <w:pStyle w:val="NormalParaAR"/>
        <w:numPr>
          <w:ilvl w:val="0"/>
          <w:numId w:val="27"/>
        </w:numPr>
        <w:ind w:left="355" w:firstLine="0"/>
        <w:rPr>
          <w:color w:val="000000"/>
        </w:rPr>
      </w:pPr>
      <w:r>
        <w:rPr>
          <w:rFonts w:hint="cs"/>
          <w:color w:val="000000"/>
          <w:rtl/>
        </w:rPr>
        <w:t xml:space="preserve">يتعين </w:t>
      </w:r>
      <w:r w:rsidRPr="006A49FA">
        <w:rPr>
          <w:color w:val="000000"/>
          <w:rtl/>
        </w:rPr>
        <w:t>أن يترافق مع استخدام "المواد المرخصة" الإشارة إلى صاحب العمل الأصلي وإسناد الفضل له متى</w:t>
      </w:r>
      <w:r w:rsidR="00E02563">
        <w:rPr>
          <w:rFonts w:hint="cs"/>
          <w:color w:val="000000"/>
          <w:rtl/>
        </w:rPr>
        <w:t> </w:t>
      </w:r>
      <w:r w:rsidRPr="006A49FA">
        <w:rPr>
          <w:color w:val="000000"/>
          <w:rtl/>
        </w:rPr>
        <w:t xml:space="preserve">كان معروفاً، </w:t>
      </w:r>
      <w:r w:rsidR="00E02563">
        <w:rPr>
          <w:color w:val="000000"/>
          <w:rtl/>
        </w:rPr>
        <w:t>أو [الإشارة إلى عنوان الموقع ال</w:t>
      </w:r>
      <w:r w:rsidR="00E02563">
        <w:rPr>
          <w:rFonts w:hint="cs"/>
          <w:color w:val="000000"/>
          <w:rtl/>
        </w:rPr>
        <w:t>إ</w:t>
      </w:r>
      <w:r w:rsidRPr="006A49FA">
        <w:rPr>
          <w:color w:val="000000"/>
          <w:rtl/>
        </w:rPr>
        <w:t>لكتروني للجهة مانحة الترخيص] في حالة عدم معرفة صاحب العمل</w:t>
      </w:r>
      <w:r w:rsidR="00E02563">
        <w:rPr>
          <w:rFonts w:hint="cs"/>
          <w:color w:val="000000"/>
          <w:rtl/>
        </w:rPr>
        <w:t> </w:t>
      </w:r>
      <w:r w:rsidRPr="006A49FA">
        <w:rPr>
          <w:color w:val="000000"/>
          <w:rtl/>
        </w:rPr>
        <w:t>الأصلي</w:t>
      </w:r>
      <w:r>
        <w:rPr>
          <w:rFonts w:hint="cs"/>
          <w:color w:val="000000"/>
          <w:rtl/>
        </w:rPr>
        <w:t>.</w:t>
      </w:r>
    </w:p>
    <w:p w:rsidR="00FF510F" w:rsidRDefault="00FF510F" w:rsidP="00AF1D26">
      <w:pPr>
        <w:pStyle w:val="NormalParaAR"/>
        <w:numPr>
          <w:ilvl w:val="0"/>
          <w:numId w:val="27"/>
        </w:numPr>
        <w:ind w:left="355" w:firstLine="0"/>
        <w:rPr>
          <w:color w:val="000000"/>
        </w:rPr>
      </w:pPr>
      <w:r>
        <w:rPr>
          <w:rFonts w:hint="cs"/>
          <w:color w:val="000000"/>
          <w:rtl/>
        </w:rPr>
        <w:lastRenderedPageBreak/>
        <w:t xml:space="preserve">لن </w:t>
      </w:r>
      <w:r w:rsidRPr="006A49FA">
        <w:rPr>
          <w:color w:val="000000"/>
          <w:rtl/>
        </w:rPr>
        <w:t>تؤول ملكية أي "مواد مرخصة" أو حق المؤلف إلى "المرخص له" نتيجة إصدار هذا "الترخيص</w:t>
      </w:r>
      <w:r>
        <w:rPr>
          <w:rFonts w:hint="cs"/>
          <w:color w:val="000000"/>
          <w:rtl/>
        </w:rPr>
        <w:t>".</w:t>
      </w:r>
    </w:p>
    <w:p w:rsidR="00FF510F" w:rsidRDefault="00FF510F" w:rsidP="00AF1D26">
      <w:pPr>
        <w:pStyle w:val="NormalParaAR"/>
        <w:numPr>
          <w:ilvl w:val="0"/>
          <w:numId w:val="27"/>
        </w:numPr>
        <w:ind w:left="355" w:firstLine="0"/>
        <w:rPr>
          <w:color w:val="000000"/>
        </w:rPr>
      </w:pPr>
      <w:r>
        <w:rPr>
          <w:rFonts w:hint="cs"/>
          <w:color w:val="000000"/>
          <w:rtl/>
        </w:rPr>
        <w:t>لا</w:t>
      </w:r>
      <w:r w:rsidR="00C8615E">
        <w:rPr>
          <w:rFonts w:hint="cs"/>
          <w:color w:val="000000"/>
          <w:rtl/>
        </w:rPr>
        <w:t xml:space="preserve"> </w:t>
      </w:r>
      <w:r w:rsidR="00E02563">
        <w:rPr>
          <w:color w:val="000000"/>
          <w:rtl/>
        </w:rPr>
        <w:t>يعد "المرخص له" مس</w:t>
      </w:r>
      <w:r w:rsidR="00E02563">
        <w:rPr>
          <w:rFonts w:hint="cs"/>
          <w:color w:val="000000"/>
          <w:rtl/>
        </w:rPr>
        <w:t>ؤ</w:t>
      </w:r>
      <w:r w:rsidRPr="006A49FA">
        <w:rPr>
          <w:color w:val="000000"/>
          <w:rtl/>
        </w:rPr>
        <w:t xml:space="preserve">ولا عن أي أضرار أو التزامات أو تكاليف نظير انتهاك حق المؤلف من جراء </w:t>
      </w:r>
      <w:r w:rsidR="00E74B99">
        <w:rPr>
          <w:rFonts w:hint="cs"/>
          <w:color w:val="000000"/>
          <w:rtl/>
        </w:rPr>
        <w:t xml:space="preserve">أي </w:t>
      </w:r>
      <w:r w:rsidRPr="006A49FA">
        <w:rPr>
          <w:color w:val="000000"/>
          <w:rtl/>
        </w:rPr>
        <w:t xml:space="preserve">عمل يقوم به طرف ثالث، شريطة </w:t>
      </w:r>
      <w:r w:rsidR="00E74B99">
        <w:rPr>
          <w:rFonts w:hint="cs"/>
          <w:color w:val="000000"/>
          <w:rtl/>
        </w:rPr>
        <w:t>التزام</w:t>
      </w:r>
      <w:r w:rsidRPr="006A49FA">
        <w:rPr>
          <w:color w:val="000000"/>
          <w:rtl/>
        </w:rPr>
        <w:t xml:space="preserve"> "المرخص له" </w:t>
      </w:r>
      <w:r w:rsidR="00E74B99">
        <w:rPr>
          <w:rFonts w:hint="cs"/>
          <w:color w:val="000000"/>
          <w:rtl/>
        </w:rPr>
        <w:t xml:space="preserve">باستخدام </w:t>
      </w:r>
      <w:r w:rsidRPr="006A49FA">
        <w:rPr>
          <w:color w:val="000000"/>
          <w:rtl/>
        </w:rPr>
        <w:t>"المواد المرخصة" وفقا للشروط والأحكام المنصوص عليها في هذا "الترخيص</w:t>
      </w:r>
      <w:r>
        <w:rPr>
          <w:rFonts w:hint="cs"/>
          <w:color w:val="000000"/>
          <w:rtl/>
        </w:rPr>
        <w:t>".</w:t>
      </w:r>
    </w:p>
    <w:p w:rsidR="00FF510F" w:rsidRDefault="00FF510F" w:rsidP="00AF1D26">
      <w:pPr>
        <w:pStyle w:val="NormalParaAR"/>
        <w:numPr>
          <w:ilvl w:val="0"/>
          <w:numId w:val="27"/>
        </w:numPr>
        <w:ind w:left="355" w:firstLine="0"/>
        <w:rPr>
          <w:color w:val="000000"/>
        </w:rPr>
      </w:pPr>
      <w:r>
        <w:rPr>
          <w:rFonts w:hint="cs"/>
          <w:color w:val="000000"/>
          <w:rtl/>
        </w:rPr>
        <w:t>ل</w:t>
      </w:r>
      <w:r w:rsidR="00E74B99">
        <w:rPr>
          <w:rFonts w:hint="cs"/>
          <w:color w:val="000000"/>
          <w:rtl/>
        </w:rPr>
        <w:t xml:space="preserve">ا تعد </w:t>
      </w:r>
      <w:r w:rsidRPr="006A49FA">
        <w:rPr>
          <w:color w:val="000000"/>
          <w:rtl/>
        </w:rPr>
        <w:t>[جهة الترخيص] مس</w:t>
      </w:r>
      <w:r w:rsidR="00E02563">
        <w:rPr>
          <w:rFonts w:hint="cs"/>
          <w:color w:val="000000"/>
          <w:rtl/>
        </w:rPr>
        <w:t>ؤ</w:t>
      </w:r>
      <w:r w:rsidRPr="006A49FA">
        <w:rPr>
          <w:color w:val="000000"/>
          <w:rtl/>
        </w:rPr>
        <w:t xml:space="preserve">ولة عن أي أضرار أو التزامات أو تكاليف </w:t>
      </w:r>
      <w:r w:rsidR="00E74B99">
        <w:rPr>
          <w:rFonts w:hint="cs"/>
          <w:color w:val="000000"/>
          <w:rtl/>
        </w:rPr>
        <w:t>تنجم</w:t>
      </w:r>
      <w:r w:rsidRPr="006A49FA">
        <w:rPr>
          <w:color w:val="000000"/>
          <w:rtl/>
        </w:rPr>
        <w:t xml:space="preserve"> عن مطالبة أي طرف ثالث في الحالات التي </w:t>
      </w:r>
      <w:r w:rsidR="00E74B99">
        <w:rPr>
          <w:rFonts w:hint="cs"/>
          <w:color w:val="000000"/>
          <w:rtl/>
        </w:rPr>
        <w:t xml:space="preserve">تنشأ من قيام </w:t>
      </w:r>
      <w:r w:rsidRPr="006A49FA">
        <w:rPr>
          <w:color w:val="000000"/>
          <w:rtl/>
        </w:rPr>
        <w:t xml:space="preserve">"المرخص له" </w:t>
      </w:r>
      <w:r w:rsidR="00E74B99">
        <w:rPr>
          <w:rFonts w:hint="cs"/>
          <w:color w:val="000000"/>
          <w:rtl/>
        </w:rPr>
        <w:t xml:space="preserve">بالقيام بأي أعمال أو إجراءات لا تتفق </w:t>
      </w:r>
      <w:r w:rsidRPr="006A49FA">
        <w:rPr>
          <w:color w:val="000000"/>
          <w:rtl/>
        </w:rPr>
        <w:t>مع الشروط والأحكام المنصوص عليها في هذا "الترخيص"، أو في الحالات التي لا تتأسس فيها مطالبة الطرف الثالث على أساس انتهاك حق المؤلف</w:t>
      </w:r>
      <w:r>
        <w:rPr>
          <w:rFonts w:hint="cs"/>
          <w:color w:val="000000"/>
          <w:rtl/>
        </w:rPr>
        <w:t>.</w:t>
      </w:r>
    </w:p>
    <w:p w:rsidR="00FF510F" w:rsidRDefault="00FF510F" w:rsidP="00AF1D26">
      <w:pPr>
        <w:pStyle w:val="NormalParaAR"/>
        <w:numPr>
          <w:ilvl w:val="0"/>
          <w:numId w:val="27"/>
        </w:numPr>
        <w:ind w:left="355" w:firstLine="0"/>
        <w:rPr>
          <w:color w:val="000000"/>
        </w:rPr>
      </w:pPr>
      <w:r>
        <w:rPr>
          <w:rFonts w:hint="cs"/>
          <w:color w:val="000000"/>
          <w:rtl/>
        </w:rPr>
        <w:t>يجوز</w:t>
      </w:r>
      <w:r w:rsidR="00E74B99">
        <w:rPr>
          <w:rFonts w:hint="cs"/>
          <w:color w:val="000000"/>
          <w:rtl/>
        </w:rPr>
        <w:t xml:space="preserve"> </w:t>
      </w:r>
      <w:r w:rsidR="00E74B99" w:rsidRPr="006A49FA">
        <w:rPr>
          <w:color w:val="000000"/>
          <w:rtl/>
        </w:rPr>
        <w:t xml:space="preserve">إنهاء </w:t>
      </w:r>
      <w:r w:rsidR="00E74B99">
        <w:rPr>
          <w:rFonts w:hint="cs"/>
          <w:color w:val="000000"/>
          <w:rtl/>
        </w:rPr>
        <w:t>"</w:t>
      </w:r>
      <w:r w:rsidR="00E74B99" w:rsidRPr="006A49FA">
        <w:rPr>
          <w:color w:val="000000"/>
          <w:rtl/>
        </w:rPr>
        <w:t>الترخيص</w:t>
      </w:r>
      <w:r w:rsidR="00E74B99">
        <w:rPr>
          <w:rFonts w:hint="cs"/>
          <w:color w:val="000000"/>
          <w:rtl/>
        </w:rPr>
        <w:t>"</w:t>
      </w:r>
      <w:r w:rsidR="00E74B99" w:rsidRPr="006A49FA">
        <w:rPr>
          <w:color w:val="000000"/>
          <w:rtl/>
        </w:rPr>
        <w:t xml:space="preserve"> دون ردّ</w:t>
      </w:r>
      <w:r w:rsidR="00E74B99">
        <w:rPr>
          <w:rFonts w:hint="cs"/>
          <w:color w:val="000000"/>
          <w:rtl/>
        </w:rPr>
        <w:t xml:space="preserve"> قيمته المادية من قبل </w:t>
      </w:r>
      <w:r w:rsidR="00E74B99" w:rsidRPr="006A49FA">
        <w:rPr>
          <w:color w:val="000000"/>
          <w:rtl/>
        </w:rPr>
        <w:t>"جهة الترخيص</w:t>
      </w:r>
      <w:r w:rsidR="00E74B99">
        <w:rPr>
          <w:rFonts w:hint="cs"/>
          <w:color w:val="000000"/>
          <w:rtl/>
        </w:rPr>
        <w:t>"</w:t>
      </w:r>
      <w:r>
        <w:rPr>
          <w:rFonts w:hint="cs"/>
          <w:color w:val="000000"/>
          <w:rtl/>
        </w:rPr>
        <w:t xml:space="preserve"> </w:t>
      </w:r>
      <w:r w:rsidR="00E74B99">
        <w:rPr>
          <w:rFonts w:hint="cs"/>
          <w:color w:val="000000"/>
          <w:rtl/>
        </w:rPr>
        <w:t xml:space="preserve">في حالات </w:t>
      </w:r>
      <w:r w:rsidRPr="006A49FA">
        <w:rPr>
          <w:color w:val="000000"/>
          <w:rtl/>
        </w:rPr>
        <w:t>استخدام "</w:t>
      </w:r>
      <w:r w:rsidR="00E74B99">
        <w:rPr>
          <w:rFonts w:hint="cs"/>
          <w:color w:val="000000"/>
          <w:rtl/>
        </w:rPr>
        <w:t>ا</w:t>
      </w:r>
      <w:r w:rsidRPr="006A49FA">
        <w:rPr>
          <w:color w:val="000000"/>
          <w:rtl/>
        </w:rPr>
        <w:t>لمواد المرخصة" بأسلوب لم يُنص عليه صراحة في "الترخيص"</w:t>
      </w:r>
      <w:r w:rsidR="00E74B99">
        <w:rPr>
          <w:rFonts w:hint="cs"/>
          <w:color w:val="000000"/>
          <w:rtl/>
        </w:rPr>
        <w:t xml:space="preserve">. </w:t>
      </w:r>
    </w:p>
    <w:p w:rsidR="00FF510F" w:rsidRPr="00FF510F" w:rsidRDefault="00FF510F" w:rsidP="000F244A">
      <w:pPr>
        <w:pStyle w:val="Heading3AR"/>
        <w:rPr>
          <w:rtl/>
        </w:rPr>
      </w:pPr>
      <w:r w:rsidRPr="00FF510F">
        <w:rPr>
          <w:rFonts w:hint="cs"/>
          <w:rtl/>
        </w:rPr>
        <w:t>تعاريف</w:t>
      </w:r>
    </w:p>
    <w:p w:rsidR="00FF510F" w:rsidRDefault="00FF510F" w:rsidP="00FF510F">
      <w:pPr>
        <w:pStyle w:val="NormalParaAR"/>
        <w:rPr>
          <w:color w:val="000000"/>
          <w:rtl/>
        </w:rPr>
      </w:pPr>
      <w:r>
        <w:rPr>
          <w:rFonts w:hint="cs"/>
          <w:color w:val="000000"/>
          <w:rtl/>
        </w:rPr>
        <w:t xml:space="preserve">"المرخص له" </w:t>
      </w:r>
      <w:r w:rsidRPr="006A49FA">
        <w:rPr>
          <w:color w:val="000000"/>
          <w:rtl/>
        </w:rPr>
        <w:t>هو الشخص أو الكيان المحدد على هذا النحو في "الترخيص</w:t>
      </w:r>
      <w:r>
        <w:rPr>
          <w:rFonts w:hint="cs"/>
          <w:color w:val="000000"/>
          <w:rtl/>
        </w:rPr>
        <w:t>".</w:t>
      </w:r>
    </w:p>
    <w:p w:rsidR="00FF510F" w:rsidRDefault="00FF510F" w:rsidP="00FF510F">
      <w:pPr>
        <w:pStyle w:val="NormalParaAR"/>
        <w:rPr>
          <w:color w:val="000000"/>
          <w:rtl/>
        </w:rPr>
      </w:pPr>
      <w:r>
        <w:rPr>
          <w:rFonts w:hint="cs"/>
          <w:color w:val="000000"/>
          <w:rtl/>
        </w:rPr>
        <w:t xml:space="preserve">"المواد المرخصة" </w:t>
      </w:r>
      <w:r w:rsidRPr="006A49FA">
        <w:rPr>
          <w:color w:val="000000"/>
          <w:rtl/>
        </w:rPr>
        <w:t>هي المواد المحددة في الفقرة (1) أعلاه</w:t>
      </w:r>
      <w:r>
        <w:rPr>
          <w:rFonts w:hint="cs"/>
          <w:color w:val="000000"/>
          <w:rtl/>
        </w:rPr>
        <w:t>.</w:t>
      </w:r>
    </w:p>
    <w:p w:rsidR="00FF510F" w:rsidRDefault="00FF510F" w:rsidP="00FF510F">
      <w:pPr>
        <w:pStyle w:val="NormalParaAR"/>
        <w:rPr>
          <w:color w:val="000000"/>
          <w:rtl/>
        </w:rPr>
      </w:pPr>
      <w:r>
        <w:rPr>
          <w:rFonts w:hint="cs"/>
          <w:color w:val="000000"/>
          <w:rtl/>
        </w:rPr>
        <w:t xml:space="preserve">"الترخيص" </w:t>
      </w:r>
      <w:r w:rsidRPr="006A49FA">
        <w:rPr>
          <w:color w:val="000000"/>
          <w:rtl/>
        </w:rPr>
        <w:t>يشير هذا المصطلح إلى هذه الاتفاقية، بما في ذلك الشروط والأحكام المنصوص عليها في متن الاتفاقية</w:t>
      </w:r>
      <w:r>
        <w:rPr>
          <w:rFonts w:hint="cs"/>
          <w:color w:val="000000"/>
          <w:rtl/>
        </w:rPr>
        <w:t>.</w:t>
      </w:r>
    </w:p>
    <w:p w:rsidR="00B73AF1" w:rsidRDefault="00B73AF1" w:rsidP="00FF510F">
      <w:pPr>
        <w:pStyle w:val="NormalParaAR"/>
        <w:rPr>
          <w:color w:val="000000"/>
          <w:rtl/>
        </w:rPr>
      </w:pPr>
    </w:p>
    <w:p w:rsidR="00B73AF1" w:rsidRDefault="00FF510F" w:rsidP="006307C5">
      <w:pPr>
        <w:pStyle w:val="EndofDocumentAR"/>
        <w:rPr>
          <w:rtl/>
        </w:rPr>
      </w:pPr>
      <w:r>
        <w:rPr>
          <w:rFonts w:hint="cs"/>
          <w:rtl/>
        </w:rPr>
        <w:t xml:space="preserve">[يلي ذلك </w:t>
      </w:r>
      <w:r w:rsidR="006307C5">
        <w:rPr>
          <w:rFonts w:hint="cs"/>
          <w:rtl/>
        </w:rPr>
        <w:t>الملحق</w:t>
      </w:r>
      <w:r w:rsidR="00995274">
        <w:rPr>
          <w:rFonts w:hint="cs"/>
          <w:rtl/>
        </w:rPr>
        <w:t xml:space="preserve"> الثالث]</w:t>
      </w:r>
    </w:p>
    <w:p w:rsidR="00B85700" w:rsidRDefault="00B85700" w:rsidP="00B85700">
      <w:pPr>
        <w:pStyle w:val="NormalParaAR"/>
        <w:rPr>
          <w:rtl/>
        </w:rPr>
      </w:pPr>
    </w:p>
    <w:p w:rsidR="00B85700" w:rsidRDefault="00B85700" w:rsidP="00B85700">
      <w:pPr>
        <w:pStyle w:val="NormalParaAR"/>
        <w:rPr>
          <w:rtl/>
        </w:rPr>
        <w:sectPr w:rsidR="00B85700" w:rsidSect="0066451E">
          <w:headerReference w:type="default" r:id="rId12"/>
          <w:headerReference w:type="first" r:id="rId13"/>
          <w:pgSz w:w="11907" w:h="16840" w:code="9"/>
          <w:pgMar w:top="567" w:right="1418" w:bottom="1418" w:left="1134" w:header="510" w:footer="1021" w:gutter="0"/>
          <w:pgNumType w:start="1"/>
          <w:cols w:space="720"/>
          <w:titlePg/>
          <w:docGrid w:linePitch="299"/>
        </w:sectPr>
      </w:pPr>
    </w:p>
    <w:p w:rsidR="00B85700" w:rsidRDefault="006307C5" w:rsidP="004205ED">
      <w:pPr>
        <w:pStyle w:val="Heading1AR"/>
        <w:rPr>
          <w:rtl/>
        </w:rPr>
      </w:pPr>
      <w:r>
        <w:rPr>
          <w:rFonts w:hint="cs"/>
          <w:rtl/>
        </w:rPr>
        <w:lastRenderedPageBreak/>
        <w:t>الملحق الثالث: مشروع مخطط ترخيص المصنفات اليتيمة</w:t>
      </w:r>
    </w:p>
    <w:p w:rsidR="00B85700" w:rsidRDefault="004205ED" w:rsidP="004205ED">
      <w:pPr>
        <w:pStyle w:val="NormalParaAR"/>
        <w:spacing w:after="0" w:line="240" w:lineRule="auto"/>
        <w:jc w:val="center"/>
        <w:rPr>
          <w:rtl/>
        </w:rPr>
      </w:pPr>
      <w:r>
        <w:rPr>
          <w:noProof/>
          <w:lang w:eastAsia="zh-CN"/>
        </w:rPr>
        <w:drawing>
          <wp:inline distT="0" distB="0" distL="0" distR="0" wp14:anchorId="39575A26">
            <wp:extent cx="6078931" cy="70990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1892" cy="7102475"/>
                    </a:xfrm>
                    <a:prstGeom prst="rect">
                      <a:avLst/>
                    </a:prstGeom>
                    <a:noFill/>
                  </pic:spPr>
                </pic:pic>
              </a:graphicData>
            </a:graphic>
          </wp:inline>
        </w:drawing>
      </w:r>
    </w:p>
    <w:p w:rsidR="00B85700" w:rsidRDefault="00B85700" w:rsidP="00B85700">
      <w:pPr>
        <w:pStyle w:val="NormalParaAR"/>
        <w:rPr>
          <w:rtl/>
        </w:rPr>
      </w:pPr>
    </w:p>
    <w:p w:rsidR="00B85700" w:rsidRDefault="004205ED" w:rsidP="004205ED">
      <w:pPr>
        <w:pStyle w:val="EndofDocumentAR"/>
        <w:rPr>
          <w:rtl/>
        </w:rPr>
      </w:pPr>
      <w:r>
        <w:rPr>
          <w:rFonts w:hint="cs"/>
          <w:rtl/>
        </w:rPr>
        <w:t>[نهاية المرفق والوثيقة]</w:t>
      </w:r>
    </w:p>
    <w:p w:rsidR="00B85700" w:rsidRPr="00B85700" w:rsidRDefault="00B85700" w:rsidP="00B85700">
      <w:pPr>
        <w:pStyle w:val="NormalParaAR"/>
        <w:rPr>
          <w:rtl/>
        </w:rPr>
      </w:pPr>
    </w:p>
    <w:sectPr w:rsidR="00B85700" w:rsidRPr="00B85700" w:rsidSect="0066451E">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757" w:rsidRDefault="00AB6757">
      <w:r>
        <w:separator/>
      </w:r>
    </w:p>
  </w:endnote>
  <w:endnote w:type="continuationSeparator" w:id="0">
    <w:p w:rsidR="00AB6757" w:rsidRDefault="00AB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757" w:rsidRDefault="00AB6757" w:rsidP="009622BF">
      <w:pPr>
        <w:bidi/>
      </w:pPr>
      <w:bookmarkStart w:id="0" w:name="OLE_LINK1"/>
      <w:bookmarkStart w:id="1" w:name="OLE_LINK2"/>
      <w:r>
        <w:separator/>
      </w:r>
      <w:bookmarkEnd w:id="0"/>
      <w:bookmarkEnd w:id="1"/>
    </w:p>
  </w:footnote>
  <w:footnote w:type="continuationSeparator" w:id="0">
    <w:p w:rsidR="00AB6757" w:rsidRDefault="00AB6757" w:rsidP="009622BF">
      <w:pPr>
        <w:bidi/>
      </w:pPr>
      <w:r>
        <w:separator/>
      </w:r>
    </w:p>
  </w:footnote>
  <w:footnote w:id="1">
    <w:p w:rsidR="00827937" w:rsidRPr="00B63FD3" w:rsidRDefault="00827937" w:rsidP="000F244A">
      <w:pPr>
        <w:pStyle w:val="FootnoteText"/>
        <w:rPr>
          <w:rtl/>
          <w:lang w:bidi="ar-EG"/>
        </w:rPr>
      </w:pPr>
      <w:r w:rsidRPr="00B63FD3">
        <w:rPr>
          <w:rStyle w:val="FootnoteReference"/>
        </w:rPr>
        <w:footnoteRef/>
      </w:r>
      <w:r w:rsidRPr="00B63FD3">
        <w:rPr>
          <w:rFonts w:hint="cs"/>
          <w:rtl/>
          <w:lang w:bidi="ar-EG"/>
        </w:rPr>
        <w:tab/>
      </w:r>
      <w:hyperlink r:id="rId1" w:history="1">
        <w:r w:rsidR="00B63FD3" w:rsidRPr="00981029">
          <w:rPr>
            <w:rStyle w:val="Hyperlink"/>
            <w:spacing w:val="2"/>
            <w:w w:val="107"/>
            <w:u w:val="none"/>
          </w:rPr>
          <w:t>http://ww</w:t>
        </w:r>
        <w:r w:rsidR="00B63FD3" w:rsidRPr="00981029">
          <w:rPr>
            <w:rStyle w:val="Hyperlink"/>
            <w:spacing w:val="-7"/>
            <w:w w:val="107"/>
            <w:u w:val="none"/>
          </w:rPr>
          <w:t>w</w:t>
        </w:r>
        <w:r w:rsidR="00B63FD3" w:rsidRPr="00981029">
          <w:rPr>
            <w:rStyle w:val="Hyperlink"/>
            <w:spacing w:val="2"/>
            <w:w w:val="101"/>
            <w:u w:val="none"/>
          </w:rPr>
          <w:t>.legislation.go</w:t>
        </w:r>
        <w:r w:rsidR="00B63FD3" w:rsidRPr="00981029">
          <w:rPr>
            <w:rStyle w:val="Hyperlink"/>
            <w:spacing w:val="-10"/>
            <w:w w:val="101"/>
            <w:u w:val="none"/>
          </w:rPr>
          <w:t>v</w:t>
        </w:r>
        <w:r w:rsidR="00B63FD3" w:rsidRPr="00981029">
          <w:rPr>
            <w:rStyle w:val="Hyperlink"/>
            <w:spacing w:val="2"/>
            <w:w w:val="103"/>
            <w:u w:val="none"/>
          </w:rPr>
          <w:t>.uk/ukpga/2013/24/contents</w:t>
        </w:r>
      </w:hyperlink>
      <w:r w:rsidR="00981029">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103C4D" w:rsidRDefault="007828FF" w:rsidP="00103C4D">
    <w:pPr>
      <w:rPr>
        <w:szCs w:val="22"/>
      </w:rPr>
    </w:pPr>
    <w:r w:rsidRPr="00103C4D">
      <w:rPr>
        <w:szCs w:val="22"/>
      </w:rPr>
      <w:t>CWS</w:t>
    </w:r>
    <w:r w:rsidR="002F77FC" w:rsidRPr="00103C4D">
      <w:rPr>
        <w:szCs w:val="22"/>
      </w:rPr>
      <w:t>/</w:t>
    </w:r>
    <w:r w:rsidR="008D5779" w:rsidRPr="00103C4D">
      <w:rPr>
        <w:szCs w:val="22"/>
      </w:rPr>
      <w:t>4</w:t>
    </w:r>
    <w:r w:rsidR="002F77FC" w:rsidRPr="00103C4D">
      <w:rPr>
        <w:szCs w:val="22"/>
      </w:rPr>
      <w:t>/</w:t>
    </w:r>
    <w:r w:rsidR="00103C4D" w:rsidRPr="00103C4D">
      <w:rPr>
        <w:rFonts w:hint="cs"/>
        <w:szCs w:val="22"/>
        <w:rtl/>
      </w:rPr>
      <w:t>3</w:t>
    </w:r>
  </w:p>
  <w:p w:rsidR="002D4530" w:rsidRDefault="002D4530" w:rsidP="002D4530">
    <w:r>
      <w:t>Annex II</w:t>
    </w:r>
  </w:p>
  <w:p w:rsidR="002F77FC" w:rsidRDefault="00DD10B6" w:rsidP="00D61541">
    <w:r>
      <w:fldChar w:fldCharType="begin"/>
    </w:r>
    <w:r w:rsidR="002F77FC">
      <w:instrText xml:space="preserve"> PAGE  \* MERGEFORMAT </w:instrText>
    </w:r>
    <w:r>
      <w:fldChar w:fldCharType="separate"/>
    </w:r>
    <w:r w:rsidR="001E0D02">
      <w:rPr>
        <w:noProof/>
      </w:rPr>
      <w:t>6</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A1" w:rsidRDefault="005569A1" w:rsidP="00103C4D">
    <w:pPr>
      <w:pStyle w:val="Header"/>
    </w:pPr>
    <w:r>
      <w:t>CWS/4/</w:t>
    </w:r>
    <w:r w:rsidR="00103C4D">
      <w:t>3</w:t>
    </w:r>
  </w:p>
  <w:p w:rsidR="005569A1" w:rsidRDefault="005569A1" w:rsidP="00C036DC">
    <w:pPr>
      <w:pStyle w:val="Header"/>
    </w:pPr>
    <w:r>
      <w:t xml:space="preserve">ANNEX </w:t>
    </w:r>
  </w:p>
  <w:p w:rsidR="005569A1" w:rsidRPr="005569A1" w:rsidRDefault="005569A1" w:rsidP="00C036DC">
    <w:pPr>
      <w:pStyle w:val="Header"/>
      <w:bidi/>
      <w:jc w:val="right"/>
      <w:rPr>
        <w:rFonts w:ascii="Arabic Typesetting" w:hAnsi="Arabic Typesetting" w:cs="Arabic Typesetting"/>
        <w:sz w:val="38"/>
        <w:szCs w:val="36"/>
        <w:rtl/>
      </w:rPr>
    </w:pPr>
    <w:r w:rsidRPr="005569A1">
      <w:rPr>
        <w:rFonts w:ascii="Arabic Typesetting" w:hAnsi="Arabic Typesetting" w:cs="Arabic Typesetting"/>
        <w:sz w:val="38"/>
        <w:szCs w:val="36"/>
        <w:rtl/>
      </w:rPr>
      <w:t xml:space="preserve">المرفق </w:t>
    </w:r>
  </w:p>
  <w:p w:rsidR="005569A1" w:rsidRDefault="005569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1E" w:rsidRPr="00103C4D" w:rsidRDefault="0066451E" w:rsidP="00103C4D">
    <w:pPr>
      <w:rPr>
        <w:szCs w:val="22"/>
      </w:rPr>
    </w:pPr>
    <w:r w:rsidRPr="00103C4D">
      <w:rPr>
        <w:szCs w:val="22"/>
      </w:rPr>
      <w:t>CWS/4/</w:t>
    </w:r>
    <w:r w:rsidRPr="00103C4D">
      <w:rPr>
        <w:rFonts w:hint="cs"/>
        <w:szCs w:val="22"/>
        <w:rtl/>
      </w:rPr>
      <w:t>3</w:t>
    </w:r>
  </w:p>
  <w:p w:rsidR="0066451E" w:rsidRDefault="0066451E" w:rsidP="0066451E">
    <w:r>
      <w:t>Annex, Appendix 1</w:t>
    </w:r>
  </w:p>
  <w:p w:rsidR="0066451E" w:rsidRDefault="0066451E" w:rsidP="00D61541">
    <w:r>
      <w:fldChar w:fldCharType="begin"/>
    </w:r>
    <w:r>
      <w:instrText xml:space="preserve"> PAGE  \* MERGEFORMAT </w:instrText>
    </w:r>
    <w:r>
      <w:fldChar w:fldCharType="separate"/>
    </w:r>
    <w:r w:rsidR="00392AA8">
      <w:rPr>
        <w:noProof/>
      </w:rPr>
      <w:t>7</w:t>
    </w:r>
    <w:r>
      <w:fldChar w:fldCharType="end"/>
    </w:r>
  </w:p>
  <w:p w:rsidR="0066451E" w:rsidRDefault="0066451E"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1E" w:rsidRDefault="0066451E" w:rsidP="00103C4D">
    <w:pPr>
      <w:pStyle w:val="Header"/>
    </w:pPr>
    <w:r>
      <w:t>CWS/4/3</w:t>
    </w:r>
  </w:p>
  <w:p w:rsidR="0066451E" w:rsidRDefault="0066451E" w:rsidP="00C036DC">
    <w:pPr>
      <w:pStyle w:val="Header"/>
    </w:pPr>
    <w:r>
      <w:t xml:space="preserve">ANNEX, APPENDIX 1 </w:t>
    </w:r>
  </w:p>
  <w:p w:rsidR="0066451E" w:rsidRPr="005569A1" w:rsidRDefault="0066451E" w:rsidP="0066451E">
    <w:pPr>
      <w:pStyle w:val="Header"/>
      <w:bidi/>
      <w:jc w:val="right"/>
      <w:rPr>
        <w:rFonts w:ascii="Arabic Typesetting" w:hAnsi="Arabic Typesetting" w:cs="Arabic Typesetting"/>
        <w:sz w:val="38"/>
        <w:szCs w:val="36"/>
        <w:rtl/>
      </w:rPr>
    </w:pPr>
    <w:r w:rsidRPr="005569A1">
      <w:rPr>
        <w:rFonts w:ascii="Arabic Typesetting" w:hAnsi="Arabic Typesetting" w:cs="Arabic Typesetting"/>
        <w:sz w:val="38"/>
        <w:szCs w:val="36"/>
        <w:rtl/>
      </w:rPr>
      <w:t>المرفق</w:t>
    </w:r>
    <w:r>
      <w:rPr>
        <w:rFonts w:ascii="Arabic Typesetting" w:hAnsi="Arabic Typesetting" w:cs="Arabic Typesetting" w:hint="cs"/>
        <w:sz w:val="38"/>
        <w:szCs w:val="36"/>
        <w:rtl/>
      </w:rPr>
      <w:t>، الملحق الأول</w:t>
    </w:r>
  </w:p>
  <w:p w:rsidR="0066451E" w:rsidRDefault="006645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00" w:rsidRPr="00B85700" w:rsidRDefault="00B85700" w:rsidP="00103C4D">
    <w:pPr>
      <w:rPr>
        <w:szCs w:val="22"/>
      </w:rPr>
    </w:pPr>
    <w:r w:rsidRPr="00B85700">
      <w:rPr>
        <w:szCs w:val="22"/>
      </w:rPr>
      <w:t>CWS/4/</w:t>
    </w:r>
    <w:r w:rsidRPr="00B85700">
      <w:rPr>
        <w:rFonts w:hint="cs"/>
        <w:szCs w:val="22"/>
        <w:rtl/>
      </w:rPr>
      <w:t>3</w:t>
    </w:r>
  </w:p>
  <w:p w:rsidR="00B85700" w:rsidRPr="00B85700" w:rsidRDefault="00B85700" w:rsidP="00B85700">
    <w:pPr>
      <w:rPr>
        <w:szCs w:val="22"/>
      </w:rPr>
    </w:pPr>
    <w:r w:rsidRPr="00B85700">
      <w:rPr>
        <w:szCs w:val="22"/>
      </w:rPr>
      <w:t xml:space="preserve">Annex, Appendix </w:t>
    </w:r>
    <w:r w:rsidRPr="00B85700">
      <w:rPr>
        <w:rFonts w:hint="cs"/>
        <w:szCs w:val="22"/>
        <w:rtl/>
      </w:rPr>
      <w:t>2</w:t>
    </w:r>
  </w:p>
  <w:p w:rsidR="00B85700" w:rsidRPr="00B85700" w:rsidRDefault="00B85700" w:rsidP="00D61541">
    <w:pPr>
      <w:rPr>
        <w:szCs w:val="22"/>
      </w:rPr>
    </w:pPr>
  </w:p>
  <w:p w:rsidR="00B85700" w:rsidRDefault="00B85700"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1E" w:rsidRPr="0066451E" w:rsidRDefault="0066451E" w:rsidP="00103C4D">
    <w:pPr>
      <w:pStyle w:val="Header"/>
      <w:rPr>
        <w:szCs w:val="22"/>
      </w:rPr>
    </w:pPr>
    <w:r w:rsidRPr="0066451E">
      <w:rPr>
        <w:szCs w:val="22"/>
      </w:rPr>
      <w:t>CWS/4/3</w:t>
    </w:r>
  </w:p>
  <w:p w:rsidR="0066451E" w:rsidRPr="0066451E" w:rsidRDefault="0066451E" w:rsidP="0066451E">
    <w:pPr>
      <w:pStyle w:val="Header"/>
      <w:rPr>
        <w:szCs w:val="22"/>
      </w:rPr>
    </w:pPr>
    <w:r w:rsidRPr="0066451E">
      <w:rPr>
        <w:szCs w:val="22"/>
      </w:rPr>
      <w:t xml:space="preserve">ANNEX, APPENDIX </w:t>
    </w:r>
    <w:r w:rsidRPr="0066451E">
      <w:rPr>
        <w:rFonts w:hint="cs"/>
        <w:szCs w:val="22"/>
        <w:rtl/>
      </w:rPr>
      <w:t>2</w:t>
    </w:r>
    <w:r w:rsidRPr="0066451E">
      <w:rPr>
        <w:szCs w:val="22"/>
      </w:rPr>
      <w:t xml:space="preserve"> </w:t>
    </w:r>
  </w:p>
  <w:p w:rsidR="0066451E" w:rsidRPr="005569A1" w:rsidRDefault="0066451E" w:rsidP="0066451E">
    <w:pPr>
      <w:pStyle w:val="Header"/>
      <w:bidi/>
      <w:jc w:val="right"/>
      <w:rPr>
        <w:rFonts w:ascii="Arabic Typesetting" w:hAnsi="Arabic Typesetting" w:cs="Arabic Typesetting"/>
        <w:sz w:val="38"/>
        <w:szCs w:val="36"/>
        <w:rtl/>
      </w:rPr>
    </w:pPr>
    <w:r w:rsidRPr="005569A1">
      <w:rPr>
        <w:rFonts w:ascii="Arabic Typesetting" w:hAnsi="Arabic Typesetting" w:cs="Arabic Typesetting"/>
        <w:sz w:val="38"/>
        <w:szCs w:val="36"/>
        <w:rtl/>
      </w:rPr>
      <w:t>المرفق</w:t>
    </w:r>
    <w:r>
      <w:rPr>
        <w:rFonts w:ascii="Arabic Typesetting" w:hAnsi="Arabic Typesetting" w:cs="Arabic Typesetting" w:hint="cs"/>
        <w:sz w:val="38"/>
        <w:szCs w:val="36"/>
        <w:rtl/>
      </w:rPr>
      <w:t>، الملحق الثاني</w:t>
    </w:r>
  </w:p>
  <w:p w:rsidR="0066451E" w:rsidRDefault="006645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00" w:rsidRPr="0066451E" w:rsidRDefault="00B85700" w:rsidP="00103C4D">
    <w:pPr>
      <w:pStyle w:val="Header"/>
      <w:rPr>
        <w:szCs w:val="22"/>
      </w:rPr>
    </w:pPr>
    <w:r w:rsidRPr="0066451E">
      <w:rPr>
        <w:szCs w:val="22"/>
      </w:rPr>
      <w:t>CWS/4/3</w:t>
    </w:r>
  </w:p>
  <w:p w:rsidR="00B85700" w:rsidRPr="0066451E" w:rsidRDefault="00B85700" w:rsidP="00B85700">
    <w:pPr>
      <w:pStyle w:val="Header"/>
      <w:rPr>
        <w:szCs w:val="22"/>
      </w:rPr>
    </w:pPr>
    <w:r w:rsidRPr="0066451E">
      <w:rPr>
        <w:szCs w:val="22"/>
      </w:rPr>
      <w:t xml:space="preserve">ANNEX, APPENDIX </w:t>
    </w:r>
    <w:r>
      <w:rPr>
        <w:rFonts w:hint="cs"/>
        <w:szCs w:val="22"/>
        <w:rtl/>
      </w:rPr>
      <w:t>3</w:t>
    </w:r>
    <w:r w:rsidRPr="0066451E">
      <w:rPr>
        <w:szCs w:val="22"/>
      </w:rPr>
      <w:t xml:space="preserve"> </w:t>
    </w:r>
  </w:p>
  <w:p w:rsidR="00B85700" w:rsidRPr="005569A1" w:rsidRDefault="00B85700" w:rsidP="0066451E">
    <w:pPr>
      <w:pStyle w:val="Header"/>
      <w:bidi/>
      <w:jc w:val="right"/>
      <w:rPr>
        <w:rFonts w:ascii="Arabic Typesetting" w:hAnsi="Arabic Typesetting" w:cs="Arabic Typesetting"/>
        <w:sz w:val="38"/>
        <w:szCs w:val="36"/>
        <w:rtl/>
      </w:rPr>
    </w:pPr>
    <w:r w:rsidRPr="005569A1">
      <w:rPr>
        <w:rFonts w:ascii="Arabic Typesetting" w:hAnsi="Arabic Typesetting" w:cs="Arabic Typesetting"/>
        <w:sz w:val="38"/>
        <w:szCs w:val="36"/>
        <w:rtl/>
      </w:rPr>
      <w:t>المرفق</w:t>
    </w:r>
    <w:r>
      <w:rPr>
        <w:rFonts w:ascii="Arabic Typesetting" w:hAnsi="Arabic Typesetting" w:cs="Arabic Typesetting" w:hint="cs"/>
        <w:sz w:val="38"/>
        <w:szCs w:val="36"/>
        <w:rtl/>
      </w:rPr>
      <w:t>، الملحق الثالث</w:t>
    </w:r>
  </w:p>
  <w:p w:rsidR="00B85700" w:rsidRDefault="00B85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4C86772"/>
    <w:multiLevelType w:val="hybridMultilevel"/>
    <w:tmpl w:val="AFAC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DF863FF"/>
    <w:multiLevelType w:val="hybridMultilevel"/>
    <w:tmpl w:val="806C529C"/>
    <w:lvl w:ilvl="0" w:tplc="8F44A25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204563"/>
    <w:multiLevelType w:val="hybridMultilevel"/>
    <w:tmpl w:val="BB1A826E"/>
    <w:lvl w:ilvl="0" w:tplc="1F7C6338">
      <w:start w:val="1"/>
      <w:numFmt w:val="arabicAlpha"/>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36B459BA"/>
    <w:multiLevelType w:val="hybridMultilevel"/>
    <w:tmpl w:val="E236DB26"/>
    <w:lvl w:ilvl="0" w:tplc="FEE8B1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81409A"/>
    <w:multiLevelType w:val="hybridMultilevel"/>
    <w:tmpl w:val="064E1B9E"/>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47A47B7"/>
    <w:multiLevelType w:val="hybridMultilevel"/>
    <w:tmpl w:val="BD0880E4"/>
    <w:lvl w:ilvl="0" w:tplc="0C44EFCA">
      <w:start w:val="1"/>
      <w:numFmt w:val="arabicAbjad"/>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E7A9D"/>
    <w:multiLevelType w:val="hybridMultilevel"/>
    <w:tmpl w:val="B00C34CA"/>
    <w:lvl w:ilvl="0" w:tplc="60424AD8">
      <w:start w:val="1"/>
      <w:numFmt w:val="arabicAbjad"/>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2C6515"/>
    <w:multiLevelType w:val="hybridMultilevel"/>
    <w:tmpl w:val="EE62B858"/>
    <w:lvl w:ilvl="0" w:tplc="7F58B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1D918BE"/>
    <w:multiLevelType w:val="hybridMultilevel"/>
    <w:tmpl w:val="19EA9DFA"/>
    <w:lvl w:ilvl="0" w:tplc="1CBA7FB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E93AB1"/>
    <w:multiLevelType w:val="hybridMultilevel"/>
    <w:tmpl w:val="3CAAB26C"/>
    <w:lvl w:ilvl="0" w:tplc="839C5F5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6FE61C15"/>
    <w:multiLevelType w:val="hybridMultilevel"/>
    <w:tmpl w:val="1FA0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9"/>
  </w:num>
  <w:num w:numId="3">
    <w:abstractNumId w:val="11"/>
  </w:num>
  <w:num w:numId="4">
    <w:abstractNumId w:val="27"/>
  </w:num>
  <w:num w:numId="5">
    <w:abstractNumId w:val="8"/>
  </w:num>
  <w:num w:numId="6">
    <w:abstractNumId w:val="29"/>
  </w:num>
  <w:num w:numId="7">
    <w:abstractNumId w:val="15"/>
  </w:num>
  <w:num w:numId="8">
    <w:abstractNumId w:val="25"/>
  </w:num>
  <w:num w:numId="9">
    <w:abstractNumId w:val="23"/>
  </w:num>
  <w:num w:numId="10">
    <w:abstractNumId w:val="30"/>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10"/>
  </w:num>
  <w:num w:numId="23">
    <w:abstractNumId w:val="28"/>
  </w:num>
  <w:num w:numId="24">
    <w:abstractNumId w:val="17"/>
  </w:num>
  <w:num w:numId="25">
    <w:abstractNumId w:val="24"/>
  </w:num>
  <w:num w:numId="26">
    <w:abstractNumId w:val="26"/>
  </w:num>
  <w:num w:numId="27">
    <w:abstractNumId w:val="22"/>
  </w:num>
  <w:num w:numId="28">
    <w:abstractNumId w:val="13"/>
  </w:num>
  <w:num w:numId="29">
    <w:abstractNumId w:val="18"/>
  </w:num>
  <w:num w:numId="30">
    <w:abstractNumId w:val="20"/>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CE"/>
    <w:rsid w:val="00002CBE"/>
    <w:rsid w:val="00003232"/>
    <w:rsid w:val="000033DA"/>
    <w:rsid w:val="0000579F"/>
    <w:rsid w:val="000074D1"/>
    <w:rsid w:val="000076BD"/>
    <w:rsid w:val="00007942"/>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0FA"/>
    <w:rsid w:val="00063C91"/>
    <w:rsid w:val="000640E7"/>
    <w:rsid w:val="00064486"/>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060"/>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B35"/>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244A"/>
    <w:rsid w:val="000F30D5"/>
    <w:rsid w:val="000F33C5"/>
    <w:rsid w:val="000F3ACF"/>
    <w:rsid w:val="000F49FA"/>
    <w:rsid w:val="000F58C4"/>
    <w:rsid w:val="000F5E56"/>
    <w:rsid w:val="000F70F9"/>
    <w:rsid w:val="001007AB"/>
    <w:rsid w:val="00100F97"/>
    <w:rsid w:val="001012E0"/>
    <w:rsid w:val="001016F2"/>
    <w:rsid w:val="001024C1"/>
    <w:rsid w:val="0010385D"/>
    <w:rsid w:val="00103C4D"/>
    <w:rsid w:val="001042E0"/>
    <w:rsid w:val="00104C51"/>
    <w:rsid w:val="0010597B"/>
    <w:rsid w:val="0010718D"/>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EA1"/>
    <w:rsid w:val="00121FE6"/>
    <w:rsid w:val="00123F16"/>
    <w:rsid w:val="0012405D"/>
    <w:rsid w:val="001252B1"/>
    <w:rsid w:val="00125622"/>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D02"/>
    <w:rsid w:val="001E1043"/>
    <w:rsid w:val="001E10E1"/>
    <w:rsid w:val="001E175F"/>
    <w:rsid w:val="001E19F7"/>
    <w:rsid w:val="001E2669"/>
    <w:rsid w:val="001E3BA8"/>
    <w:rsid w:val="001E3FB9"/>
    <w:rsid w:val="001E4083"/>
    <w:rsid w:val="001E5588"/>
    <w:rsid w:val="001E56CB"/>
    <w:rsid w:val="001E56FC"/>
    <w:rsid w:val="001E582D"/>
    <w:rsid w:val="001E61CE"/>
    <w:rsid w:val="001E6318"/>
    <w:rsid w:val="001F0AD5"/>
    <w:rsid w:val="001F0C0A"/>
    <w:rsid w:val="001F1509"/>
    <w:rsid w:val="001F1761"/>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E8F"/>
    <w:rsid w:val="00213213"/>
    <w:rsid w:val="0021457F"/>
    <w:rsid w:val="0021505D"/>
    <w:rsid w:val="0021604B"/>
    <w:rsid w:val="00216545"/>
    <w:rsid w:val="00220227"/>
    <w:rsid w:val="0022176B"/>
    <w:rsid w:val="00222404"/>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49F6"/>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53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2F7B31"/>
    <w:rsid w:val="003004A6"/>
    <w:rsid w:val="0030102B"/>
    <w:rsid w:val="0030129C"/>
    <w:rsid w:val="003013E2"/>
    <w:rsid w:val="00301FE4"/>
    <w:rsid w:val="00303E3A"/>
    <w:rsid w:val="00305417"/>
    <w:rsid w:val="003054D1"/>
    <w:rsid w:val="00306127"/>
    <w:rsid w:val="0030641B"/>
    <w:rsid w:val="003067C8"/>
    <w:rsid w:val="00311453"/>
    <w:rsid w:val="003114C9"/>
    <w:rsid w:val="0031229D"/>
    <w:rsid w:val="00314E12"/>
    <w:rsid w:val="003156E3"/>
    <w:rsid w:val="003166A5"/>
    <w:rsid w:val="00316C8C"/>
    <w:rsid w:val="00317344"/>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2AA8"/>
    <w:rsid w:val="00393A79"/>
    <w:rsid w:val="0039419C"/>
    <w:rsid w:val="00395987"/>
    <w:rsid w:val="00396375"/>
    <w:rsid w:val="00396801"/>
    <w:rsid w:val="00396E82"/>
    <w:rsid w:val="003A07FF"/>
    <w:rsid w:val="003A120A"/>
    <w:rsid w:val="003A146E"/>
    <w:rsid w:val="003A26CD"/>
    <w:rsid w:val="003A37F7"/>
    <w:rsid w:val="003A54E9"/>
    <w:rsid w:val="003A5E7C"/>
    <w:rsid w:val="003A78C7"/>
    <w:rsid w:val="003A7E9A"/>
    <w:rsid w:val="003B15FE"/>
    <w:rsid w:val="003B1C41"/>
    <w:rsid w:val="003B269D"/>
    <w:rsid w:val="003B46AD"/>
    <w:rsid w:val="003B5C96"/>
    <w:rsid w:val="003B65FB"/>
    <w:rsid w:val="003B6A26"/>
    <w:rsid w:val="003C218D"/>
    <w:rsid w:val="003C3D89"/>
    <w:rsid w:val="003C3EE2"/>
    <w:rsid w:val="003C4224"/>
    <w:rsid w:val="003C426D"/>
    <w:rsid w:val="003C4877"/>
    <w:rsid w:val="003C4B42"/>
    <w:rsid w:val="003C4E91"/>
    <w:rsid w:val="003C6D04"/>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05"/>
    <w:rsid w:val="00403C4F"/>
    <w:rsid w:val="004058B4"/>
    <w:rsid w:val="00405C45"/>
    <w:rsid w:val="004062EF"/>
    <w:rsid w:val="004062F0"/>
    <w:rsid w:val="00406CB5"/>
    <w:rsid w:val="00410B8F"/>
    <w:rsid w:val="00412057"/>
    <w:rsid w:val="004126C1"/>
    <w:rsid w:val="00413BA5"/>
    <w:rsid w:val="00413FA6"/>
    <w:rsid w:val="00414FD0"/>
    <w:rsid w:val="00417E93"/>
    <w:rsid w:val="004205ED"/>
    <w:rsid w:val="004226C5"/>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143"/>
    <w:rsid w:val="00456409"/>
    <w:rsid w:val="004569C6"/>
    <w:rsid w:val="00456ADC"/>
    <w:rsid w:val="0045768F"/>
    <w:rsid w:val="00457769"/>
    <w:rsid w:val="004627AE"/>
    <w:rsid w:val="0046298E"/>
    <w:rsid w:val="004647BB"/>
    <w:rsid w:val="0046482B"/>
    <w:rsid w:val="004648E0"/>
    <w:rsid w:val="00465BAF"/>
    <w:rsid w:val="00472043"/>
    <w:rsid w:val="00472F56"/>
    <w:rsid w:val="0047335E"/>
    <w:rsid w:val="00473CA1"/>
    <w:rsid w:val="0047572C"/>
    <w:rsid w:val="00476407"/>
    <w:rsid w:val="00476554"/>
    <w:rsid w:val="004773F7"/>
    <w:rsid w:val="00481F5F"/>
    <w:rsid w:val="004821D0"/>
    <w:rsid w:val="00482CB2"/>
    <w:rsid w:val="00483D06"/>
    <w:rsid w:val="00485723"/>
    <w:rsid w:val="00485A4A"/>
    <w:rsid w:val="00485CF7"/>
    <w:rsid w:val="004862C2"/>
    <w:rsid w:val="004863F7"/>
    <w:rsid w:val="004867B6"/>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4F9"/>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95D"/>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FA1"/>
    <w:rsid w:val="005409EB"/>
    <w:rsid w:val="00540F30"/>
    <w:rsid w:val="00541DD2"/>
    <w:rsid w:val="00543A63"/>
    <w:rsid w:val="00543AB5"/>
    <w:rsid w:val="005457CF"/>
    <w:rsid w:val="00545976"/>
    <w:rsid w:val="0054660F"/>
    <w:rsid w:val="00547628"/>
    <w:rsid w:val="00550FB4"/>
    <w:rsid w:val="005533C3"/>
    <w:rsid w:val="005536E6"/>
    <w:rsid w:val="00553AC3"/>
    <w:rsid w:val="00553DBA"/>
    <w:rsid w:val="00554335"/>
    <w:rsid w:val="00555631"/>
    <w:rsid w:val="0055621D"/>
    <w:rsid w:val="005569A1"/>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0B2"/>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7C5"/>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ABD"/>
    <w:rsid w:val="00662EDE"/>
    <w:rsid w:val="0066451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8CD"/>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49D8"/>
    <w:rsid w:val="006B5041"/>
    <w:rsid w:val="006B643D"/>
    <w:rsid w:val="006B79A4"/>
    <w:rsid w:val="006C1254"/>
    <w:rsid w:val="006C2DC5"/>
    <w:rsid w:val="006C480B"/>
    <w:rsid w:val="006C570B"/>
    <w:rsid w:val="006C572E"/>
    <w:rsid w:val="006C5997"/>
    <w:rsid w:val="006C5CD2"/>
    <w:rsid w:val="006C79B1"/>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265"/>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77D4B"/>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66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937"/>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2AC3"/>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3FE4"/>
    <w:rsid w:val="008A47FB"/>
    <w:rsid w:val="008A5234"/>
    <w:rsid w:val="008A5397"/>
    <w:rsid w:val="008A640F"/>
    <w:rsid w:val="008A6861"/>
    <w:rsid w:val="008A7522"/>
    <w:rsid w:val="008A7B55"/>
    <w:rsid w:val="008B00FC"/>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56B"/>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029"/>
    <w:rsid w:val="0098137B"/>
    <w:rsid w:val="00983CEA"/>
    <w:rsid w:val="00984198"/>
    <w:rsid w:val="00984E04"/>
    <w:rsid w:val="00986194"/>
    <w:rsid w:val="009861D2"/>
    <w:rsid w:val="00986E53"/>
    <w:rsid w:val="00987CE5"/>
    <w:rsid w:val="00993CF0"/>
    <w:rsid w:val="0099428D"/>
    <w:rsid w:val="009949A7"/>
    <w:rsid w:val="00995274"/>
    <w:rsid w:val="00995CDC"/>
    <w:rsid w:val="009975CA"/>
    <w:rsid w:val="009A0BEB"/>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DDA"/>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D66"/>
    <w:rsid w:val="00A72E48"/>
    <w:rsid w:val="00A7359C"/>
    <w:rsid w:val="00A73616"/>
    <w:rsid w:val="00A76648"/>
    <w:rsid w:val="00A76DF7"/>
    <w:rsid w:val="00A77523"/>
    <w:rsid w:val="00A81D5F"/>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757"/>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1D26"/>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1B7A"/>
    <w:rsid w:val="00B52081"/>
    <w:rsid w:val="00B52695"/>
    <w:rsid w:val="00B545AF"/>
    <w:rsid w:val="00B55B09"/>
    <w:rsid w:val="00B56711"/>
    <w:rsid w:val="00B57EF2"/>
    <w:rsid w:val="00B604F3"/>
    <w:rsid w:val="00B6101C"/>
    <w:rsid w:val="00B615ED"/>
    <w:rsid w:val="00B63A9D"/>
    <w:rsid w:val="00B63FD3"/>
    <w:rsid w:val="00B64888"/>
    <w:rsid w:val="00B672E3"/>
    <w:rsid w:val="00B675F9"/>
    <w:rsid w:val="00B70849"/>
    <w:rsid w:val="00B72C1C"/>
    <w:rsid w:val="00B73AF1"/>
    <w:rsid w:val="00B73BB7"/>
    <w:rsid w:val="00B751C3"/>
    <w:rsid w:val="00B76C0D"/>
    <w:rsid w:val="00B77D0D"/>
    <w:rsid w:val="00B80817"/>
    <w:rsid w:val="00B827E6"/>
    <w:rsid w:val="00B82A28"/>
    <w:rsid w:val="00B82B8D"/>
    <w:rsid w:val="00B82C97"/>
    <w:rsid w:val="00B851D5"/>
    <w:rsid w:val="00B85700"/>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48B"/>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6DC"/>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15E"/>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89E"/>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56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4E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0B6"/>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56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96E"/>
    <w:rsid w:val="00E30A8A"/>
    <w:rsid w:val="00E31BC7"/>
    <w:rsid w:val="00E31E7F"/>
    <w:rsid w:val="00E32B2A"/>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B4E"/>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99"/>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1B4"/>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3BA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7EA"/>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34E"/>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494"/>
    <w:rsid w:val="00FF3EE6"/>
    <w:rsid w:val="00FF434C"/>
    <w:rsid w:val="00FF510F"/>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5569A1"/>
    <w:rPr>
      <w:rFonts w:ascii="Arial" w:hAnsi="Arial" w:cs="Arial"/>
      <w:sz w:val="22"/>
    </w:rPr>
  </w:style>
  <w:style w:type="character" w:customStyle="1" w:styleId="FootnoteTextChar">
    <w:name w:val="Footnote Text Char"/>
    <w:basedOn w:val="DefaultParagraphFont"/>
    <w:link w:val="FootnoteText"/>
    <w:uiPriority w:val="99"/>
    <w:semiHidden/>
    <w:rsid w:val="00827937"/>
    <w:rPr>
      <w:rFonts w:ascii="Arabic Typesetting" w:hAnsi="Arabic Typesetting" w:cs="Arabic Typesetting"/>
      <w:sz w:val="28"/>
      <w:szCs w:val="28"/>
    </w:rPr>
  </w:style>
  <w:style w:type="character" w:styleId="Hyperlink">
    <w:name w:val="Hyperlink"/>
    <w:rsid w:val="00827937"/>
    <w:rPr>
      <w:color w:val="0000FF"/>
      <w:u w:val="single"/>
    </w:rPr>
  </w:style>
  <w:style w:type="paragraph" w:styleId="ListParagraph">
    <w:name w:val="List Paragraph"/>
    <w:basedOn w:val="Normal"/>
    <w:uiPriority w:val="34"/>
    <w:qFormat/>
    <w:rsid w:val="00E45B4E"/>
    <w:pPr>
      <w:widowControl w:val="0"/>
      <w:spacing w:before="120" w:after="120"/>
      <w:ind w:left="720" w:right="722"/>
      <w:contextualSpacing/>
      <w:jc w:val="both"/>
    </w:pPr>
    <w:rPr>
      <w:rFonts w:eastAsia="Arial"/>
      <w:color w:val="231F20"/>
      <w:spacing w:val="-2"/>
      <w:sz w:val="20"/>
    </w:rPr>
  </w:style>
  <w:style w:type="character" w:styleId="FollowedHyperlink">
    <w:name w:val="FollowedHyperlink"/>
    <w:basedOn w:val="DefaultParagraphFont"/>
    <w:rsid w:val="00B63FD3"/>
    <w:rPr>
      <w:color w:val="800080" w:themeColor="followedHyperlink"/>
      <w:u w:val="single"/>
    </w:rPr>
  </w:style>
  <w:style w:type="paragraph" w:styleId="BalloonText">
    <w:name w:val="Balloon Text"/>
    <w:basedOn w:val="Normal"/>
    <w:link w:val="BalloonTextChar"/>
    <w:rsid w:val="00981029"/>
    <w:rPr>
      <w:rFonts w:ascii="Tahoma" w:hAnsi="Tahoma" w:cs="Tahoma"/>
      <w:sz w:val="16"/>
      <w:szCs w:val="16"/>
    </w:rPr>
  </w:style>
  <w:style w:type="character" w:customStyle="1" w:styleId="BalloonTextChar">
    <w:name w:val="Balloon Text Char"/>
    <w:basedOn w:val="DefaultParagraphFont"/>
    <w:link w:val="BalloonText"/>
    <w:rsid w:val="009810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5569A1"/>
    <w:rPr>
      <w:rFonts w:ascii="Arial" w:hAnsi="Arial" w:cs="Arial"/>
      <w:sz w:val="22"/>
    </w:rPr>
  </w:style>
  <w:style w:type="character" w:customStyle="1" w:styleId="FootnoteTextChar">
    <w:name w:val="Footnote Text Char"/>
    <w:basedOn w:val="DefaultParagraphFont"/>
    <w:link w:val="FootnoteText"/>
    <w:uiPriority w:val="99"/>
    <w:semiHidden/>
    <w:rsid w:val="00827937"/>
    <w:rPr>
      <w:rFonts w:ascii="Arabic Typesetting" w:hAnsi="Arabic Typesetting" w:cs="Arabic Typesetting"/>
      <w:sz w:val="28"/>
      <w:szCs w:val="28"/>
    </w:rPr>
  </w:style>
  <w:style w:type="character" w:styleId="Hyperlink">
    <w:name w:val="Hyperlink"/>
    <w:rsid w:val="00827937"/>
    <w:rPr>
      <w:color w:val="0000FF"/>
      <w:u w:val="single"/>
    </w:rPr>
  </w:style>
  <w:style w:type="paragraph" w:styleId="ListParagraph">
    <w:name w:val="List Paragraph"/>
    <w:basedOn w:val="Normal"/>
    <w:uiPriority w:val="34"/>
    <w:qFormat/>
    <w:rsid w:val="00E45B4E"/>
    <w:pPr>
      <w:widowControl w:val="0"/>
      <w:spacing w:before="120" w:after="120"/>
      <w:ind w:left="720" w:right="722"/>
      <w:contextualSpacing/>
      <w:jc w:val="both"/>
    </w:pPr>
    <w:rPr>
      <w:rFonts w:eastAsia="Arial"/>
      <w:color w:val="231F20"/>
      <w:spacing w:val="-2"/>
      <w:sz w:val="20"/>
    </w:rPr>
  </w:style>
  <w:style w:type="character" w:styleId="FollowedHyperlink">
    <w:name w:val="FollowedHyperlink"/>
    <w:basedOn w:val="DefaultParagraphFont"/>
    <w:rsid w:val="00B63FD3"/>
    <w:rPr>
      <w:color w:val="800080" w:themeColor="followedHyperlink"/>
      <w:u w:val="single"/>
    </w:rPr>
  </w:style>
  <w:style w:type="paragraph" w:styleId="BalloonText">
    <w:name w:val="Balloon Text"/>
    <w:basedOn w:val="Normal"/>
    <w:link w:val="BalloonTextChar"/>
    <w:rsid w:val="00981029"/>
    <w:rPr>
      <w:rFonts w:ascii="Tahoma" w:hAnsi="Tahoma" w:cs="Tahoma"/>
      <w:sz w:val="16"/>
      <w:szCs w:val="16"/>
    </w:rPr>
  </w:style>
  <w:style w:type="character" w:customStyle="1" w:styleId="BalloonTextChar">
    <w:name w:val="Balloon Text Char"/>
    <w:basedOn w:val="DefaultParagraphFont"/>
    <w:link w:val="BalloonText"/>
    <w:rsid w:val="009810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pga/2013/24/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3704</Words>
  <Characters>18479</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CWS/4/3 Annex (in Arabic)</vt:lpstr>
    </vt:vector>
  </TitlesOfParts>
  <Company>WIPO</Company>
  <LinksUpToDate>false</LinksUpToDate>
  <CharactersWithSpaces>22139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CWS/4/3 Annex (in Arabic)</dc:title>
  <dc:subject>اقتراح لتغيير معيار الويبو ST.96 لإدراج حق المؤلف للمصنفات اليتيمة</dc:subject>
  <dc:creator>WIPO</dc:creator>
  <cp:lastModifiedBy>Geraldine Rodriguez</cp:lastModifiedBy>
  <cp:revision>5</cp:revision>
  <cp:lastPrinted>2014-04-09T14:59:00Z</cp:lastPrinted>
  <dcterms:created xsi:type="dcterms:W3CDTF">2014-04-14T07:27:00Z</dcterms:created>
  <dcterms:modified xsi:type="dcterms:W3CDTF">2014-04-22T14:37:00Z</dcterms:modified>
</cp:coreProperties>
</file>