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C5B" w:rsidRDefault="00D53C5B" w:rsidP="00D53C5B">
      <w:pPr>
        <w:pStyle w:val="NormalParaAR"/>
        <w:keepNext/>
        <w:tabs>
          <w:tab w:val="left" w:pos="3645"/>
        </w:tabs>
        <w:spacing w:after="120"/>
        <w:rPr>
          <w:b/>
          <w:bCs/>
          <w:sz w:val="40"/>
          <w:szCs w:val="40"/>
          <w:rtl/>
        </w:rPr>
      </w:pPr>
      <w:bookmarkStart w:id="2" w:name="_GoBack"/>
      <w:r w:rsidRPr="0018049E">
        <w:rPr>
          <w:rFonts w:hint="cs"/>
          <w:b/>
          <w:bCs/>
          <w:sz w:val="40"/>
          <w:szCs w:val="40"/>
          <w:rtl/>
        </w:rPr>
        <w:t>تقرير مرحلي بشأن المهمة رقم</w:t>
      </w:r>
      <w:r w:rsidRPr="0018049E">
        <w:rPr>
          <w:rFonts w:hint="eastAsia"/>
          <w:b/>
          <w:bCs/>
          <w:sz w:val="40"/>
          <w:szCs w:val="40"/>
          <w:rtl/>
        </w:rPr>
        <w:t xml:space="preserve"> 23 </w:t>
      </w:r>
      <w:r>
        <w:rPr>
          <w:rFonts w:hint="cs"/>
          <w:b/>
          <w:bCs/>
          <w:sz w:val="40"/>
          <w:szCs w:val="40"/>
          <w:rtl/>
        </w:rPr>
        <w:t>للجنة المعنية بمعايير الويبو</w:t>
      </w:r>
    </w:p>
    <w:bookmarkEnd w:id="2"/>
    <w:p w:rsidR="00D53C5B" w:rsidRDefault="00D53C5B" w:rsidP="00D53C5B">
      <w:pPr>
        <w:pStyle w:val="NormalParaAR"/>
        <w:tabs>
          <w:tab w:val="left" w:pos="3645"/>
        </w:tabs>
        <w:spacing w:after="960"/>
        <w:rPr>
          <w:i/>
          <w:iCs/>
          <w:rtl/>
        </w:rPr>
      </w:pPr>
      <w:r>
        <w:rPr>
          <w:rFonts w:hint="cs"/>
          <w:i/>
          <w:iCs/>
          <w:rtl/>
        </w:rPr>
        <w:t xml:space="preserve">وثيقة </w:t>
      </w:r>
      <w:r w:rsidRPr="0018049E">
        <w:rPr>
          <w:rFonts w:hint="cs"/>
          <w:i/>
          <w:iCs/>
          <w:rtl/>
        </w:rPr>
        <w:t>من إعداد المكتب الأوروبي للبراءات</w:t>
      </w:r>
      <w:r>
        <w:rPr>
          <w:rFonts w:hint="cs"/>
          <w:i/>
          <w:iCs/>
          <w:rtl/>
        </w:rPr>
        <w:t xml:space="preserve"> (</w:t>
      </w:r>
      <w:r w:rsidRPr="00700DF6">
        <w:rPr>
          <w:i/>
          <w:iCs/>
        </w:rPr>
        <w:t>EPO</w:t>
      </w:r>
      <w:r>
        <w:rPr>
          <w:rFonts w:hint="cs"/>
          <w:i/>
          <w:iCs/>
          <w:rtl/>
        </w:rPr>
        <w:t>)</w:t>
      </w:r>
    </w:p>
    <w:p w:rsidR="00D53C5B" w:rsidRDefault="00D53C5B" w:rsidP="00D53C5B">
      <w:pPr>
        <w:pStyle w:val="NormalParaAR"/>
        <w:keepNext/>
        <w:tabs>
          <w:tab w:val="left" w:pos="3645"/>
        </w:tabs>
        <w:rPr>
          <w:b/>
          <w:bCs/>
          <w:rtl/>
        </w:rPr>
      </w:pPr>
      <w:r w:rsidRPr="00D0072B">
        <w:rPr>
          <w:rFonts w:hint="cs"/>
          <w:rtl/>
        </w:rPr>
        <w:t>المواصفات</w:t>
      </w:r>
    </w:p>
    <w:p w:rsidR="00D53C5B" w:rsidRDefault="00D53C5B" w:rsidP="00D53C5B">
      <w:pPr>
        <w:pStyle w:val="NumberedParaAR"/>
        <w:numPr>
          <w:ilvl w:val="0"/>
          <w:numId w:val="29"/>
        </w:numPr>
      </w:pPr>
      <w:r>
        <w:rPr>
          <w:rFonts w:hint="cs"/>
          <w:rtl/>
        </w:rPr>
        <w:t xml:space="preserve">هذه الوثيقة هي تحديث للتقرير المرحلي المقدم في أبريل 2012. ويعرض التقرير الحالي الوضع في بداية مارس 2014 ويتبع المسارات التي يحددها عنوان المهمة رقم 23 في الدورة الحادية عشرة </w:t>
      </w:r>
      <w:r w:rsidRPr="00A175F9">
        <w:rPr>
          <w:rtl/>
        </w:rPr>
        <w:t>للفريق العامل المعني بالمعايير والوثائق</w:t>
      </w:r>
      <w:r>
        <w:rPr>
          <w:rFonts w:hint="cs"/>
          <w:rtl/>
        </w:rPr>
        <w:t xml:space="preserve"> المنعقدة في الفترة من 26 إلى 30 أكتوبر 2009: "رصد إدراج المعلومات عن</w:t>
      </w:r>
      <w:r w:rsidRPr="00622D0A">
        <w:rPr>
          <w:rtl/>
        </w:rPr>
        <w:t xml:space="preserve"> دخول</w:t>
      </w:r>
      <w:r>
        <w:rPr>
          <w:rFonts w:hint="cs"/>
          <w:rtl/>
        </w:rPr>
        <w:t xml:space="preserve"> </w:t>
      </w:r>
      <w:r w:rsidRPr="00622D0A">
        <w:rPr>
          <w:rtl/>
        </w:rPr>
        <w:t xml:space="preserve">الطلبات الدولية </w:t>
      </w:r>
      <w:r>
        <w:rPr>
          <w:rFonts w:hint="cs"/>
          <w:rtl/>
        </w:rPr>
        <w:t>المنشورة</w:t>
      </w:r>
      <w:r w:rsidRPr="00622D0A">
        <w:rPr>
          <w:rtl/>
        </w:rPr>
        <w:t xml:space="preserve"> بناء على معاهدة التعاون بشأن البراءات </w:t>
      </w:r>
      <w:r>
        <w:rPr>
          <w:rFonts w:hint="cs"/>
          <w:rtl/>
        </w:rPr>
        <w:t xml:space="preserve">وعدم دخولها، حسب الحال، </w:t>
      </w:r>
      <w:r w:rsidRPr="00622D0A">
        <w:rPr>
          <w:rtl/>
        </w:rPr>
        <w:t>في المرحلة الوطنية (الإقليمية)</w:t>
      </w:r>
      <w:r>
        <w:rPr>
          <w:rFonts w:hint="cs"/>
          <w:rtl/>
        </w:rPr>
        <w:t xml:space="preserve"> في قواعد البيانات".</w:t>
      </w:r>
    </w:p>
    <w:p w:rsidR="00D53C5B" w:rsidRDefault="00D53C5B" w:rsidP="00D53C5B">
      <w:pPr>
        <w:pStyle w:val="NormalParaAR"/>
        <w:keepNext/>
        <w:tabs>
          <w:tab w:val="left" w:pos="3645"/>
        </w:tabs>
        <w:spacing w:before="240"/>
        <w:rPr>
          <w:b/>
          <w:bCs/>
          <w:rtl/>
        </w:rPr>
      </w:pPr>
      <w:r w:rsidRPr="00D0072B">
        <w:rPr>
          <w:rFonts w:hint="cs"/>
          <w:rtl/>
        </w:rPr>
        <w:t>التقدم</w:t>
      </w:r>
      <w:r w:rsidRPr="009526DB">
        <w:rPr>
          <w:rFonts w:hint="cs"/>
          <w:b/>
          <w:bCs/>
          <w:rtl/>
        </w:rPr>
        <w:t xml:space="preserve"> </w:t>
      </w:r>
      <w:r w:rsidRPr="00D0072B">
        <w:rPr>
          <w:rFonts w:hint="cs"/>
          <w:rtl/>
        </w:rPr>
        <w:t>المحرز</w:t>
      </w:r>
    </w:p>
    <w:p w:rsidR="00D53C5B" w:rsidRDefault="00D53C5B" w:rsidP="00D53C5B">
      <w:pPr>
        <w:pStyle w:val="NumberedParaAR"/>
      </w:pPr>
      <w:r>
        <w:rPr>
          <w:rFonts w:hint="cs"/>
          <w:rtl/>
        </w:rPr>
        <w:t>تواصلت الجهود الرامية إلى مواكبة تدفق البيانات الواردة من مكاتب البراءات، وكان التعاون مع الويبو، على وجه الخصوص، في هذه المهمة في غاية الأهمية. وفي الوقت الحالي، فمن أصل</w:t>
      </w:r>
      <w:r>
        <w:rPr>
          <w:rFonts w:hint="eastAsia"/>
          <w:rtl/>
        </w:rPr>
        <w:t> 6</w:t>
      </w:r>
      <w:r>
        <w:rPr>
          <w:rFonts w:hint="cs"/>
          <w:rtl/>
        </w:rPr>
        <w:t>2 إدارة من إدارات البراءات التي تساهم في قاعدة بيانات المكتب الأوروبي للبراءات بشأن الوضع القانوني للطلبات تقدم</w:t>
      </w:r>
      <w:r>
        <w:rPr>
          <w:rFonts w:hint="eastAsia"/>
          <w:rtl/>
        </w:rPr>
        <w:t> </w:t>
      </w:r>
      <w:r>
        <w:rPr>
          <w:rFonts w:hint="cs"/>
          <w:rtl/>
        </w:rPr>
        <w:t>42 منها معلومات عن الدخول في المرحلة الوطنية (الإقليمية). وبما أن عددا من الدول الأعضاء في المكتب الأوروبي للبراءات و</w:t>
      </w:r>
      <w:r w:rsidRPr="007D48DE">
        <w:rPr>
          <w:rtl/>
        </w:rPr>
        <w:t>المكتب الأوروبي الآسيوي للبراءات</w:t>
      </w:r>
      <w:r>
        <w:rPr>
          <w:rFonts w:hint="cs"/>
          <w:rtl/>
        </w:rPr>
        <w:t xml:space="preserve"> يسمح بالتعيينات الإقليمية فقط، </w:t>
      </w:r>
      <w:r w:rsidRPr="00E039B6">
        <w:rPr>
          <w:rFonts w:hint="cs"/>
          <w:rtl/>
        </w:rPr>
        <w:t>فإن عدد البلدان المشمولة</w:t>
      </w:r>
      <w:r>
        <w:rPr>
          <w:rFonts w:hint="cs"/>
          <w:rtl/>
        </w:rPr>
        <w:t xml:space="preserve"> يصل إلى 52 بلدا على الأقل، ولكن تظل الاستمراري</w:t>
      </w:r>
      <w:r>
        <w:rPr>
          <w:rFonts w:hint="eastAsia"/>
          <w:rtl/>
        </w:rPr>
        <w:t>ة</w:t>
      </w:r>
      <w:r>
        <w:rPr>
          <w:rFonts w:hint="cs"/>
          <w:rtl/>
        </w:rPr>
        <w:t xml:space="preserve"> والتغطية مصدر قلق.</w:t>
      </w:r>
    </w:p>
    <w:p w:rsidR="00D53C5B" w:rsidRPr="00D0072B" w:rsidRDefault="00D53C5B" w:rsidP="00D53C5B">
      <w:pPr>
        <w:pStyle w:val="NormalParaAR"/>
        <w:keepNext/>
        <w:tabs>
          <w:tab w:val="left" w:pos="3645"/>
        </w:tabs>
        <w:spacing w:before="240"/>
        <w:rPr>
          <w:rtl/>
        </w:rPr>
      </w:pPr>
      <w:r w:rsidRPr="00D0072B">
        <w:rPr>
          <w:rFonts w:hint="cs"/>
          <w:rtl/>
        </w:rPr>
        <w:t>الوضع الراهن</w:t>
      </w:r>
    </w:p>
    <w:p w:rsidR="00D53C5B" w:rsidRDefault="00D53C5B" w:rsidP="00D53C5B">
      <w:pPr>
        <w:pStyle w:val="NumberedParaAR"/>
      </w:pPr>
      <w:r>
        <w:rPr>
          <w:rFonts w:hint="cs"/>
          <w:rtl/>
        </w:rPr>
        <w:t>فيما يخص قاعدة بيانات</w:t>
      </w:r>
      <w:r w:rsidRPr="00E467FF">
        <w:rPr>
          <w:rFonts w:hint="cs"/>
          <w:rtl/>
        </w:rPr>
        <w:t xml:space="preserve"> </w:t>
      </w:r>
      <w:r>
        <w:rPr>
          <w:rFonts w:hint="cs"/>
          <w:rtl/>
        </w:rPr>
        <w:t>المكتب الأوروبي للبراءات بشأن الوضع القانوني،</w:t>
      </w:r>
      <w:r w:rsidRPr="00E467FF">
        <w:rPr>
          <w:rFonts w:hint="cs"/>
          <w:rtl/>
        </w:rPr>
        <w:t xml:space="preserve"> </w:t>
      </w:r>
      <w:r>
        <w:rPr>
          <w:rFonts w:hint="cs"/>
          <w:rtl/>
        </w:rPr>
        <w:t>تُستخدم البيانات الواردة مباشرة من المكاتب الوطنية إضافة إلى المستجدات التي ترسلها الويبو. وفي الوقت الراهن، تنقسم البلدان حسب مصدر البيانات كما</w:t>
      </w:r>
      <w:r>
        <w:rPr>
          <w:rFonts w:hint="eastAsia"/>
          <w:rtl/>
        </w:rPr>
        <w:t> </w:t>
      </w:r>
      <w:r>
        <w:rPr>
          <w:rFonts w:hint="cs"/>
          <w:rtl/>
        </w:rPr>
        <w:t>يلي:</w:t>
      </w:r>
    </w:p>
    <w:p w:rsidR="00D53C5B" w:rsidRDefault="00D53C5B" w:rsidP="00D53C5B">
      <w:pPr>
        <w:pStyle w:val="NumberedParaAR"/>
        <w:numPr>
          <w:ilvl w:val="0"/>
          <w:numId w:val="30"/>
        </w:numPr>
        <w:tabs>
          <w:tab w:val="right" w:pos="5395"/>
        </w:tabs>
        <w:spacing w:after="0"/>
        <w:ind w:hanging="710"/>
        <w:rPr>
          <w:rtl/>
        </w:rPr>
      </w:pPr>
      <w:r>
        <w:rPr>
          <w:rFonts w:hint="cs"/>
          <w:rtl/>
        </w:rPr>
        <w:t>البيانات المقدمة عبر الويبو ومن المكتب الوطني......</w:t>
      </w:r>
      <w:r>
        <w:rPr>
          <w:rFonts w:hint="cs"/>
          <w:rtl/>
        </w:rPr>
        <w:tab/>
        <w:t>10</w:t>
      </w:r>
    </w:p>
    <w:p w:rsidR="00D53C5B" w:rsidRDefault="00D53C5B" w:rsidP="00D53C5B">
      <w:pPr>
        <w:pStyle w:val="NumberedParaAR"/>
        <w:numPr>
          <w:ilvl w:val="0"/>
          <w:numId w:val="30"/>
        </w:numPr>
        <w:tabs>
          <w:tab w:val="right" w:pos="5395"/>
        </w:tabs>
        <w:spacing w:after="0"/>
        <w:ind w:hanging="710"/>
        <w:rPr>
          <w:rtl/>
        </w:rPr>
      </w:pPr>
      <w:r>
        <w:rPr>
          <w:rFonts w:hint="cs"/>
          <w:rtl/>
        </w:rPr>
        <w:t>البيانات المقدمة عبر الويبو فقط..........................</w:t>
      </w:r>
      <w:r>
        <w:rPr>
          <w:rFonts w:hint="cs"/>
          <w:rtl/>
        </w:rPr>
        <w:tab/>
        <w:t>30</w:t>
      </w:r>
    </w:p>
    <w:p w:rsidR="00D53C5B" w:rsidRDefault="00D53C5B" w:rsidP="00D53C5B">
      <w:pPr>
        <w:pStyle w:val="NumberedParaAR"/>
        <w:numPr>
          <w:ilvl w:val="0"/>
          <w:numId w:val="30"/>
        </w:numPr>
        <w:tabs>
          <w:tab w:val="right" w:pos="5395"/>
        </w:tabs>
        <w:ind w:hanging="710"/>
        <w:rPr>
          <w:rtl/>
        </w:rPr>
      </w:pPr>
      <w:r>
        <w:rPr>
          <w:rFonts w:hint="cs"/>
          <w:rtl/>
        </w:rPr>
        <w:t>البيانات المقدمة من المكتب الوطني فقط................</w:t>
      </w:r>
      <w:r>
        <w:rPr>
          <w:rFonts w:hint="cs"/>
          <w:rtl/>
        </w:rPr>
        <w:tab/>
        <w:t>2</w:t>
      </w:r>
    </w:p>
    <w:p w:rsidR="00D53C5B" w:rsidRDefault="00D53C5B" w:rsidP="00D53C5B">
      <w:pPr>
        <w:pStyle w:val="NormalParaAR"/>
        <w:rPr>
          <w:rtl/>
        </w:rPr>
      </w:pPr>
      <w:r>
        <w:rPr>
          <w:rFonts w:hint="cs"/>
          <w:rtl/>
        </w:rPr>
        <w:t>و</w:t>
      </w:r>
      <w:r w:rsidRPr="00783D21">
        <w:rPr>
          <w:rFonts w:hint="cs"/>
          <w:rtl/>
        </w:rPr>
        <w:t xml:space="preserve">يمكن الاطلاع على التفاصيل في الجدول المرفق بهذه الوثيقة والمتعلق بمضمون قاعدة البيانات (انظر </w:t>
      </w:r>
      <w:r>
        <w:rPr>
          <w:rFonts w:hint="cs"/>
          <w:rtl/>
        </w:rPr>
        <w:t>ال</w:t>
      </w:r>
      <w:r w:rsidRPr="00783D21">
        <w:rPr>
          <w:rFonts w:hint="cs"/>
          <w:rtl/>
        </w:rPr>
        <w:t>ملحق</w:t>
      </w:r>
      <w:r>
        <w:rPr>
          <w:rFonts w:hint="cs"/>
          <w:rtl/>
        </w:rPr>
        <w:t>ين 1 و2</w:t>
      </w:r>
      <w:r w:rsidRPr="00783D21">
        <w:rPr>
          <w:rFonts w:hint="cs"/>
          <w:rtl/>
        </w:rPr>
        <w:t xml:space="preserve"> </w:t>
      </w:r>
      <w:r>
        <w:rPr>
          <w:rFonts w:hint="cs"/>
          <w:rtl/>
        </w:rPr>
        <w:t>للمرفق الأول). وبتحليل بيانات الملحق يتبين ما يلي:</w:t>
      </w:r>
    </w:p>
    <w:p w:rsidR="00D53C5B" w:rsidRDefault="00D53C5B" w:rsidP="00D53C5B">
      <w:pPr>
        <w:pStyle w:val="NumberedParaAR"/>
        <w:numPr>
          <w:ilvl w:val="0"/>
          <w:numId w:val="30"/>
        </w:numPr>
        <w:tabs>
          <w:tab w:val="right" w:pos="5395"/>
        </w:tabs>
        <w:spacing w:after="0"/>
        <w:ind w:hanging="710"/>
        <w:rPr>
          <w:rtl/>
        </w:rPr>
      </w:pPr>
      <w:r>
        <w:rPr>
          <w:rFonts w:hint="cs"/>
          <w:rtl/>
        </w:rPr>
        <w:t>يتلقى المكتب الأوروبي للبراءات بيانات منتظمة من 12 إدارة؛</w:t>
      </w:r>
    </w:p>
    <w:p w:rsidR="00D53C5B" w:rsidRDefault="00D53C5B" w:rsidP="00D53C5B">
      <w:pPr>
        <w:pStyle w:val="NumberedParaAR"/>
        <w:numPr>
          <w:ilvl w:val="0"/>
          <w:numId w:val="30"/>
        </w:numPr>
        <w:tabs>
          <w:tab w:val="right" w:pos="5395"/>
        </w:tabs>
        <w:spacing w:after="0"/>
        <w:ind w:hanging="710"/>
        <w:rPr>
          <w:rtl/>
        </w:rPr>
      </w:pPr>
      <w:r>
        <w:rPr>
          <w:rFonts w:hint="cs"/>
          <w:rtl/>
        </w:rPr>
        <w:t>وتوقفت 11 إدارة من تقديم البيانات مباشرة إلى المكتب الأوروبي للبراءات؛</w:t>
      </w:r>
    </w:p>
    <w:p w:rsidR="00D53C5B" w:rsidRDefault="00D53C5B" w:rsidP="00D53C5B">
      <w:pPr>
        <w:pStyle w:val="NumberedParaAR"/>
        <w:numPr>
          <w:ilvl w:val="0"/>
          <w:numId w:val="30"/>
        </w:numPr>
        <w:tabs>
          <w:tab w:val="right" w:pos="5395"/>
        </w:tabs>
        <w:spacing w:after="0"/>
        <w:ind w:hanging="710"/>
      </w:pPr>
      <w:r>
        <w:rPr>
          <w:rFonts w:hint="cs"/>
          <w:rtl/>
        </w:rPr>
        <w:t>ويتلقى المكتب الأوروبي للبراءات من الويبو بيانات</w:t>
      </w:r>
      <w:r w:rsidRPr="003B632D">
        <w:rPr>
          <w:rFonts w:hint="cs"/>
          <w:rtl/>
        </w:rPr>
        <w:t xml:space="preserve"> منتظمة من 10 بيانات وطنية</w:t>
      </w:r>
      <w:r>
        <w:rPr>
          <w:rFonts w:hint="cs"/>
          <w:rtl/>
        </w:rPr>
        <w:t>؛</w:t>
      </w:r>
    </w:p>
    <w:p w:rsidR="00D53C5B" w:rsidRDefault="00D53C5B" w:rsidP="00D53C5B">
      <w:pPr>
        <w:pStyle w:val="NumberedParaAR"/>
        <w:numPr>
          <w:ilvl w:val="0"/>
          <w:numId w:val="30"/>
        </w:numPr>
        <w:tabs>
          <w:tab w:val="right" w:pos="5395"/>
        </w:tabs>
        <w:spacing w:after="0"/>
        <w:ind w:hanging="710"/>
      </w:pPr>
      <w:r>
        <w:rPr>
          <w:rFonts w:hint="cs"/>
          <w:rtl/>
        </w:rPr>
        <w:t>وبيانات 23 بلدا، التي قدمتها الويبو إلى المكتب الأوروبي هي بيانات تعود إلى 6 أشهر على الأقل؛</w:t>
      </w:r>
    </w:p>
    <w:p w:rsidR="00D53C5B" w:rsidRDefault="00D53C5B" w:rsidP="00D53C5B">
      <w:pPr>
        <w:pStyle w:val="NumberedParaAR"/>
        <w:numPr>
          <w:ilvl w:val="0"/>
          <w:numId w:val="30"/>
        </w:numPr>
        <w:tabs>
          <w:tab w:val="right" w:pos="5395"/>
        </w:tabs>
        <w:spacing w:after="0"/>
        <w:ind w:hanging="710"/>
        <w:rPr>
          <w:rtl/>
        </w:rPr>
      </w:pPr>
      <w:r>
        <w:rPr>
          <w:rFonts w:hint="cs"/>
          <w:rtl/>
        </w:rPr>
        <w:t>وفيما يخص 9 إدارات، كانت البيانات الواردة من الويبو قديمة، وفي حالة واحدة اعتبر مكتب البراءات تلك البيانات سرية (وبالتالي، ستتاح بعد النشر الوطني).</w:t>
      </w:r>
    </w:p>
    <w:p w:rsidR="00D53C5B" w:rsidRDefault="00D53C5B" w:rsidP="00D53C5B">
      <w:pPr>
        <w:pStyle w:val="NumberedParaAR"/>
      </w:pPr>
      <w:r>
        <w:rPr>
          <w:rFonts w:hint="cs"/>
          <w:rtl/>
        </w:rPr>
        <w:lastRenderedPageBreak/>
        <w:t xml:space="preserve">وتتبادل الويبو والمكتب الأوروبي </w:t>
      </w:r>
      <w:r w:rsidRPr="0077549B">
        <w:rPr>
          <w:rFonts w:hint="cs"/>
          <w:rtl/>
        </w:rPr>
        <w:t xml:space="preserve">للبراءات </w:t>
      </w:r>
      <w:r w:rsidRPr="0077549B">
        <w:rPr>
          <w:rtl/>
        </w:rPr>
        <w:t>بيانات دخول الطلبات</w:t>
      </w:r>
      <w:r w:rsidRPr="0077549B">
        <w:rPr>
          <w:rFonts w:hint="cs"/>
          <w:rtl/>
        </w:rPr>
        <w:t xml:space="preserve"> الدولية</w:t>
      </w:r>
      <w:r w:rsidRPr="0077549B">
        <w:rPr>
          <w:rtl/>
        </w:rPr>
        <w:t xml:space="preserve"> </w:t>
      </w:r>
      <w:r w:rsidRPr="0077549B">
        <w:rPr>
          <w:rFonts w:hint="cs"/>
          <w:rtl/>
        </w:rPr>
        <w:t xml:space="preserve">في </w:t>
      </w:r>
      <w:r w:rsidRPr="0077549B">
        <w:rPr>
          <w:rtl/>
        </w:rPr>
        <w:t>المرحلة الوطنية بناء على معاهدة التعاون بشأن البراءات</w:t>
      </w:r>
      <w:r w:rsidRPr="0077549B">
        <w:rPr>
          <w:rFonts w:hint="cs"/>
          <w:rtl/>
        </w:rPr>
        <w:t xml:space="preserve"> وفقا لجدول زمني شهري. ولتفادي حالات التكرار في قاعدة بيانات الوضع القانوني للطلبات اتُخذ التدبيران التاليان:</w:t>
      </w:r>
    </w:p>
    <w:p w:rsidR="00D53C5B" w:rsidRDefault="00D53C5B" w:rsidP="00D53C5B">
      <w:pPr>
        <w:pStyle w:val="NumberedParaAR"/>
        <w:numPr>
          <w:ilvl w:val="0"/>
          <w:numId w:val="30"/>
        </w:numPr>
        <w:tabs>
          <w:tab w:val="right" w:pos="5395"/>
        </w:tabs>
        <w:spacing w:after="0"/>
        <w:ind w:hanging="710"/>
        <w:rPr>
          <w:rtl/>
        </w:rPr>
      </w:pPr>
      <w:r>
        <w:rPr>
          <w:rFonts w:hint="cs"/>
          <w:rtl/>
        </w:rPr>
        <w:t>تخزين الأحداث المبلغ عنها عبر الويبو تحت رموز للوضع القانوني تكون مختلفة عن رموز الأحداث التي تتلقاها المكاتب الوطنية مباشرة.</w:t>
      </w:r>
    </w:p>
    <w:p w:rsidR="00D53C5B" w:rsidRDefault="00D53C5B" w:rsidP="00D53C5B">
      <w:pPr>
        <w:pStyle w:val="NumberedParaAR"/>
        <w:numPr>
          <w:ilvl w:val="0"/>
          <w:numId w:val="30"/>
        </w:numPr>
        <w:tabs>
          <w:tab w:val="right" w:pos="5395"/>
        </w:tabs>
        <w:ind w:hanging="709"/>
      </w:pPr>
      <w:r>
        <w:rPr>
          <w:rFonts w:hint="cs"/>
          <w:rtl/>
        </w:rPr>
        <w:t>إزالة حالات تكرار الأحداث المبلغ عنها من كلا المصدرين وفقا لجدول زمني شهري. وتُعطى الأسبقية لرموز البيانات المبلغ عنها عبر الويبو.</w:t>
      </w:r>
    </w:p>
    <w:p w:rsidR="00D53C5B" w:rsidRDefault="00D53C5B" w:rsidP="00D53C5B">
      <w:pPr>
        <w:pStyle w:val="NormalParaAR"/>
        <w:rPr>
          <w:rtl/>
        </w:rPr>
      </w:pPr>
      <w:r w:rsidRPr="001F1AD1">
        <w:rPr>
          <w:rFonts w:hint="cs"/>
          <w:rtl/>
        </w:rPr>
        <w:t xml:space="preserve">غير أن بعض البلدان تقدم البيانات للويبو بشرط عدم تعميمها. وقد اتصلت الويبو بجميع تلك البلدان للحصول على موافقتها على تقديم البيانات للمكتب الأوروبي للبراءات. وفي الوقت الحالي، تنتمي البلدان التالية إلى هذه الفئة (كوبا </w:t>
      </w:r>
      <w:r>
        <w:rPr>
          <w:rFonts w:hint="cs"/>
          <w:rtl/>
        </w:rPr>
        <w:t>والهند</w:t>
      </w:r>
      <w:r w:rsidRPr="001F1AD1">
        <w:rPr>
          <w:rFonts w:hint="cs"/>
          <w:rtl/>
        </w:rPr>
        <w:t xml:space="preserve"> وجمهورية كوريا والفلبين وسنغافورة وتركيا و</w:t>
      </w:r>
      <w:r w:rsidR="00D0072B">
        <w:rPr>
          <w:rtl/>
        </w:rPr>
        <w:t>في</w:t>
      </w:r>
      <w:r w:rsidR="00D0072B">
        <w:rPr>
          <w:rFonts w:hint="cs"/>
          <w:rtl/>
        </w:rPr>
        <w:t>ي</w:t>
      </w:r>
      <w:r w:rsidRPr="001F1AD1">
        <w:rPr>
          <w:rtl/>
        </w:rPr>
        <w:t>ت</w:t>
      </w:r>
      <w:r w:rsidRPr="001F1AD1">
        <w:rPr>
          <w:rFonts w:hint="cs"/>
          <w:rtl/>
        </w:rPr>
        <w:t> </w:t>
      </w:r>
      <w:r w:rsidRPr="001F1AD1">
        <w:rPr>
          <w:rtl/>
        </w:rPr>
        <w:t>نام</w:t>
      </w:r>
      <w:r>
        <w:rPr>
          <w:rFonts w:hint="cs"/>
          <w:rtl/>
        </w:rPr>
        <w:t>).</w:t>
      </w:r>
      <w:r w:rsidRPr="001F1AD1">
        <w:rPr>
          <w:rFonts w:hint="cs"/>
          <w:rtl/>
        </w:rPr>
        <w:t xml:space="preserve"> وتقتصر أغلبية البيانات المقدمة على معلومات بشأن </w:t>
      </w:r>
      <w:r w:rsidRPr="001F1AD1">
        <w:rPr>
          <w:rtl/>
        </w:rPr>
        <w:t>دخول الطلبات</w:t>
      </w:r>
      <w:r w:rsidRPr="001F1AD1">
        <w:rPr>
          <w:rFonts w:hint="cs"/>
          <w:rtl/>
        </w:rPr>
        <w:t xml:space="preserve"> الدولية</w:t>
      </w:r>
      <w:r w:rsidRPr="001F1AD1">
        <w:rPr>
          <w:rtl/>
        </w:rPr>
        <w:t xml:space="preserve"> </w:t>
      </w:r>
      <w:r w:rsidRPr="001F1AD1">
        <w:rPr>
          <w:rFonts w:hint="cs"/>
          <w:rtl/>
        </w:rPr>
        <w:t xml:space="preserve">في </w:t>
      </w:r>
      <w:r w:rsidRPr="001F1AD1">
        <w:rPr>
          <w:rtl/>
        </w:rPr>
        <w:t>المرحلة الوطنية بناء على معاهدة التعاون بشأن البراءات</w:t>
      </w:r>
      <w:r w:rsidRPr="001F1AD1">
        <w:rPr>
          <w:rFonts w:hint="cs"/>
          <w:rtl/>
        </w:rPr>
        <w:t>. وقلما تشمل ما يلي ذلك من أحداث مثل إعادة النشر الوطني لطلبات البراءات أو المنح الوطني. وتبحث الويبو في الوقت الحالي إمكانية إعادة إدراج تلك الأحداث في قواعد البيانات.</w:t>
      </w:r>
    </w:p>
    <w:p w:rsidR="00D53C5B" w:rsidRDefault="00D53C5B" w:rsidP="00D53C5B">
      <w:pPr>
        <w:pStyle w:val="NumberedParaAR"/>
      </w:pPr>
      <w:r w:rsidRPr="0077549B">
        <w:rPr>
          <w:rFonts w:hint="cs"/>
          <w:rtl/>
        </w:rPr>
        <w:t xml:space="preserve">وبالنسبة للمعلومات المتعلقة بعدم دخول </w:t>
      </w:r>
      <w:r w:rsidRPr="0077549B">
        <w:rPr>
          <w:rtl/>
        </w:rPr>
        <w:t>الطلبات في المرحلة الوطنية</w:t>
      </w:r>
      <w:r w:rsidRPr="0077549B">
        <w:rPr>
          <w:rFonts w:hint="cs"/>
          <w:rtl/>
        </w:rPr>
        <w:t xml:space="preserve"> فلم يُحرز مزيد من التقدم. وفي الوقت الحالي، لا يقدم هذا النوع من المعلومات بشكل موثوق فيه سوى </w:t>
      </w:r>
      <w:r>
        <w:rPr>
          <w:rFonts w:hint="cs"/>
          <w:rtl/>
        </w:rPr>
        <w:t>مكتبان</w:t>
      </w:r>
      <w:r w:rsidRPr="0077549B">
        <w:rPr>
          <w:rFonts w:hint="cs"/>
          <w:rtl/>
        </w:rPr>
        <w:t xml:space="preserve"> </w:t>
      </w:r>
      <w:r>
        <w:rPr>
          <w:rFonts w:hint="cs"/>
          <w:rtl/>
        </w:rPr>
        <w:t>ل</w:t>
      </w:r>
      <w:r w:rsidRPr="0077549B">
        <w:rPr>
          <w:rFonts w:hint="cs"/>
          <w:rtl/>
        </w:rPr>
        <w:t>لبراءات وه</w:t>
      </w:r>
      <w:r>
        <w:rPr>
          <w:rFonts w:hint="cs"/>
          <w:rtl/>
        </w:rPr>
        <w:t>ما</w:t>
      </w:r>
      <w:r w:rsidRPr="0077549B">
        <w:rPr>
          <w:rFonts w:hint="cs"/>
          <w:rtl/>
        </w:rPr>
        <w:t>: المكتب الأوروبي والمكتب الياباني</w:t>
      </w:r>
      <w:r>
        <w:rPr>
          <w:rFonts w:hint="cs"/>
          <w:rtl/>
        </w:rPr>
        <w:t>، فيما يخطط مكتب ثالث، أي المكتب الألماني، مواصلة تقديم المعلومات</w:t>
      </w:r>
      <w:r w:rsidRPr="0077549B">
        <w:rPr>
          <w:rFonts w:hint="cs"/>
          <w:rtl/>
        </w:rPr>
        <w:t xml:space="preserve">. </w:t>
      </w:r>
      <w:r>
        <w:rPr>
          <w:rFonts w:hint="cs"/>
          <w:rtl/>
        </w:rPr>
        <w:t>وأتيح</w:t>
      </w:r>
      <w:r w:rsidRPr="0077549B">
        <w:rPr>
          <w:rFonts w:hint="cs"/>
          <w:rtl/>
        </w:rPr>
        <w:t xml:space="preserve"> هذا النوع من المعلومات لبلدان أخرى (مثل كندا وجمهورية كوريا و</w:t>
      </w:r>
      <w:r>
        <w:rPr>
          <w:rFonts w:hint="cs"/>
          <w:rtl/>
        </w:rPr>
        <w:t>الاتحاد ال</w:t>
      </w:r>
      <w:r w:rsidRPr="0077549B">
        <w:rPr>
          <w:rFonts w:hint="cs"/>
          <w:rtl/>
        </w:rPr>
        <w:t>روسي)، بيد أن البيانات الأخيرة غير متوافرة</w:t>
      </w:r>
      <w:r>
        <w:rPr>
          <w:rFonts w:hint="cs"/>
          <w:rtl/>
        </w:rPr>
        <w:t>.</w:t>
      </w:r>
    </w:p>
    <w:p w:rsidR="00D53C5B" w:rsidRPr="00927AE6" w:rsidRDefault="00D53C5B" w:rsidP="00D53C5B">
      <w:pPr>
        <w:pStyle w:val="NormalParaAR"/>
        <w:keepNext/>
        <w:tabs>
          <w:tab w:val="left" w:pos="3645"/>
        </w:tabs>
        <w:spacing w:before="240"/>
        <w:rPr>
          <w:rtl/>
        </w:rPr>
      </w:pPr>
      <w:r w:rsidRPr="00927AE6">
        <w:rPr>
          <w:rFonts w:hint="cs"/>
          <w:rtl/>
        </w:rPr>
        <w:t>التخطيط للمستقبل</w:t>
      </w:r>
    </w:p>
    <w:p w:rsidR="00D53C5B" w:rsidRDefault="00D53C5B" w:rsidP="00D53C5B">
      <w:pPr>
        <w:pStyle w:val="NumberedParaAR"/>
      </w:pPr>
      <w:r>
        <w:rPr>
          <w:rFonts w:hint="cs"/>
          <w:rtl/>
        </w:rPr>
        <w:t xml:space="preserve">رغم الجهود المبذولة، فإن </w:t>
      </w:r>
      <w:r w:rsidRPr="0077549B">
        <w:rPr>
          <w:rFonts w:hint="cs"/>
          <w:rtl/>
        </w:rPr>
        <w:t>التغطية</w:t>
      </w:r>
      <w:r>
        <w:rPr>
          <w:rFonts w:hint="cs"/>
          <w:rtl/>
        </w:rPr>
        <w:t xml:space="preserve"> </w:t>
      </w:r>
      <w:r w:rsidRPr="0077549B">
        <w:rPr>
          <w:rFonts w:hint="cs"/>
          <w:rtl/>
        </w:rPr>
        <w:t>الجغرافية للمعلومات المتعلقة ب</w:t>
      </w:r>
      <w:r w:rsidRPr="0077549B">
        <w:rPr>
          <w:rtl/>
        </w:rPr>
        <w:t>دخول الطلبات</w:t>
      </w:r>
      <w:r w:rsidRPr="0077549B">
        <w:rPr>
          <w:rFonts w:hint="cs"/>
          <w:rtl/>
        </w:rPr>
        <w:t xml:space="preserve"> الدولية</w:t>
      </w:r>
      <w:r w:rsidRPr="0077549B">
        <w:rPr>
          <w:rtl/>
        </w:rPr>
        <w:t xml:space="preserve"> </w:t>
      </w:r>
      <w:r w:rsidRPr="0077549B">
        <w:rPr>
          <w:rFonts w:hint="cs"/>
          <w:rtl/>
        </w:rPr>
        <w:t xml:space="preserve">في </w:t>
      </w:r>
      <w:r w:rsidRPr="0077549B">
        <w:rPr>
          <w:rtl/>
        </w:rPr>
        <w:t>المرحلة الوطنية بناء على معاهدة التعاون بشأن البراءات</w:t>
      </w:r>
      <w:r>
        <w:rPr>
          <w:rFonts w:hint="cs"/>
          <w:rtl/>
        </w:rPr>
        <w:t xml:space="preserve"> واستمرارية تلك المعلومات واكتمالها لم تشهد تقدما كبيرا مقارنة بالتقرير الذي أجري قبل سنتين</w:t>
      </w:r>
      <w:r w:rsidRPr="0077549B">
        <w:rPr>
          <w:rFonts w:hint="cs"/>
          <w:rtl/>
        </w:rPr>
        <w:t>. وفي هذا الصدد، يكتسي إقليما أمريكا اللاتيني</w:t>
      </w:r>
      <w:r w:rsidRPr="0077549B">
        <w:rPr>
          <w:rFonts w:hint="eastAsia"/>
          <w:rtl/>
        </w:rPr>
        <w:t>ة</w:t>
      </w:r>
      <w:r w:rsidRPr="0077549B">
        <w:rPr>
          <w:rFonts w:hint="cs"/>
          <w:rtl/>
        </w:rPr>
        <w:t xml:space="preserve"> والشرق الأوسط</w:t>
      </w:r>
      <w:r>
        <w:rPr>
          <w:rFonts w:hint="cs"/>
          <w:rtl/>
        </w:rPr>
        <w:t xml:space="preserve"> أهمية خاصة. وفيما يخص </w:t>
      </w:r>
      <w:r w:rsidRPr="0026490F">
        <w:rPr>
          <w:rFonts w:hint="cs"/>
          <w:rtl/>
        </w:rPr>
        <w:t>اكتمال المعلومات، ينبغي</w:t>
      </w:r>
      <w:r>
        <w:rPr>
          <w:rFonts w:hint="cs"/>
          <w:rtl/>
        </w:rPr>
        <w:t xml:space="preserve"> بذل جهود إضافية للحصول </w:t>
      </w:r>
      <w:r w:rsidRPr="00E039B6">
        <w:rPr>
          <w:rFonts w:hint="cs"/>
          <w:rtl/>
        </w:rPr>
        <w:t xml:space="preserve">على </w:t>
      </w:r>
      <w:r w:rsidRPr="00456DC7">
        <w:rPr>
          <w:rFonts w:hint="cs"/>
          <w:rtl/>
        </w:rPr>
        <w:t xml:space="preserve">معلومات عن الأحداث المهمة مثل حالات رفض دخول </w:t>
      </w:r>
      <w:r w:rsidRPr="00456DC7">
        <w:rPr>
          <w:rtl/>
        </w:rPr>
        <w:t>الطلبات في المرحلة الوطنية</w:t>
      </w:r>
      <w:r w:rsidRPr="00456DC7">
        <w:rPr>
          <w:rFonts w:hint="cs"/>
          <w:rtl/>
        </w:rPr>
        <w:t xml:space="preserve"> أو سحبه. </w:t>
      </w:r>
      <w:r>
        <w:rPr>
          <w:rFonts w:hint="cs"/>
          <w:rtl/>
        </w:rPr>
        <w:t>ولم ي</w:t>
      </w:r>
      <w:r w:rsidRPr="00456DC7">
        <w:rPr>
          <w:rFonts w:hint="cs"/>
          <w:rtl/>
        </w:rPr>
        <w:t xml:space="preserve">قدم </w:t>
      </w:r>
      <w:r>
        <w:rPr>
          <w:rFonts w:hint="cs"/>
          <w:rtl/>
        </w:rPr>
        <w:t xml:space="preserve">بعض </w:t>
      </w:r>
      <w:r w:rsidRPr="00456DC7">
        <w:rPr>
          <w:rFonts w:hint="cs"/>
          <w:rtl/>
        </w:rPr>
        <w:t>من الدول ال</w:t>
      </w:r>
      <w:r w:rsidRPr="00E039B6">
        <w:rPr>
          <w:rFonts w:hint="cs"/>
          <w:rtl/>
        </w:rPr>
        <w:t xml:space="preserve">أعضاء في </w:t>
      </w:r>
      <w:r w:rsidRPr="00E039B6">
        <w:rPr>
          <w:rtl/>
        </w:rPr>
        <w:t>معاهدة</w:t>
      </w:r>
      <w:r w:rsidRPr="00A01D89">
        <w:rPr>
          <w:rtl/>
        </w:rPr>
        <w:t xml:space="preserve"> التعاون بشأن البراءات</w:t>
      </w:r>
      <w:r>
        <w:rPr>
          <w:rFonts w:hint="cs"/>
          <w:rtl/>
        </w:rPr>
        <w:t xml:space="preserve"> ذلك النوع من</w:t>
      </w:r>
      <w:r>
        <w:rPr>
          <w:rFonts w:hint="eastAsia"/>
          <w:rtl/>
        </w:rPr>
        <w:t> </w:t>
      </w:r>
      <w:r>
        <w:rPr>
          <w:rFonts w:hint="cs"/>
          <w:rtl/>
        </w:rPr>
        <w:t>المعلومات.</w:t>
      </w:r>
    </w:p>
    <w:p w:rsidR="00D53C5B" w:rsidRDefault="00D53C5B" w:rsidP="00D53C5B">
      <w:pPr>
        <w:pStyle w:val="NumberedParaAR"/>
      </w:pPr>
      <w:r>
        <w:rPr>
          <w:rFonts w:hint="cs"/>
          <w:rtl/>
        </w:rPr>
        <w:t xml:space="preserve">وفيما يخص البيانات المتعلقة بعدم </w:t>
      </w:r>
      <w:r w:rsidRPr="0077549B">
        <w:rPr>
          <w:rFonts w:hint="cs"/>
          <w:rtl/>
        </w:rPr>
        <w:t xml:space="preserve">دخول </w:t>
      </w:r>
      <w:r w:rsidRPr="0077549B">
        <w:rPr>
          <w:rtl/>
        </w:rPr>
        <w:t>الطلبات في المرحلة الوطنية</w:t>
      </w:r>
      <w:r w:rsidRPr="0077549B">
        <w:rPr>
          <w:rFonts w:hint="cs"/>
          <w:rtl/>
        </w:rPr>
        <w:t xml:space="preserve">، لا بد من مزيد من الجهود لإقناع عدد أكبر من البلدان بتقديم تلك البيانات أو استئناف تقديمها. وبوجه خاص، فإن هذا النوع من البيانات مهم للغاية لمستخدمي المعلومات المتعلقة بالبراءات في البلدان التي تشهد نشاطا مكثفا في مجال </w:t>
      </w:r>
      <w:r w:rsidRPr="0077549B">
        <w:rPr>
          <w:rtl/>
        </w:rPr>
        <w:t>دخول الطلبات</w:t>
      </w:r>
      <w:r w:rsidRPr="0077549B">
        <w:rPr>
          <w:rFonts w:hint="cs"/>
          <w:rtl/>
        </w:rPr>
        <w:t xml:space="preserve"> الدولية</w:t>
      </w:r>
      <w:r w:rsidRPr="0077549B">
        <w:rPr>
          <w:rtl/>
        </w:rPr>
        <w:t xml:space="preserve"> </w:t>
      </w:r>
      <w:r w:rsidRPr="0077549B">
        <w:rPr>
          <w:rFonts w:hint="cs"/>
          <w:rtl/>
        </w:rPr>
        <w:t xml:space="preserve">في </w:t>
      </w:r>
      <w:r w:rsidRPr="0077549B">
        <w:rPr>
          <w:rtl/>
        </w:rPr>
        <w:t>المرحلة الوطنية بناء على معاهدة</w:t>
      </w:r>
      <w:r w:rsidRPr="0077549B">
        <w:rPr>
          <w:rFonts w:hint="cs"/>
          <w:rtl/>
        </w:rPr>
        <w:t xml:space="preserve"> </w:t>
      </w:r>
      <w:r w:rsidRPr="0077549B">
        <w:rPr>
          <w:rtl/>
        </w:rPr>
        <w:t>التعاون بشأن البراءات</w:t>
      </w:r>
      <w:r w:rsidRPr="0077549B">
        <w:rPr>
          <w:rFonts w:hint="cs"/>
          <w:rtl/>
        </w:rPr>
        <w:t>.</w:t>
      </w:r>
    </w:p>
    <w:p w:rsidR="00927AE6" w:rsidRDefault="00D53C5B" w:rsidP="000F3B4A">
      <w:pPr>
        <w:pStyle w:val="EndofDocumentAR"/>
        <w:rPr>
          <w:rtl/>
        </w:rPr>
        <w:sectPr w:rsidR="00927AE6" w:rsidSect="00EB7752">
          <w:headerReference w:type="default" r:id="rId8"/>
          <w:headerReference w:type="first" r:id="rId9"/>
          <w:pgSz w:w="11907" w:h="16840" w:code="9"/>
          <w:pgMar w:top="567" w:right="1418" w:bottom="1418" w:left="1134" w:header="510" w:footer="1021" w:gutter="0"/>
          <w:cols w:space="720"/>
          <w:titlePg/>
          <w:docGrid w:linePitch="299"/>
        </w:sectPr>
      </w:pPr>
      <w:r w:rsidRPr="0077549B">
        <w:rPr>
          <w:rFonts w:hint="cs"/>
          <w:rtl/>
        </w:rPr>
        <w:t>[يلي ذلك الملحق</w:t>
      </w:r>
      <w:r w:rsidR="000F3B4A">
        <w:rPr>
          <w:rFonts w:hint="cs"/>
          <w:rtl/>
        </w:rPr>
        <w:t>ات</w:t>
      </w:r>
      <w:r w:rsidRPr="0077549B">
        <w:rPr>
          <w:rFonts w:hint="cs"/>
          <w:rtl/>
        </w:rPr>
        <w:t>]</w:t>
      </w:r>
    </w:p>
    <w:p w:rsidR="00D53C5B" w:rsidRDefault="00D53C5B" w:rsidP="00D53C5B">
      <w:pPr>
        <w:pStyle w:val="NormalParaAR"/>
        <w:keepNext/>
        <w:rPr>
          <w:sz w:val="40"/>
          <w:szCs w:val="40"/>
          <w:rtl/>
        </w:rPr>
      </w:pPr>
      <w:r>
        <w:rPr>
          <w:rFonts w:hint="cs"/>
          <w:sz w:val="40"/>
          <w:szCs w:val="40"/>
          <w:rtl/>
        </w:rPr>
        <w:lastRenderedPageBreak/>
        <w:t>ال</w:t>
      </w:r>
      <w:r w:rsidRPr="00AD5F5D">
        <w:rPr>
          <w:rFonts w:hint="cs"/>
          <w:sz w:val="40"/>
          <w:szCs w:val="40"/>
          <w:rtl/>
        </w:rPr>
        <w:t>ملحق</w:t>
      </w:r>
      <w:r>
        <w:rPr>
          <w:rFonts w:hint="cs"/>
          <w:sz w:val="40"/>
          <w:szCs w:val="40"/>
          <w:rtl/>
        </w:rPr>
        <w:t xml:space="preserve"> 1</w:t>
      </w:r>
      <w:r w:rsidRPr="00AD5F5D">
        <w:rPr>
          <w:rFonts w:hint="cs"/>
          <w:sz w:val="40"/>
          <w:szCs w:val="40"/>
          <w:rtl/>
        </w:rPr>
        <w:t xml:space="preserve">: </w:t>
      </w:r>
      <w:r>
        <w:rPr>
          <w:rFonts w:hint="cs"/>
          <w:sz w:val="40"/>
          <w:szCs w:val="40"/>
          <w:rtl/>
        </w:rPr>
        <w:t>مضمون قاعدة البيانات العالمية بشأن الوضع القانوني للطلبات - المصدر: الويبو</w:t>
      </w:r>
    </w:p>
    <w:p w:rsidR="00D53C5B" w:rsidRDefault="00D53C5B" w:rsidP="00D53C5B">
      <w:pPr>
        <w:pStyle w:val="NormalParaAR"/>
        <w:spacing w:after="0"/>
        <w:ind w:left="6825"/>
        <w:rPr>
          <w:rtl/>
        </w:rPr>
      </w:pPr>
      <w:r w:rsidRPr="00DC060B">
        <w:rPr>
          <w:rFonts w:hint="cs"/>
          <w:b/>
          <w:bCs/>
          <w:rtl/>
        </w:rPr>
        <w:t>الأسبوع</w:t>
      </w:r>
      <w:r w:rsidRPr="00AD5F5D">
        <w:rPr>
          <w:rFonts w:hint="cs"/>
          <w:rtl/>
        </w:rPr>
        <w:t>:</w:t>
      </w:r>
      <w:r>
        <w:rPr>
          <w:rFonts w:hint="cs"/>
          <w:rtl/>
        </w:rPr>
        <w:t xml:space="preserve"> </w:t>
      </w:r>
      <w:r w:rsidRPr="007F62C2">
        <w:rPr>
          <w:rtl/>
        </w:rPr>
        <w:t>201</w:t>
      </w:r>
      <w:r>
        <w:rPr>
          <w:rFonts w:hint="cs"/>
          <w:rtl/>
        </w:rPr>
        <w:t>4</w:t>
      </w:r>
      <w:r w:rsidRPr="007F62C2">
        <w:rPr>
          <w:rtl/>
        </w:rPr>
        <w:t>/09</w:t>
      </w:r>
    </w:p>
    <w:p w:rsidR="00D53C5B" w:rsidRPr="007F62C2" w:rsidRDefault="00D53C5B" w:rsidP="00D53C5B">
      <w:pPr>
        <w:pStyle w:val="NormalParaAR"/>
        <w:spacing w:after="120"/>
        <w:ind w:left="6827"/>
        <w:rPr>
          <w:rtl/>
        </w:rPr>
      </w:pPr>
      <w:r w:rsidRPr="00DC060B">
        <w:rPr>
          <w:rFonts w:hint="cs"/>
          <w:b/>
          <w:bCs/>
          <w:rtl/>
        </w:rPr>
        <w:t>الإصدار</w:t>
      </w:r>
      <w:r>
        <w:rPr>
          <w:rFonts w:hint="cs"/>
          <w:rtl/>
        </w:rPr>
        <w:t>:</w:t>
      </w:r>
      <w:r w:rsidRPr="007F62C2">
        <w:t xml:space="preserve"> </w:t>
      </w:r>
      <w:r>
        <w:rPr>
          <w:rFonts w:hint="cs"/>
          <w:rtl/>
        </w:rPr>
        <w:t>2014.03.06</w:t>
      </w:r>
    </w:p>
    <w:tbl>
      <w:tblPr>
        <w:bidiVisual/>
        <w:tblW w:w="4910" w:type="pct"/>
        <w:tblLayout w:type="fixed"/>
        <w:tblCellMar>
          <w:left w:w="28" w:type="dxa"/>
          <w:right w:w="28" w:type="dxa"/>
        </w:tblCellMar>
        <w:tblLook w:val="0000" w:firstRow="0" w:lastRow="0" w:firstColumn="0" w:lastColumn="0" w:noHBand="0" w:noVBand="0"/>
      </w:tblPr>
      <w:tblGrid>
        <w:gridCol w:w="594"/>
        <w:gridCol w:w="1985"/>
        <w:gridCol w:w="1135"/>
        <w:gridCol w:w="1275"/>
        <w:gridCol w:w="2272"/>
        <w:gridCol w:w="1981"/>
      </w:tblGrid>
      <w:tr w:rsidR="00D53C5B" w:rsidRPr="00CA4702" w:rsidTr="001B00C2">
        <w:trPr>
          <w:cantSplit/>
          <w:trHeight w:hRule="exact" w:val="975"/>
          <w:tblHeader/>
        </w:trPr>
        <w:tc>
          <w:tcPr>
            <w:tcW w:w="321" w:type="pct"/>
            <w:tcBorders>
              <w:top w:val="single" w:sz="4" w:space="0" w:color="auto"/>
              <w:left w:val="single" w:sz="4" w:space="0" w:color="auto"/>
              <w:bottom w:val="single" w:sz="4" w:space="0" w:color="auto"/>
              <w:right w:val="single" w:sz="4" w:space="0" w:color="auto"/>
            </w:tcBorders>
            <w:shd w:val="pct15" w:color="auto" w:fill="FFFFFF"/>
            <w:noWrap/>
            <w:vAlign w:val="center"/>
          </w:tcPr>
          <w:p w:rsidR="00D53C5B" w:rsidRPr="00CA4702" w:rsidRDefault="00D53C5B" w:rsidP="001B00C2">
            <w:pPr>
              <w:bidi/>
              <w:spacing w:beforeLines="20" w:before="48"/>
              <w:jc w:val="center"/>
              <w:rPr>
                <w:rFonts w:ascii="Arabic Typesetting" w:hAnsi="Arabic Typesetting" w:cs="Arabic Typesetting"/>
                <w:sz w:val="26"/>
                <w:szCs w:val="26"/>
              </w:rPr>
            </w:pPr>
            <w:r w:rsidRPr="00CA4702">
              <w:rPr>
                <w:rFonts w:ascii="Arabic Typesetting" w:hAnsi="Arabic Typesetting" w:cs="Arabic Typesetting"/>
                <w:b/>
                <w:bCs/>
                <w:sz w:val="26"/>
                <w:szCs w:val="26"/>
                <w:rtl/>
              </w:rPr>
              <w:t>رمز البلد</w:t>
            </w:r>
          </w:p>
        </w:tc>
        <w:tc>
          <w:tcPr>
            <w:tcW w:w="1074" w:type="pct"/>
            <w:tcBorders>
              <w:top w:val="single" w:sz="4" w:space="0" w:color="auto"/>
              <w:left w:val="nil"/>
              <w:bottom w:val="single" w:sz="4" w:space="0" w:color="auto"/>
              <w:right w:val="single" w:sz="4" w:space="0" w:color="auto"/>
            </w:tcBorders>
            <w:shd w:val="pct15" w:color="auto" w:fill="FFFFFF"/>
            <w:vAlign w:val="center"/>
          </w:tcPr>
          <w:p w:rsidR="00D53C5B" w:rsidRPr="00CA4702" w:rsidRDefault="00D53C5B" w:rsidP="001B00C2">
            <w:pPr>
              <w:bidi/>
              <w:spacing w:beforeLines="20" w:before="48"/>
              <w:jc w:val="center"/>
              <w:rPr>
                <w:rFonts w:ascii="Arabic Typesetting" w:hAnsi="Arabic Typesetting" w:cs="Arabic Typesetting"/>
                <w:b/>
                <w:bCs/>
                <w:sz w:val="26"/>
                <w:szCs w:val="26"/>
              </w:rPr>
            </w:pPr>
            <w:r w:rsidRPr="00CA4702">
              <w:rPr>
                <w:rFonts w:ascii="Arabic Typesetting" w:hAnsi="Arabic Typesetting" w:cs="Arabic Typesetting"/>
                <w:b/>
                <w:bCs/>
                <w:sz w:val="26"/>
                <w:szCs w:val="26"/>
                <w:rtl/>
              </w:rPr>
              <w:t>البلد</w:t>
            </w:r>
          </w:p>
        </w:tc>
        <w:tc>
          <w:tcPr>
            <w:tcW w:w="614" w:type="pct"/>
            <w:tcBorders>
              <w:top w:val="single" w:sz="4" w:space="0" w:color="auto"/>
              <w:left w:val="nil"/>
              <w:bottom w:val="single" w:sz="4" w:space="0" w:color="auto"/>
              <w:right w:val="single" w:sz="4" w:space="0" w:color="auto"/>
            </w:tcBorders>
            <w:shd w:val="pct15" w:color="auto" w:fill="FFFFFF"/>
            <w:vAlign w:val="center"/>
          </w:tcPr>
          <w:p w:rsidR="00D53C5B" w:rsidRPr="00CA4702" w:rsidRDefault="00D53C5B" w:rsidP="001B00C2">
            <w:pPr>
              <w:spacing w:beforeLines="20" w:before="48"/>
              <w:ind w:left="-57"/>
              <w:jc w:val="center"/>
              <w:rPr>
                <w:rFonts w:ascii="Arabic Typesetting" w:hAnsi="Arabic Typesetting" w:cs="Arabic Typesetting"/>
                <w:b/>
                <w:bCs/>
                <w:sz w:val="26"/>
                <w:szCs w:val="26"/>
              </w:rPr>
            </w:pPr>
            <w:r w:rsidRPr="00CA4702">
              <w:rPr>
                <w:rFonts w:ascii="Arabic Typesetting" w:hAnsi="Arabic Typesetting" w:cs="Arabic Typesetting" w:hint="cs"/>
                <w:b/>
                <w:bCs/>
                <w:sz w:val="26"/>
                <w:szCs w:val="26"/>
                <w:rtl/>
              </w:rPr>
              <w:t>من</w:t>
            </w:r>
          </w:p>
        </w:tc>
        <w:tc>
          <w:tcPr>
            <w:tcW w:w="690" w:type="pct"/>
            <w:tcBorders>
              <w:top w:val="single" w:sz="4" w:space="0" w:color="auto"/>
              <w:left w:val="nil"/>
              <w:bottom w:val="single" w:sz="4" w:space="0" w:color="auto"/>
              <w:right w:val="single" w:sz="4" w:space="0" w:color="auto"/>
            </w:tcBorders>
            <w:shd w:val="pct15" w:color="auto" w:fill="FFFFFF"/>
            <w:vAlign w:val="center"/>
          </w:tcPr>
          <w:p w:rsidR="00D53C5B" w:rsidRPr="00CA4702" w:rsidRDefault="00D53C5B" w:rsidP="001B00C2">
            <w:pPr>
              <w:spacing w:beforeLines="20" w:before="48"/>
              <w:jc w:val="center"/>
              <w:rPr>
                <w:rFonts w:ascii="Arabic Typesetting" w:hAnsi="Arabic Typesetting" w:cs="Arabic Typesetting"/>
                <w:b/>
                <w:bCs/>
                <w:sz w:val="26"/>
                <w:szCs w:val="26"/>
              </w:rPr>
            </w:pPr>
            <w:r w:rsidRPr="00CA4702">
              <w:rPr>
                <w:rFonts w:ascii="Arabic Typesetting" w:hAnsi="Arabic Typesetting" w:cs="Arabic Typesetting" w:hint="cs"/>
                <w:b/>
                <w:bCs/>
                <w:sz w:val="26"/>
                <w:szCs w:val="26"/>
                <w:rtl/>
              </w:rPr>
              <w:t>إلى</w:t>
            </w:r>
          </w:p>
        </w:tc>
        <w:tc>
          <w:tcPr>
            <w:tcW w:w="1229" w:type="pct"/>
            <w:tcBorders>
              <w:top w:val="single" w:sz="4" w:space="0" w:color="auto"/>
              <w:left w:val="nil"/>
              <w:bottom w:val="single" w:sz="4" w:space="0" w:color="auto"/>
              <w:right w:val="single" w:sz="4" w:space="0" w:color="auto"/>
            </w:tcBorders>
            <w:shd w:val="pct15" w:color="auto" w:fill="FFFFFF"/>
            <w:vAlign w:val="center"/>
          </w:tcPr>
          <w:p w:rsidR="00D53C5B" w:rsidRPr="00CA4702" w:rsidRDefault="00D53C5B" w:rsidP="001B00C2">
            <w:pPr>
              <w:spacing w:beforeLines="20" w:before="48"/>
              <w:jc w:val="center"/>
              <w:rPr>
                <w:rFonts w:ascii="Arabic Typesetting" w:hAnsi="Arabic Typesetting" w:cs="Arabic Typesetting"/>
                <w:b/>
                <w:bCs/>
                <w:sz w:val="26"/>
                <w:szCs w:val="26"/>
              </w:rPr>
            </w:pPr>
          </w:p>
        </w:tc>
        <w:tc>
          <w:tcPr>
            <w:tcW w:w="1072" w:type="pct"/>
            <w:tcBorders>
              <w:top w:val="single" w:sz="4" w:space="0" w:color="auto"/>
              <w:left w:val="single" w:sz="4" w:space="0" w:color="auto"/>
              <w:bottom w:val="single" w:sz="4" w:space="0" w:color="auto"/>
              <w:right w:val="single" w:sz="4" w:space="0" w:color="auto"/>
            </w:tcBorders>
            <w:shd w:val="pct15" w:color="auto" w:fill="FFFFFF"/>
            <w:vAlign w:val="center"/>
          </w:tcPr>
          <w:p w:rsidR="00D53C5B" w:rsidRPr="00CA4702" w:rsidRDefault="00D53C5B" w:rsidP="001B00C2">
            <w:pPr>
              <w:bidi/>
              <w:spacing w:beforeLines="20" w:before="48"/>
              <w:jc w:val="center"/>
              <w:rPr>
                <w:rFonts w:ascii="Arabic Typesetting" w:hAnsi="Arabic Typesetting" w:cs="Arabic Typesetting"/>
                <w:b/>
                <w:bCs/>
                <w:sz w:val="26"/>
                <w:szCs w:val="26"/>
              </w:rPr>
            </w:pPr>
            <w:r w:rsidRPr="00CA4702">
              <w:rPr>
                <w:rFonts w:ascii="Arabic Typesetting" w:hAnsi="Arabic Typesetting" w:cs="Arabic Typesetting"/>
                <w:b/>
                <w:bCs/>
                <w:sz w:val="26"/>
                <w:szCs w:val="26"/>
                <w:rtl/>
              </w:rPr>
              <w:t>آخر أسبوع أُدخلت فيه البيانات</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AE</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الإمارات العربية المتحدة</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30.09.2010</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AP</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الأريبو</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01.07.1996</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06.08.2008</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 xml:space="preserve">AT </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النمسا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01.02.1995</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30.11.2011</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2012/05</w:t>
            </w:r>
          </w:p>
        </w:tc>
      </w:tr>
      <w:tr w:rsidR="00D53C5B" w:rsidRPr="00CA4702" w:rsidTr="001B00C2">
        <w:trPr>
          <w:cantSplit/>
          <w:trHeight w:hRule="exact" w:val="975"/>
        </w:trPr>
        <w:tc>
          <w:tcPr>
            <w:tcW w:w="321" w:type="pct"/>
            <w:tcBorders>
              <w:top w:val="single" w:sz="4" w:space="0" w:color="auto"/>
              <w:left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 xml:space="preserve">AU </w:t>
            </w:r>
          </w:p>
        </w:tc>
        <w:tc>
          <w:tcPr>
            <w:tcW w:w="1074" w:type="pct"/>
            <w:tcBorders>
              <w:top w:val="single" w:sz="4" w:space="0" w:color="auto"/>
              <w:left w:val="nil"/>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أستراليا</w:t>
            </w:r>
          </w:p>
        </w:tc>
        <w:tc>
          <w:tcPr>
            <w:tcW w:w="614"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10.12.1998</w:t>
            </w:r>
          </w:p>
        </w:tc>
        <w:tc>
          <w:tcPr>
            <w:tcW w:w="690"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25.09.2012</w:t>
            </w:r>
          </w:p>
        </w:tc>
        <w:tc>
          <w:tcPr>
            <w:tcW w:w="1229" w:type="pct"/>
            <w:tcBorders>
              <w:top w:val="single" w:sz="4" w:space="0" w:color="auto"/>
              <w:left w:val="nil"/>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2012/42</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BG</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بلغاريا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02.01.2001</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19.12.2007</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BY</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بيلاروس</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15.06.2007</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28.02.2008</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BZ</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بليز</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27.08.2002</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23.03.2007</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2007/37</w:t>
            </w:r>
          </w:p>
        </w:tc>
      </w:tr>
      <w:tr w:rsidR="00D53C5B" w:rsidRPr="00CA4702" w:rsidTr="001B00C2">
        <w:trPr>
          <w:cantSplit/>
          <w:trHeight w:hRule="exact" w:val="975"/>
        </w:trPr>
        <w:tc>
          <w:tcPr>
            <w:tcW w:w="321" w:type="pct"/>
            <w:tcBorders>
              <w:top w:val="single" w:sz="4" w:space="0" w:color="auto"/>
              <w:left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CA</w:t>
            </w:r>
          </w:p>
        </w:tc>
        <w:tc>
          <w:tcPr>
            <w:tcW w:w="1074" w:type="pct"/>
            <w:tcBorders>
              <w:top w:val="single" w:sz="4" w:space="0" w:color="auto"/>
              <w:left w:val="nil"/>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كندا</w:t>
            </w:r>
          </w:p>
        </w:tc>
        <w:tc>
          <w:tcPr>
            <w:tcW w:w="614"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01.04.1993</w:t>
            </w:r>
          </w:p>
        </w:tc>
        <w:tc>
          <w:tcPr>
            <w:tcW w:w="690"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08.06.2012</w:t>
            </w:r>
          </w:p>
        </w:tc>
        <w:tc>
          <w:tcPr>
            <w:tcW w:w="1229" w:type="pct"/>
            <w:tcBorders>
              <w:top w:val="single" w:sz="4" w:space="0" w:color="auto"/>
              <w:left w:val="nil"/>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2012/34</w:t>
            </w:r>
          </w:p>
        </w:tc>
      </w:tr>
      <w:tr w:rsidR="00D53C5B" w:rsidRPr="00CA4702" w:rsidTr="001B00C2">
        <w:trPr>
          <w:cantSplit/>
          <w:trHeight w:hRule="exact" w:val="1230"/>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CH</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سويسرا</w:t>
            </w:r>
            <w:r w:rsidRPr="00CA4702">
              <w:rPr>
                <w:rFonts w:ascii="Arabic Typesetting" w:hAnsi="Arabic Typesetting" w:cs="Arabic Typesetting"/>
                <w:sz w:val="26"/>
                <w:szCs w:val="26"/>
              </w:rPr>
              <w:t xml:space="preserve"> </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04.01.2001</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30.10.2013</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بيانات دخول الطلبات الدولية في المرحلة الوطنية بناء على معاهدة التعاون بشأن البراءات والأحداث القانونية الأخرى التي قدمتها الويبو</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2014/05</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CN</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hint="cs"/>
                <w:sz w:val="26"/>
                <w:szCs w:val="26"/>
                <w:rtl/>
              </w:rPr>
              <w:t>الصين</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01.01.2002</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20.11.2008</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2009/43</w:t>
            </w:r>
          </w:p>
        </w:tc>
      </w:tr>
      <w:tr w:rsidR="00D53C5B" w:rsidRPr="00CA4702" w:rsidTr="001B00C2">
        <w:trPr>
          <w:cantSplit/>
          <w:trHeight w:hRule="exact" w:val="1258"/>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lastRenderedPageBreak/>
              <w:t>CZ</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الجمهورية التشيكية</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21.02.1995</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11.11.2013</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بيانات دخول الطلبات الدولية في المرحلة الوطنية بناء على معاهدة التعاون بشأن البراءات والأحداث القانونية الأخرى التي قدمتها الويبو</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2014/05</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DE</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ألمانيا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01.01.1993</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18.08.2011</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2012/05</w:t>
            </w:r>
          </w:p>
        </w:tc>
      </w:tr>
      <w:tr w:rsidR="00D53C5B" w:rsidRPr="00CA4702" w:rsidTr="001B00C2">
        <w:trPr>
          <w:cantSplit/>
          <w:trHeight w:hRule="exact" w:val="975"/>
        </w:trPr>
        <w:tc>
          <w:tcPr>
            <w:tcW w:w="321" w:type="pct"/>
            <w:tcBorders>
              <w:top w:val="single" w:sz="4" w:space="0" w:color="auto"/>
              <w:left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EA</w:t>
            </w:r>
          </w:p>
        </w:tc>
        <w:tc>
          <w:tcPr>
            <w:tcW w:w="1074" w:type="pct"/>
            <w:tcBorders>
              <w:top w:val="single" w:sz="4" w:space="0" w:color="auto"/>
              <w:left w:val="nil"/>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المنظمة الأوروبية الآسيوية للبراءات</w:t>
            </w:r>
          </w:p>
        </w:tc>
        <w:tc>
          <w:tcPr>
            <w:tcW w:w="614"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18.04.2007</w:t>
            </w:r>
          </w:p>
        </w:tc>
        <w:tc>
          <w:tcPr>
            <w:tcW w:w="690"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30.09.2010</w:t>
            </w:r>
          </w:p>
        </w:tc>
        <w:tc>
          <w:tcPr>
            <w:tcW w:w="1229" w:type="pct"/>
            <w:tcBorders>
              <w:top w:val="single" w:sz="4" w:space="0" w:color="auto"/>
              <w:left w:val="nil"/>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2011/02</w:t>
            </w:r>
          </w:p>
        </w:tc>
      </w:tr>
      <w:tr w:rsidR="00D53C5B" w:rsidRPr="00CA4702" w:rsidTr="001B00C2">
        <w:trPr>
          <w:cantSplit/>
          <w:trHeight w:hRule="exact" w:val="975"/>
        </w:trPr>
        <w:tc>
          <w:tcPr>
            <w:tcW w:w="321" w:type="pct"/>
            <w:tcBorders>
              <w:top w:val="single" w:sz="4" w:space="0" w:color="auto"/>
              <w:left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EG</w:t>
            </w:r>
          </w:p>
        </w:tc>
        <w:tc>
          <w:tcPr>
            <w:tcW w:w="1074" w:type="pct"/>
            <w:tcBorders>
              <w:top w:val="single" w:sz="4" w:space="0" w:color="auto"/>
              <w:left w:val="nil"/>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مصر</w:t>
            </w:r>
          </w:p>
        </w:tc>
        <w:tc>
          <w:tcPr>
            <w:tcW w:w="614"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03.08.2008</w:t>
            </w:r>
          </w:p>
        </w:tc>
        <w:tc>
          <w:tcPr>
            <w:tcW w:w="690"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28.02.2011</w:t>
            </w:r>
          </w:p>
        </w:tc>
        <w:tc>
          <w:tcPr>
            <w:tcW w:w="1229" w:type="pct"/>
            <w:tcBorders>
              <w:top w:val="single" w:sz="4" w:space="0" w:color="auto"/>
              <w:left w:val="nil"/>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2011/14</w:t>
            </w:r>
          </w:p>
        </w:tc>
      </w:tr>
      <w:tr w:rsidR="00D53C5B" w:rsidRPr="00CA4702" w:rsidTr="001B00C2">
        <w:trPr>
          <w:cantSplit/>
          <w:trHeight w:hRule="exact" w:val="975"/>
        </w:trPr>
        <w:tc>
          <w:tcPr>
            <w:tcW w:w="321" w:type="pct"/>
            <w:tcBorders>
              <w:top w:val="single" w:sz="4" w:space="0" w:color="auto"/>
              <w:left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ES</w:t>
            </w:r>
          </w:p>
        </w:tc>
        <w:tc>
          <w:tcPr>
            <w:tcW w:w="1074" w:type="pct"/>
            <w:tcBorders>
              <w:top w:val="single" w:sz="4" w:space="0" w:color="auto"/>
              <w:left w:val="nil"/>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إسبانيا</w:t>
            </w:r>
          </w:p>
        </w:tc>
        <w:tc>
          <w:tcPr>
            <w:tcW w:w="614"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30.05.1990</w:t>
            </w:r>
          </w:p>
        </w:tc>
        <w:tc>
          <w:tcPr>
            <w:tcW w:w="690"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30.06.2011</w:t>
            </w:r>
          </w:p>
        </w:tc>
        <w:tc>
          <w:tcPr>
            <w:tcW w:w="1229" w:type="pct"/>
            <w:tcBorders>
              <w:top w:val="single" w:sz="4" w:space="0" w:color="auto"/>
              <w:left w:val="nil"/>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2011/33</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FI</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فنلندا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19.05.1981</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28.10.2013</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2014/05</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GB</w:t>
            </w:r>
          </w:p>
        </w:tc>
        <w:tc>
          <w:tcPr>
            <w:tcW w:w="1074"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المملكة المتحدة</w:t>
            </w:r>
          </w:p>
        </w:tc>
        <w:tc>
          <w:tcPr>
            <w:tcW w:w="614" w:type="pct"/>
            <w:tcBorders>
              <w:top w:val="single" w:sz="4" w:space="0" w:color="auto"/>
              <w:left w:val="single" w:sz="4" w:space="0" w:color="auto"/>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21.09.1989</w:t>
            </w:r>
          </w:p>
        </w:tc>
        <w:tc>
          <w:tcPr>
            <w:tcW w:w="690" w:type="pct"/>
            <w:tcBorders>
              <w:top w:val="single" w:sz="4" w:space="0" w:color="auto"/>
              <w:left w:val="single" w:sz="4" w:space="0" w:color="auto"/>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31.10.2013</w:t>
            </w:r>
          </w:p>
        </w:tc>
        <w:tc>
          <w:tcPr>
            <w:tcW w:w="1229" w:type="pct"/>
            <w:tcBorders>
              <w:top w:val="single" w:sz="4" w:space="0" w:color="auto"/>
              <w:left w:val="single" w:sz="4" w:space="0" w:color="auto"/>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2014/05</w:t>
            </w:r>
          </w:p>
        </w:tc>
      </w:tr>
      <w:tr w:rsidR="00D53C5B" w:rsidRPr="00CA4702" w:rsidTr="001B00C2">
        <w:trPr>
          <w:cantSplit/>
          <w:trHeight w:hRule="exact" w:val="975"/>
        </w:trPr>
        <w:tc>
          <w:tcPr>
            <w:tcW w:w="321" w:type="pct"/>
            <w:tcBorders>
              <w:top w:val="single" w:sz="4" w:space="0" w:color="auto"/>
              <w:left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GE</w:t>
            </w:r>
          </w:p>
        </w:tc>
        <w:tc>
          <w:tcPr>
            <w:tcW w:w="1074" w:type="pct"/>
            <w:tcBorders>
              <w:top w:val="single" w:sz="4" w:space="0" w:color="auto"/>
              <w:left w:val="nil"/>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جورجيا</w:t>
            </w:r>
          </w:p>
        </w:tc>
        <w:tc>
          <w:tcPr>
            <w:tcW w:w="614"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02.07.2007</w:t>
            </w:r>
          </w:p>
        </w:tc>
        <w:tc>
          <w:tcPr>
            <w:tcW w:w="690"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10.12.2013</w:t>
            </w:r>
          </w:p>
        </w:tc>
        <w:tc>
          <w:tcPr>
            <w:tcW w:w="1229" w:type="pct"/>
            <w:tcBorders>
              <w:top w:val="single" w:sz="4" w:space="0" w:color="auto"/>
              <w:left w:val="nil"/>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2014/05</w:t>
            </w:r>
          </w:p>
        </w:tc>
      </w:tr>
      <w:tr w:rsidR="00D53C5B" w:rsidRPr="00CA4702" w:rsidTr="001B00C2">
        <w:trPr>
          <w:cantSplit/>
          <w:trHeight w:hRule="exact" w:val="975"/>
        </w:trPr>
        <w:tc>
          <w:tcPr>
            <w:tcW w:w="321" w:type="pct"/>
            <w:tcBorders>
              <w:top w:val="single" w:sz="4" w:space="0" w:color="auto"/>
              <w:left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HR</w:t>
            </w:r>
          </w:p>
        </w:tc>
        <w:tc>
          <w:tcPr>
            <w:tcW w:w="1074" w:type="pct"/>
            <w:tcBorders>
              <w:top w:val="single" w:sz="4" w:space="0" w:color="auto"/>
              <w:left w:val="nil"/>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كرواتيا</w:t>
            </w:r>
          </w:p>
        </w:tc>
        <w:tc>
          <w:tcPr>
            <w:tcW w:w="614"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21.07.2000</w:t>
            </w:r>
          </w:p>
        </w:tc>
        <w:tc>
          <w:tcPr>
            <w:tcW w:w="690"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29.10.2013</w:t>
            </w:r>
          </w:p>
        </w:tc>
        <w:tc>
          <w:tcPr>
            <w:tcW w:w="1229" w:type="pct"/>
            <w:tcBorders>
              <w:top w:val="single" w:sz="4" w:space="0" w:color="auto"/>
              <w:left w:val="nil"/>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2014/05</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HU</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هنغاريا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03.11.2006</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06.04.2011</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2012/05</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IL</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إسرائيل</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02.01.2013</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30.05.2013</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2013/36</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JP</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اليابان</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01.01.2002</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31.01.2013</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2013/08</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lastRenderedPageBreak/>
              <w:t>KE</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كينيا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07.01.2004</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12.05.2006</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KR</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جمهورية كوريا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03.01.1997</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05.01.2010</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2007/44</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LT</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ليتوانيا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12.04.1995</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08.03.2011</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LV</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لاتفيا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22.11.2005</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10.06.2006</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2007/44</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MD</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جمهورية مولدوفا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10.01.2008</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17.10.2008</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D53C5B" w:rsidRPr="00CA4702" w:rsidTr="001B00C2">
        <w:trPr>
          <w:cantSplit/>
          <w:trHeight w:hRule="exact" w:val="975"/>
        </w:trPr>
        <w:tc>
          <w:tcPr>
            <w:tcW w:w="321" w:type="pct"/>
            <w:tcBorders>
              <w:top w:val="single" w:sz="4" w:space="0" w:color="auto"/>
              <w:left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MX</w:t>
            </w:r>
          </w:p>
        </w:tc>
        <w:tc>
          <w:tcPr>
            <w:tcW w:w="1074" w:type="pct"/>
            <w:tcBorders>
              <w:top w:val="single" w:sz="4" w:space="0" w:color="auto"/>
              <w:left w:val="nil"/>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المكسيك</w:t>
            </w:r>
          </w:p>
        </w:tc>
        <w:tc>
          <w:tcPr>
            <w:tcW w:w="614"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21.12.2005</w:t>
            </w:r>
          </w:p>
        </w:tc>
        <w:tc>
          <w:tcPr>
            <w:tcW w:w="690"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09.12.2008</w:t>
            </w:r>
          </w:p>
        </w:tc>
        <w:tc>
          <w:tcPr>
            <w:tcW w:w="1229" w:type="pct"/>
            <w:tcBorders>
              <w:top w:val="single" w:sz="4" w:space="0" w:color="auto"/>
              <w:left w:val="nil"/>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D53C5B" w:rsidRPr="00CA4702" w:rsidTr="001B00C2">
        <w:trPr>
          <w:cantSplit/>
          <w:trHeight w:hRule="exact" w:val="975"/>
        </w:trPr>
        <w:tc>
          <w:tcPr>
            <w:tcW w:w="321" w:type="pct"/>
            <w:tcBorders>
              <w:top w:val="single" w:sz="4" w:space="0" w:color="auto"/>
              <w:left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MY</w:t>
            </w:r>
          </w:p>
        </w:tc>
        <w:tc>
          <w:tcPr>
            <w:tcW w:w="1074" w:type="pct"/>
            <w:tcBorders>
              <w:top w:val="single" w:sz="4" w:space="0" w:color="auto"/>
              <w:left w:val="nil"/>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ماليزيا</w:t>
            </w:r>
          </w:p>
        </w:tc>
        <w:tc>
          <w:tcPr>
            <w:tcW w:w="614"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09.03.2007</w:t>
            </w:r>
          </w:p>
        </w:tc>
        <w:tc>
          <w:tcPr>
            <w:tcW w:w="690"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30.09.2010</w:t>
            </w:r>
          </w:p>
        </w:tc>
        <w:tc>
          <w:tcPr>
            <w:tcW w:w="1229" w:type="pct"/>
            <w:tcBorders>
              <w:top w:val="single" w:sz="4" w:space="0" w:color="auto"/>
              <w:left w:val="nil"/>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2010/50</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NZ</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نيوزيلندا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01.05.2001</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30.11.2011</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2012/05</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PH</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الفلبين</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14.03.2002</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19.12.2008</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2009/43</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PL</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بولندا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22.12.2002</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31.05.2012</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2012/36</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RO</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رومانيا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17.12.2004</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28.01.2008</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2009/43</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RU</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الاتحاد الروسي</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24.03.2004</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31.10.2012</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2013/06</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SE</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السويد</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18.08.1985</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07.07.2010</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2011/46</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lastRenderedPageBreak/>
              <w:t>SI</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سلوفينيا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01.01.2001</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18.10.2011</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2012/08</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SK</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سلوفاكيا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10.09.2008</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09.06.2011</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2012/05</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TH</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تايلند</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01.09.2010</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27.01.2014</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2014/02</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UA</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أوكرانيا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20.07.2005</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23.10.2013</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2014/05</w:t>
            </w:r>
          </w:p>
        </w:tc>
      </w:tr>
      <w:tr w:rsidR="00D53C5B" w:rsidRPr="00CA4702" w:rsidTr="001B00C2">
        <w:trPr>
          <w:cantSplit/>
          <w:trHeight w:hRule="exact" w:val="975"/>
        </w:trPr>
        <w:tc>
          <w:tcPr>
            <w:tcW w:w="321" w:type="pct"/>
            <w:tcBorders>
              <w:top w:val="single" w:sz="4" w:space="0" w:color="auto"/>
              <w:left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 xml:space="preserve">US </w:t>
            </w:r>
          </w:p>
        </w:tc>
        <w:tc>
          <w:tcPr>
            <w:tcW w:w="1074" w:type="pct"/>
            <w:tcBorders>
              <w:top w:val="single" w:sz="4" w:space="0" w:color="auto"/>
              <w:left w:val="nil"/>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الولايات المتحدة الأمريكية</w:t>
            </w:r>
          </w:p>
        </w:tc>
        <w:tc>
          <w:tcPr>
            <w:tcW w:w="614"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14.07.1992</w:t>
            </w:r>
          </w:p>
        </w:tc>
        <w:tc>
          <w:tcPr>
            <w:tcW w:w="690" w:type="pct"/>
            <w:tcBorders>
              <w:top w:val="single" w:sz="4" w:space="0" w:color="auto"/>
              <w:left w:val="nil"/>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11.06.2013</w:t>
            </w:r>
          </w:p>
        </w:tc>
        <w:tc>
          <w:tcPr>
            <w:tcW w:w="1229" w:type="pct"/>
            <w:tcBorders>
              <w:top w:val="single" w:sz="4" w:space="0" w:color="auto"/>
              <w:left w:val="nil"/>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2013/39</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UZ</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أوزبكستان</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02.01.2001</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23.06.2006</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2006/37</w:t>
            </w:r>
          </w:p>
        </w:tc>
      </w:tr>
      <w:tr w:rsidR="00D53C5B" w:rsidRPr="00CA4702" w:rsidTr="001B00C2">
        <w:trPr>
          <w:cantSplit/>
          <w:trHeight w:hRule="exact" w:val="975"/>
        </w:trPr>
        <w:tc>
          <w:tcPr>
            <w:tcW w:w="321" w:type="pct"/>
            <w:tcBorders>
              <w:top w:val="single" w:sz="4" w:space="0" w:color="auto"/>
              <w:left w:val="single" w:sz="4" w:space="0" w:color="auto"/>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Pr>
              <w:t>ZA</w:t>
            </w:r>
          </w:p>
        </w:tc>
        <w:tc>
          <w:tcPr>
            <w:tcW w:w="1074" w:type="pct"/>
            <w:tcBorders>
              <w:top w:val="single" w:sz="4" w:space="0" w:color="auto"/>
              <w:left w:val="nil"/>
              <w:bottom w:val="single" w:sz="4" w:space="0" w:color="auto"/>
              <w:right w:val="single" w:sz="4" w:space="0" w:color="auto"/>
            </w:tcBorders>
            <w:noWrap/>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جنوب أفريقيا</w:t>
            </w:r>
          </w:p>
        </w:tc>
        <w:tc>
          <w:tcPr>
            <w:tcW w:w="614"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21.12.1999</w:t>
            </w:r>
          </w:p>
        </w:tc>
        <w:tc>
          <w:tcPr>
            <w:tcW w:w="690" w:type="pct"/>
            <w:tcBorders>
              <w:top w:val="single" w:sz="4" w:space="0" w:color="auto"/>
              <w:left w:val="nil"/>
              <w:bottom w:val="single" w:sz="4" w:space="0" w:color="auto"/>
              <w:right w:val="single" w:sz="4" w:space="0" w:color="auto"/>
            </w:tcBorders>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07.02.2008</w:t>
            </w:r>
          </w:p>
        </w:tc>
        <w:tc>
          <w:tcPr>
            <w:tcW w:w="1229" w:type="pct"/>
            <w:tcBorders>
              <w:top w:val="single" w:sz="4" w:space="0" w:color="auto"/>
              <w:left w:val="nil"/>
              <w:bottom w:val="single" w:sz="4" w:space="0" w:color="auto"/>
              <w:right w:val="single" w:sz="4" w:space="0" w:color="auto"/>
            </w:tcBorders>
          </w:tcPr>
          <w:p w:rsidR="00D53C5B" w:rsidRPr="00CA4702" w:rsidRDefault="00D53C5B" w:rsidP="001B00C2">
            <w:pPr>
              <w:bidi/>
              <w:rPr>
                <w:rFonts w:ascii="Arabic Typesetting" w:hAnsi="Arabic Typesetting" w:cs="Arabic Typesetting"/>
                <w:sz w:val="26"/>
                <w:szCs w:val="26"/>
              </w:rPr>
            </w:pPr>
            <w:r w:rsidRPr="00CA4702">
              <w:rPr>
                <w:rFonts w:ascii="Arabic Typesetting" w:hAnsi="Arabic Typesetting" w:cs="Arabic Typesetting"/>
                <w:sz w:val="26"/>
                <w:szCs w:val="26"/>
                <w:rtl/>
              </w:rPr>
              <w:t>البيانات التي قدمتها الويبو عن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CA4702" w:rsidRDefault="00D53C5B" w:rsidP="001B00C2">
            <w:pPr>
              <w:jc w:val="center"/>
              <w:rPr>
                <w:rFonts w:ascii="Arabic Typesetting" w:hAnsi="Arabic Typesetting" w:cs="Arabic Typesetting"/>
                <w:sz w:val="26"/>
                <w:szCs w:val="26"/>
              </w:rPr>
            </w:pPr>
            <w:r w:rsidRPr="00CA4702">
              <w:rPr>
                <w:rFonts w:ascii="Arabic Typesetting" w:hAnsi="Arabic Typesetting" w:cs="Arabic Typesetting"/>
                <w:sz w:val="26"/>
                <w:szCs w:val="26"/>
              </w:rPr>
              <w:t>2009/43</w:t>
            </w:r>
          </w:p>
        </w:tc>
      </w:tr>
    </w:tbl>
    <w:p w:rsidR="00D53C5B" w:rsidRDefault="00D53C5B" w:rsidP="00D53C5B">
      <w:pPr>
        <w:pStyle w:val="NormalParaAR"/>
        <w:keepNext/>
        <w:rPr>
          <w:sz w:val="40"/>
          <w:szCs w:val="40"/>
          <w:rtl/>
        </w:rPr>
      </w:pPr>
    </w:p>
    <w:p w:rsidR="00D53C5B" w:rsidRDefault="00D53C5B" w:rsidP="00D53C5B">
      <w:pPr>
        <w:pStyle w:val="EndofDocumentAR"/>
        <w:rPr>
          <w:rtl/>
        </w:rPr>
        <w:sectPr w:rsidR="00D53C5B" w:rsidSect="00927AE6">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D53C5B" w:rsidRDefault="00D53C5B" w:rsidP="00D53C5B">
      <w:pPr>
        <w:pStyle w:val="NormalParaAR"/>
        <w:keepNext/>
        <w:rPr>
          <w:sz w:val="40"/>
          <w:szCs w:val="40"/>
          <w:rtl/>
        </w:rPr>
      </w:pPr>
      <w:r>
        <w:rPr>
          <w:rFonts w:hint="cs"/>
          <w:sz w:val="40"/>
          <w:szCs w:val="40"/>
          <w:rtl/>
        </w:rPr>
        <w:lastRenderedPageBreak/>
        <w:t>ال</w:t>
      </w:r>
      <w:r w:rsidRPr="00AD5F5D">
        <w:rPr>
          <w:rFonts w:hint="cs"/>
          <w:sz w:val="40"/>
          <w:szCs w:val="40"/>
          <w:rtl/>
        </w:rPr>
        <w:t>ملحق</w:t>
      </w:r>
      <w:r>
        <w:rPr>
          <w:rFonts w:hint="cs"/>
          <w:sz w:val="40"/>
          <w:szCs w:val="40"/>
          <w:rtl/>
        </w:rPr>
        <w:t xml:space="preserve"> 2</w:t>
      </w:r>
      <w:r w:rsidRPr="00AD5F5D">
        <w:rPr>
          <w:rFonts w:hint="cs"/>
          <w:sz w:val="40"/>
          <w:szCs w:val="40"/>
          <w:rtl/>
        </w:rPr>
        <w:t xml:space="preserve">: </w:t>
      </w:r>
      <w:r>
        <w:rPr>
          <w:rFonts w:hint="cs"/>
          <w:sz w:val="40"/>
          <w:szCs w:val="40"/>
          <w:rtl/>
        </w:rPr>
        <w:t>مضمون قاعدة البيانات العالمية بشأن الوضع القانوني للطلبات - المصدر: المكتب الأوروبي للبراءات</w:t>
      </w:r>
    </w:p>
    <w:p w:rsidR="00D53C5B" w:rsidRDefault="00D53C5B" w:rsidP="00D53C5B">
      <w:pPr>
        <w:pStyle w:val="NormalParaAR"/>
        <w:spacing w:after="0"/>
        <w:ind w:left="6825"/>
        <w:rPr>
          <w:rtl/>
        </w:rPr>
      </w:pPr>
      <w:r w:rsidRPr="00DC060B">
        <w:rPr>
          <w:rFonts w:hint="cs"/>
          <w:b/>
          <w:bCs/>
          <w:rtl/>
        </w:rPr>
        <w:t>الأسبوع</w:t>
      </w:r>
      <w:r w:rsidRPr="00AD5F5D">
        <w:rPr>
          <w:rFonts w:hint="cs"/>
          <w:rtl/>
        </w:rPr>
        <w:t>:</w:t>
      </w:r>
      <w:r>
        <w:rPr>
          <w:rFonts w:hint="cs"/>
          <w:rtl/>
        </w:rPr>
        <w:t xml:space="preserve"> </w:t>
      </w:r>
      <w:r w:rsidRPr="007F62C2">
        <w:rPr>
          <w:rtl/>
        </w:rPr>
        <w:t>201</w:t>
      </w:r>
      <w:r>
        <w:rPr>
          <w:rFonts w:hint="cs"/>
          <w:rtl/>
        </w:rPr>
        <w:t>4</w:t>
      </w:r>
      <w:r w:rsidRPr="007F62C2">
        <w:rPr>
          <w:rtl/>
        </w:rPr>
        <w:t>/09</w:t>
      </w:r>
    </w:p>
    <w:p w:rsidR="00D53C5B" w:rsidRPr="007F62C2" w:rsidRDefault="00D53C5B" w:rsidP="00D53C5B">
      <w:pPr>
        <w:pStyle w:val="NormalParaAR"/>
        <w:spacing w:after="120"/>
        <w:ind w:left="6827"/>
        <w:rPr>
          <w:rtl/>
        </w:rPr>
      </w:pPr>
      <w:r w:rsidRPr="00DC060B">
        <w:rPr>
          <w:rFonts w:hint="cs"/>
          <w:b/>
          <w:bCs/>
          <w:rtl/>
        </w:rPr>
        <w:t>الإصدار</w:t>
      </w:r>
      <w:r>
        <w:rPr>
          <w:rFonts w:hint="cs"/>
          <w:rtl/>
        </w:rPr>
        <w:t>:</w:t>
      </w:r>
      <w:r w:rsidRPr="007F62C2">
        <w:t xml:space="preserve"> </w:t>
      </w:r>
      <w:r>
        <w:rPr>
          <w:rFonts w:hint="cs"/>
          <w:rtl/>
        </w:rPr>
        <w:t>2014.03.06</w:t>
      </w:r>
    </w:p>
    <w:tbl>
      <w:tblPr>
        <w:bidiVisual/>
        <w:tblW w:w="4910" w:type="pct"/>
        <w:tblLayout w:type="fixed"/>
        <w:tblCellMar>
          <w:left w:w="28" w:type="dxa"/>
          <w:right w:w="28" w:type="dxa"/>
        </w:tblCellMar>
        <w:tblLook w:val="0000" w:firstRow="0" w:lastRow="0" w:firstColumn="0" w:lastColumn="0" w:noHBand="0" w:noVBand="0"/>
      </w:tblPr>
      <w:tblGrid>
        <w:gridCol w:w="594"/>
        <w:gridCol w:w="1985"/>
        <w:gridCol w:w="1135"/>
        <w:gridCol w:w="1275"/>
        <w:gridCol w:w="2272"/>
        <w:gridCol w:w="1981"/>
      </w:tblGrid>
      <w:tr w:rsidR="00D53C5B" w:rsidRPr="005F7F2F" w:rsidTr="001B00C2">
        <w:trPr>
          <w:cantSplit/>
          <w:trHeight w:val="525"/>
          <w:tblHeader/>
        </w:trPr>
        <w:tc>
          <w:tcPr>
            <w:tcW w:w="321" w:type="pct"/>
            <w:tcBorders>
              <w:top w:val="single" w:sz="4" w:space="0" w:color="auto"/>
              <w:left w:val="single" w:sz="4" w:space="0" w:color="auto"/>
              <w:bottom w:val="single" w:sz="4" w:space="0" w:color="auto"/>
              <w:right w:val="single" w:sz="4" w:space="0" w:color="auto"/>
            </w:tcBorders>
            <w:shd w:val="pct15" w:color="auto" w:fill="FFFFFF"/>
            <w:noWrap/>
            <w:vAlign w:val="center"/>
          </w:tcPr>
          <w:p w:rsidR="00D53C5B" w:rsidRPr="005F7F2F" w:rsidRDefault="00D53C5B" w:rsidP="001B00C2">
            <w:pPr>
              <w:bidi/>
              <w:spacing w:beforeLines="20" w:before="48" w:afterLines="20" w:after="48"/>
              <w:jc w:val="center"/>
              <w:rPr>
                <w:rFonts w:ascii="Arabic Typesetting" w:hAnsi="Arabic Typesetting" w:cs="Arabic Typesetting"/>
                <w:b/>
                <w:bCs/>
                <w:sz w:val="26"/>
                <w:szCs w:val="26"/>
              </w:rPr>
            </w:pPr>
            <w:r w:rsidRPr="001A348E">
              <w:rPr>
                <w:rFonts w:ascii="Arabic Typesetting" w:hAnsi="Arabic Typesetting" w:cs="Arabic Typesetting"/>
                <w:b/>
                <w:bCs/>
                <w:sz w:val="26"/>
                <w:szCs w:val="26"/>
                <w:rtl/>
              </w:rPr>
              <w:t>رمز البلد</w:t>
            </w:r>
          </w:p>
        </w:tc>
        <w:tc>
          <w:tcPr>
            <w:tcW w:w="1074" w:type="pct"/>
            <w:tcBorders>
              <w:top w:val="single" w:sz="4" w:space="0" w:color="auto"/>
              <w:left w:val="nil"/>
              <w:bottom w:val="single" w:sz="4" w:space="0" w:color="auto"/>
              <w:right w:val="single" w:sz="4" w:space="0" w:color="auto"/>
            </w:tcBorders>
            <w:shd w:val="pct15" w:color="auto" w:fill="FFFFFF"/>
            <w:vAlign w:val="center"/>
          </w:tcPr>
          <w:p w:rsidR="00D53C5B" w:rsidRPr="005F7F2F" w:rsidRDefault="00D53C5B" w:rsidP="001B00C2">
            <w:pPr>
              <w:bidi/>
              <w:spacing w:beforeLines="20" w:before="48" w:afterLines="20" w:after="48"/>
              <w:jc w:val="center"/>
              <w:rPr>
                <w:rFonts w:ascii="Arabic Typesetting" w:hAnsi="Arabic Typesetting" w:cs="Arabic Typesetting"/>
                <w:b/>
                <w:bCs/>
                <w:sz w:val="26"/>
                <w:szCs w:val="26"/>
              </w:rPr>
            </w:pPr>
            <w:r w:rsidRPr="001A348E">
              <w:rPr>
                <w:rFonts w:ascii="Arabic Typesetting" w:hAnsi="Arabic Typesetting" w:cs="Arabic Typesetting"/>
                <w:b/>
                <w:bCs/>
                <w:sz w:val="26"/>
                <w:szCs w:val="26"/>
                <w:rtl/>
              </w:rPr>
              <w:t>البلد</w:t>
            </w:r>
          </w:p>
        </w:tc>
        <w:tc>
          <w:tcPr>
            <w:tcW w:w="614" w:type="pct"/>
            <w:tcBorders>
              <w:top w:val="single" w:sz="4" w:space="0" w:color="auto"/>
              <w:left w:val="nil"/>
              <w:bottom w:val="single" w:sz="4" w:space="0" w:color="auto"/>
              <w:right w:val="single" w:sz="4" w:space="0" w:color="auto"/>
            </w:tcBorders>
            <w:shd w:val="pct15" w:color="auto" w:fill="FFFFFF"/>
            <w:vAlign w:val="center"/>
          </w:tcPr>
          <w:p w:rsidR="00D53C5B" w:rsidRPr="005F7F2F" w:rsidRDefault="00D53C5B" w:rsidP="001B00C2">
            <w:pPr>
              <w:bidi/>
              <w:spacing w:beforeLines="20" w:before="48" w:afterLines="20" w:after="48"/>
              <w:ind w:left="-57"/>
              <w:jc w:val="center"/>
              <w:rPr>
                <w:rFonts w:ascii="Arabic Typesetting" w:hAnsi="Arabic Typesetting" w:cs="Arabic Typesetting"/>
                <w:b/>
                <w:bCs/>
                <w:sz w:val="26"/>
                <w:szCs w:val="26"/>
              </w:rPr>
            </w:pPr>
            <w:r>
              <w:rPr>
                <w:rFonts w:ascii="Arabic Typesetting" w:hAnsi="Arabic Typesetting" w:cs="Arabic Typesetting" w:hint="cs"/>
                <w:b/>
                <w:bCs/>
                <w:sz w:val="26"/>
                <w:szCs w:val="26"/>
                <w:rtl/>
              </w:rPr>
              <w:t>من</w:t>
            </w:r>
          </w:p>
        </w:tc>
        <w:tc>
          <w:tcPr>
            <w:tcW w:w="690" w:type="pct"/>
            <w:tcBorders>
              <w:top w:val="single" w:sz="4" w:space="0" w:color="auto"/>
              <w:left w:val="nil"/>
              <w:bottom w:val="single" w:sz="4" w:space="0" w:color="auto"/>
              <w:right w:val="single" w:sz="4" w:space="0" w:color="auto"/>
            </w:tcBorders>
            <w:shd w:val="pct15" w:color="auto" w:fill="FFFFFF"/>
            <w:vAlign w:val="center"/>
          </w:tcPr>
          <w:p w:rsidR="00D53C5B" w:rsidRPr="005F7F2F" w:rsidRDefault="00D53C5B" w:rsidP="001B00C2">
            <w:pPr>
              <w:bidi/>
              <w:spacing w:beforeLines="20" w:before="48" w:afterLines="20" w:after="48"/>
              <w:jc w:val="center"/>
              <w:rPr>
                <w:rFonts w:ascii="Arabic Typesetting" w:hAnsi="Arabic Typesetting" w:cs="Arabic Typesetting"/>
                <w:b/>
                <w:bCs/>
                <w:sz w:val="26"/>
                <w:szCs w:val="26"/>
              </w:rPr>
            </w:pPr>
            <w:r>
              <w:rPr>
                <w:rFonts w:ascii="Arabic Typesetting" w:hAnsi="Arabic Typesetting" w:cs="Arabic Typesetting" w:hint="cs"/>
                <w:b/>
                <w:bCs/>
                <w:sz w:val="26"/>
                <w:szCs w:val="26"/>
                <w:rtl/>
              </w:rPr>
              <w:t>إلى</w:t>
            </w:r>
          </w:p>
        </w:tc>
        <w:tc>
          <w:tcPr>
            <w:tcW w:w="1229" w:type="pct"/>
            <w:tcBorders>
              <w:top w:val="single" w:sz="4" w:space="0" w:color="auto"/>
              <w:left w:val="nil"/>
              <w:bottom w:val="single" w:sz="4" w:space="0" w:color="auto"/>
              <w:right w:val="single" w:sz="4" w:space="0" w:color="auto"/>
            </w:tcBorders>
            <w:shd w:val="pct15" w:color="auto" w:fill="FFFFFF"/>
            <w:vAlign w:val="center"/>
          </w:tcPr>
          <w:p w:rsidR="00D53C5B" w:rsidRPr="005F7F2F" w:rsidRDefault="00D53C5B" w:rsidP="001B00C2">
            <w:pPr>
              <w:bidi/>
              <w:spacing w:beforeLines="20" w:before="48" w:afterLines="20" w:after="48"/>
              <w:jc w:val="center"/>
              <w:rPr>
                <w:rFonts w:ascii="Arabic Typesetting" w:hAnsi="Arabic Typesetting" w:cs="Arabic Typesetting"/>
                <w:b/>
                <w:bCs/>
                <w:sz w:val="26"/>
                <w:szCs w:val="26"/>
              </w:rPr>
            </w:pPr>
          </w:p>
        </w:tc>
        <w:tc>
          <w:tcPr>
            <w:tcW w:w="1072" w:type="pct"/>
            <w:tcBorders>
              <w:top w:val="single" w:sz="4" w:space="0" w:color="auto"/>
              <w:left w:val="single" w:sz="4" w:space="0" w:color="auto"/>
              <w:bottom w:val="single" w:sz="4" w:space="0" w:color="auto"/>
              <w:right w:val="single" w:sz="4" w:space="0" w:color="auto"/>
            </w:tcBorders>
            <w:shd w:val="pct15" w:color="auto" w:fill="FFFFFF"/>
            <w:vAlign w:val="center"/>
          </w:tcPr>
          <w:p w:rsidR="00D53C5B" w:rsidRPr="005F7F2F" w:rsidRDefault="00D53C5B" w:rsidP="001B00C2">
            <w:pPr>
              <w:bidi/>
              <w:spacing w:beforeLines="20" w:before="48" w:afterLines="20" w:after="48"/>
              <w:jc w:val="center"/>
              <w:rPr>
                <w:rFonts w:ascii="Arabic Typesetting" w:hAnsi="Arabic Typesetting" w:cs="Arabic Typesetting"/>
                <w:b/>
                <w:bCs/>
                <w:sz w:val="26"/>
                <w:szCs w:val="26"/>
              </w:rPr>
            </w:pPr>
            <w:r>
              <w:rPr>
                <w:rFonts w:ascii="Arabic Typesetting" w:hAnsi="Arabic Typesetting" w:cs="Arabic Typesetting" w:hint="cs"/>
                <w:b/>
                <w:bCs/>
                <w:sz w:val="26"/>
                <w:szCs w:val="26"/>
                <w:rtl/>
              </w:rPr>
              <w:t>آخر أسبوع أدخلت فيه البيانات</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5F7F2F">
              <w:rPr>
                <w:rFonts w:ascii="Arabic Typesetting" w:hAnsi="Arabic Typesetting" w:cs="Arabic Typesetting"/>
                <w:sz w:val="26"/>
                <w:szCs w:val="26"/>
              </w:rPr>
              <w:t>AT</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النمسا</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01.02.1995</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30.03.2012</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2011/49</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AU</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أستراليا</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28.11.2002</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30.01.2014</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r w:rsidRPr="001A348E">
              <w:rPr>
                <w:rFonts w:ascii="Arabic Typesetting" w:hAnsi="Arabic Typesetting" w:cs="Arabic Typesetting"/>
                <w:color w:val="000000"/>
                <w:sz w:val="26"/>
                <w:szCs w:val="26"/>
                <w:rtl/>
              </w:rPr>
              <w:t xml:space="preserve"> - عبر الجريدة</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2014/09</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BG</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بلغاريا</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02.01.2001</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30.04.2010</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2010/24</w:t>
            </w:r>
          </w:p>
        </w:tc>
      </w:tr>
      <w:tr w:rsidR="00D53C5B" w:rsidRPr="005F7F2F" w:rsidTr="001B00C2">
        <w:trPr>
          <w:cantSplit/>
          <w:trHeight w:val="510"/>
        </w:trPr>
        <w:tc>
          <w:tcPr>
            <w:tcW w:w="321" w:type="pct"/>
            <w:tcBorders>
              <w:top w:val="single" w:sz="4" w:space="0" w:color="auto"/>
              <w:left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BR</w:t>
            </w:r>
          </w:p>
        </w:tc>
        <w:tc>
          <w:tcPr>
            <w:tcW w:w="1074" w:type="pct"/>
            <w:tcBorders>
              <w:top w:val="single" w:sz="4" w:space="0" w:color="auto"/>
              <w:left w:val="nil"/>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البرازيل</w:t>
            </w:r>
          </w:p>
        </w:tc>
        <w:tc>
          <w:tcPr>
            <w:tcW w:w="614"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01.03.1995</w:t>
            </w:r>
          </w:p>
        </w:tc>
        <w:tc>
          <w:tcPr>
            <w:tcW w:w="690"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25.02.2014</w:t>
            </w:r>
          </w:p>
        </w:tc>
        <w:tc>
          <w:tcPr>
            <w:tcW w:w="1229" w:type="pct"/>
            <w:tcBorders>
              <w:top w:val="single" w:sz="4" w:space="0" w:color="auto"/>
              <w:left w:val="nil"/>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 - عبر الجريدة</w:t>
            </w:r>
          </w:p>
        </w:tc>
        <w:tc>
          <w:tcPr>
            <w:tcW w:w="1072" w:type="pct"/>
            <w:tcBorders>
              <w:top w:val="single" w:sz="4" w:space="0" w:color="auto"/>
              <w:left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2014/09</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CA</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كندا</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27.12.1979</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19.02.2014</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2014/09</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DE</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ألمانيا</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22.04.1971</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28.02.2014</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 xml:space="preserve">بيانات </w:t>
            </w:r>
            <w:r w:rsidRPr="001A348E">
              <w:rPr>
                <w:rFonts w:ascii="Arabic Typesetting" w:hAnsi="Arabic Typesetting" w:cs="Arabic Typesetting"/>
                <w:color w:val="000000"/>
                <w:sz w:val="26"/>
                <w:szCs w:val="26"/>
                <w:rtl/>
              </w:rPr>
              <w:t>دخول/</w:t>
            </w:r>
            <w:r w:rsidRPr="001A348E">
              <w:rPr>
                <w:rFonts w:ascii="Arabic Typesetting" w:hAnsi="Arabic Typesetting" w:cs="Arabic Typesetting"/>
                <w:sz w:val="26"/>
                <w:szCs w:val="26"/>
                <w:rtl/>
              </w:rPr>
              <w:t>عدم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2014/09</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EP</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المكتب الأوروبي للبراءات</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20.12.1978</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26.02.2014</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دخول/عدم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2014/09</w:t>
            </w:r>
          </w:p>
        </w:tc>
      </w:tr>
      <w:tr w:rsidR="00D53C5B" w:rsidRPr="005F7F2F" w:rsidTr="001B00C2">
        <w:trPr>
          <w:cantSplit/>
          <w:trHeight w:val="510"/>
        </w:trPr>
        <w:tc>
          <w:tcPr>
            <w:tcW w:w="321" w:type="pct"/>
            <w:tcBorders>
              <w:top w:val="single" w:sz="4" w:space="0" w:color="auto"/>
              <w:left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ES</w:t>
            </w:r>
          </w:p>
        </w:tc>
        <w:tc>
          <w:tcPr>
            <w:tcW w:w="1074" w:type="pct"/>
            <w:tcBorders>
              <w:top w:val="single" w:sz="4" w:space="0" w:color="auto"/>
              <w:left w:val="nil"/>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إسبانيا</w:t>
            </w:r>
          </w:p>
        </w:tc>
        <w:tc>
          <w:tcPr>
            <w:tcW w:w="614"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30.05.1990</w:t>
            </w:r>
          </w:p>
        </w:tc>
        <w:tc>
          <w:tcPr>
            <w:tcW w:w="690"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30.06.2011</w:t>
            </w:r>
          </w:p>
        </w:tc>
        <w:tc>
          <w:tcPr>
            <w:tcW w:w="1229" w:type="pct"/>
            <w:tcBorders>
              <w:top w:val="single" w:sz="4" w:space="0" w:color="auto"/>
              <w:left w:val="nil"/>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2012/27</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GB</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المملكة المتحدة</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01.04.1998</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03.01.2014</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2014/09</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GE</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جورجيا</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31.08.1998</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13.12.2013</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2014/06</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JP</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اليابان</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01.09.1996</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31.01.2014</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دخول/عدم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2014/06</w:t>
            </w:r>
          </w:p>
        </w:tc>
      </w:tr>
      <w:tr w:rsidR="00D53C5B" w:rsidRPr="005F7F2F" w:rsidTr="00085DAF">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KE</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كينيا</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11.12.1995</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18.11.2013</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2013/50</w:t>
            </w:r>
          </w:p>
        </w:tc>
      </w:tr>
      <w:tr w:rsidR="00D53C5B" w:rsidRPr="005F7F2F" w:rsidTr="00085DAF">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lastRenderedPageBreak/>
              <w:t>KR</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جمهورية كوريا</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01.01.2000</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31.12.2000</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دخول/عدم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2001/39</w:t>
            </w:r>
          </w:p>
        </w:tc>
      </w:tr>
      <w:tr w:rsidR="00D53C5B" w:rsidRPr="005F7F2F" w:rsidTr="00085DAF">
        <w:trPr>
          <w:cantSplit/>
          <w:trHeight w:val="510"/>
        </w:trPr>
        <w:tc>
          <w:tcPr>
            <w:tcW w:w="321" w:type="pct"/>
            <w:tcBorders>
              <w:top w:val="single" w:sz="4" w:space="0" w:color="auto"/>
              <w:left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LT</w:t>
            </w:r>
          </w:p>
        </w:tc>
        <w:tc>
          <w:tcPr>
            <w:tcW w:w="1074" w:type="pct"/>
            <w:tcBorders>
              <w:top w:val="single" w:sz="4" w:space="0" w:color="auto"/>
              <w:left w:val="nil"/>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ليتوانيا</w:t>
            </w:r>
          </w:p>
        </w:tc>
        <w:tc>
          <w:tcPr>
            <w:tcW w:w="614"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01.07.1997</w:t>
            </w:r>
          </w:p>
        </w:tc>
        <w:tc>
          <w:tcPr>
            <w:tcW w:w="690"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25.01.2012</w:t>
            </w:r>
          </w:p>
        </w:tc>
        <w:tc>
          <w:tcPr>
            <w:tcW w:w="1229" w:type="pct"/>
            <w:tcBorders>
              <w:top w:val="single" w:sz="4" w:space="0" w:color="auto"/>
              <w:left w:val="nil"/>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2012/05</w:t>
            </w:r>
          </w:p>
        </w:tc>
      </w:tr>
      <w:tr w:rsidR="00D53C5B" w:rsidRPr="005F7F2F" w:rsidTr="001B00C2">
        <w:trPr>
          <w:cantSplit/>
          <w:trHeight w:val="510"/>
        </w:trPr>
        <w:tc>
          <w:tcPr>
            <w:tcW w:w="321" w:type="pct"/>
            <w:tcBorders>
              <w:top w:val="single" w:sz="4" w:space="0" w:color="auto"/>
              <w:left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LV</w:t>
            </w:r>
          </w:p>
        </w:tc>
        <w:tc>
          <w:tcPr>
            <w:tcW w:w="1074" w:type="pct"/>
            <w:tcBorders>
              <w:top w:val="single" w:sz="4" w:space="0" w:color="auto"/>
              <w:left w:val="nil"/>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لاتفيا</w:t>
            </w:r>
          </w:p>
        </w:tc>
        <w:tc>
          <w:tcPr>
            <w:tcW w:w="614"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01.01.1998</w:t>
            </w:r>
          </w:p>
        </w:tc>
        <w:tc>
          <w:tcPr>
            <w:tcW w:w="690"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30.07.2007</w:t>
            </w:r>
          </w:p>
        </w:tc>
        <w:tc>
          <w:tcPr>
            <w:tcW w:w="1229" w:type="pct"/>
            <w:tcBorders>
              <w:top w:val="single" w:sz="4" w:space="0" w:color="auto"/>
              <w:left w:val="nil"/>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2008/47</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MD</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جمهورية مولدوفا</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01.06.2006</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31.10.2012</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2012/45</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NZ</w:t>
            </w:r>
          </w:p>
        </w:tc>
        <w:tc>
          <w:tcPr>
            <w:tcW w:w="1074"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نيوزيلندا</w:t>
            </w:r>
          </w:p>
        </w:tc>
        <w:tc>
          <w:tcPr>
            <w:tcW w:w="614" w:type="pct"/>
            <w:tcBorders>
              <w:top w:val="single" w:sz="4" w:space="0" w:color="auto"/>
              <w:left w:val="single" w:sz="4" w:space="0" w:color="auto"/>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29.06.2001</w:t>
            </w:r>
          </w:p>
        </w:tc>
        <w:tc>
          <w:tcPr>
            <w:tcW w:w="690" w:type="pct"/>
            <w:tcBorders>
              <w:top w:val="single" w:sz="4" w:space="0" w:color="auto"/>
              <w:left w:val="single" w:sz="4" w:space="0" w:color="auto"/>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21.12.2012</w:t>
            </w:r>
          </w:p>
        </w:tc>
        <w:tc>
          <w:tcPr>
            <w:tcW w:w="1229" w:type="pct"/>
            <w:tcBorders>
              <w:top w:val="single" w:sz="4" w:space="0" w:color="auto"/>
              <w:left w:val="single" w:sz="4" w:space="0" w:color="auto"/>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hint="cs"/>
                <w:sz w:val="26"/>
                <w:szCs w:val="26"/>
                <w:rtl/>
              </w:rPr>
              <w:t>بيانات الدخول من الجريدة</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2013/05</w:t>
            </w:r>
          </w:p>
        </w:tc>
      </w:tr>
      <w:tr w:rsidR="00D53C5B" w:rsidRPr="005F7F2F" w:rsidTr="001B00C2">
        <w:trPr>
          <w:cantSplit/>
          <w:trHeight w:val="510"/>
        </w:trPr>
        <w:tc>
          <w:tcPr>
            <w:tcW w:w="321" w:type="pct"/>
            <w:tcBorders>
              <w:top w:val="single" w:sz="4" w:space="0" w:color="auto"/>
              <w:left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RO</w:t>
            </w:r>
          </w:p>
        </w:tc>
        <w:tc>
          <w:tcPr>
            <w:tcW w:w="1074" w:type="pct"/>
            <w:tcBorders>
              <w:top w:val="single" w:sz="4" w:space="0" w:color="auto"/>
              <w:left w:val="nil"/>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رومانيا</w:t>
            </w:r>
          </w:p>
        </w:tc>
        <w:tc>
          <w:tcPr>
            <w:tcW w:w="614"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01.01.2002</w:t>
            </w:r>
          </w:p>
        </w:tc>
        <w:tc>
          <w:tcPr>
            <w:tcW w:w="690"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29.11.2013</w:t>
            </w:r>
          </w:p>
        </w:tc>
        <w:tc>
          <w:tcPr>
            <w:tcW w:w="1229" w:type="pct"/>
            <w:tcBorders>
              <w:top w:val="single" w:sz="4" w:space="0" w:color="auto"/>
              <w:left w:val="nil"/>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2014/05</w:t>
            </w:r>
          </w:p>
        </w:tc>
      </w:tr>
      <w:tr w:rsidR="00D53C5B" w:rsidRPr="005F7F2F" w:rsidTr="001B00C2">
        <w:trPr>
          <w:cantSplit/>
          <w:trHeight w:val="510"/>
        </w:trPr>
        <w:tc>
          <w:tcPr>
            <w:tcW w:w="321" w:type="pct"/>
            <w:tcBorders>
              <w:top w:val="single" w:sz="4" w:space="0" w:color="auto"/>
              <w:left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RU</w:t>
            </w:r>
          </w:p>
        </w:tc>
        <w:tc>
          <w:tcPr>
            <w:tcW w:w="1074" w:type="pct"/>
            <w:tcBorders>
              <w:top w:val="single" w:sz="4" w:space="0" w:color="auto"/>
              <w:left w:val="nil"/>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الاتحاد الروسي</w:t>
            </w:r>
          </w:p>
        </w:tc>
        <w:tc>
          <w:tcPr>
            <w:tcW w:w="614"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03.01.2002</w:t>
            </w:r>
          </w:p>
        </w:tc>
        <w:tc>
          <w:tcPr>
            <w:tcW w:w="690" w:type="pct"/>
            <w:tcBorders>
              <w:top w:val="single" w:sz="4" w:space="0" w:color="auto"/>
              <w:left w:val="nil"/>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31.10.2013</w:t>
            </w:r>
          </w:p>
        </w:tc>
        <w:tc>
          <w:tcPr>
            <w:tcW w:w="1229" w:type="pct"/>
            <w:tcBorders>
              <w:top w:val="single" w:sz="4" w:space="0" w:color="auto"/>
              <w:left w:val="nil"/>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2014/04</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SI</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سلوفينيا</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01.01.2001</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18.10.2011</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2012/05</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SK</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سلوفاكيا</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01.01.1993</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07.01.2014</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2014/06</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5F7F2F">
              <w:rPr>
                <w:rFonts w:ascii="Arabic Typesetting" w:hAnsi="Arabic Typesetting" w:cs="Arabic Typesetting"/>
                <w:sz w:val="26"/>
                <w:szCs w:val="26"/>
              </w:rPr>
              <w:t xml:space="preserve">US </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الولايات المتحدة الأمريكية</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05.08.1980</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06.11.2006</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2006/12</w:t>
            </w:r>
          </w:p>
        </w:tc>
      </w:tr>
      <w:tr w:rsidR="00D53C5B" w:rsidRPr="005F7F2F" w:rsidTr="001B00C2">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Pr>
              <w:t>UZ</w:t>
            </w:r>
          </w:p>
        </w:tc>
        <w:tc>
          <w:tcPr>
            <w:tcW w:w="1074" w:type="pct"/>
            <w:tcBorders>
              <w:top w:val="single" w:sz="4" w:space="0" w:color="auto"/>
              <w:left w:val="nil"/>
              <w:bottom w:val="single" w:sz="4" w:space="0" w:color="auto"/>
              <w:right w:val="single" w:sz="4" w:space="0" w:color="auto"/>
            </w:tcBorders>
            <w:noWrap/>
          </w:tcPr>
          <w:p w:rsidR="00D53C5B" w:rsidRPr="005F7F2F" w:rsidRDefault="00D53C5B" w:rsidP="001B00C2">
            <w:pPr>
              <w:bidi/>
              <w:rPr>
                <w:rFonts w:ascii="Arabic Typesetting" w:hAnsi="Arabic Typesetting" w:cs="Arabic Typesetting"/>
                <w:sz w:val="26"/>
                <w:szCs w:val="26"/>
              </w:rPr>
            </w:pPr>
            <w:r w:rsidRPr="001A348E">
              <w:rPr>
                <w:rFonts w:ascii="Arabic Typesetting" w:hAnsi="Arabic Typesetting" w:cs="Arabic Typesetting"/>
                <w:sz w:val="26"/>
                <w:szCs w:val="26"/>
                <w:rtl/>
              </w:rPr>
              <w:t>أوزبكستان</w:t>
            </w:r>
          </w:p>
        </w:tc>
        <w:tc>
          <w:tcPr>
            <w:tcW w:w="614"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02.01.2001</w:t>
            </w:r>
          </w:p>
        </w:tc>
        <w:tc>
          <w:tcPr>
            <w:tcW w:w="690" w:type="pct"/>
            <w:tcBorders>
              <w:top w:val="single" w:sz="4" w:space="0" w:color="auto"/>
              <w:left w:val="nil"/>
              <w:bottom w:val="single" w:sz="4" w:space="0" w:color="auto"/>
              <w:right w:val="single" w:sz="4" w:space="0" w:color="auto"/>
            </w:tcBorders>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30.06.2006</w:t>
            </w:r>
          </w:p>
        </w:tc>
        <w:tc>
          <w:tcPr>
            <w:tcW w:w="1229" w:type="pct"/>
            <w:tcBorders>
              <w:top w:val="single" w:sz="4" w:space="0" w:color="auto"/>
              <w:left w:val="nil"/>
              <w:bottom w:val="single" w:sz="4" w:space="0" w:color="auto"/>
              <w:right w:val="single" w:sz="4" w:space="0" w:color="auto"/>
            </w:tcBorders>
          </w:tcPr>
          <w:p w:rsidR="00D53C5B" w:rsidRPr="005F7F2F" w:rsidRDefault="00D53C5B" w:rsidP="001B00C2">
            <w:pPr>
              <w:bidi/>
              <w:rPr>
                <w:rFonts w:ascii="Arabic Typesetting" w:hAnsi="Arabic Typesetting" w:cs="Arabic Typesetting"/>
                <w:sz w:val="26"/>
                <w:szCs w:val="26"/>
              </w:rPr>
            </w:pPr>
            <w:r>
              <w:rPr>
                <w:rFonts w:ascii="Arabic Typesetting" w:hAnsi="Arabic Typesetting" w:cs="Arabic Typesetting"/>
                <w:sz w:val="26"/>
                <w:szCs w:val="26"/>
                <w:rtl/>
              </w:rPr>
              <w:t>بيانات دخول الطلبات الدولية في المرحلة الوطنية بناء على معاهدة التعاون بشأن البراءات</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D53C5B" w:rsidRPr="005F7F2F" w:rsidRDefault="00D53C5B" w:rsidP="001B00C2">
            <w:pPr>
              <w:bidi/>
              <w:jc w:val="center"/>
              <w:rPr>
                <w:rFonts w:ascii="Arabic Typesetting" w:hAnsi="Arabic Typesetting" w:cs="Arabic Typesetting"/>
                <w:sz w:val="26"/>
                <w:szCs w:val="26"/>
              </w:rPr>
            </w:pPr>
            <w:r w:rsidRPr="005F7F2F">
              <w:rPr>
                <w:rFonts w:ascii="Arabic Typesetting" w:hAnsi="Arabic Typesetting" w:cs="Arabic Typesetting"/>
                <w:sz w:val="26"/>
                <w:szCs w:val="26"/>
              </w:rPr>
              <w:t>2006/37</w:t>
            </w:r>
          </w:p>
        </w:tc>
      </w:tr>
    </w:tbl>
    <w:p w:rsidR="00D53C5B" w:rsidRDefault="00D53C5B" w:rsidP="00085DAF">
      <w:pPr>
        <w:pStyle w:val="EndofDocumentAR"/>
        <w:spacing w:before="240"/>
        <w:rPr>
          <w:rtl/>
        </w:rPr>
      </w:pPr>
      <w:r>
        <w:rPr>
          <w:rFonts w:hint="cs"/>
          <w:rtl/>
        </w:rPr>
        <w:t>[يلي ذلك المرفق الثاني]</w:t>
      </w:r>
    </w:p>
    <w:p w:rsidR="00D71426" w:rsidRPr="00D53C5B" w:rsidRDefault="00D71426" w:rsidP="00D53C5B">
      <w:pPr>
        <w:pStyle w:val="NormalParaAR"/>
        <w:keepNext/>
        <w:rPr>
          <w:b/>
          <w:bCs/>
          <w:sz w:val="40"/>
          <w:szCs w:val="40"/>
          <w:rtl/>
        </w:rPr>
      </w:pPr>
    </w:p>
    <w:sectPr w:rsidR="00D71426" w:rsidRPr="00D53C5B" w:rsidSect="00D71426">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C2" w:rsidRDefault="001B00C2">
      <w:r>
        <w:separator/>
      </w:r>
    </w:p>
  </w:endnote>
  <w:endnote w:type="continuationSeparator" w:id="0">
    <w:p w:rsidR="001B00C2" w:rsidRDefault="001B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C2" w:rsidRDefault="001B00C2" w:rsidP="009622BF">
      <w:pPr>
        <w:bidi/>
      </w:pPr>
      <w:bookmarkStart w:id="0" w:name="OLE_LINK1"/>
      <w:bookmarkStart w:id="1" w:name="OLE_LINK2"/>
      <w:r>
        <w:separator/>
      </w:r>
      <w:bookmarkEnd w:id="0"/>
      <w:bookmarkEnd w:id="1"/>
    </w:p>
  </w:footnote>
  <w:footnote w:type="continuationSeparator" w:id="0">
    <w:p w:rsidR="001B00C2" w:rsidRDefault="001B00C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C2" w:rsidRPr="00E039B6" w:rsidRDefault="001B00C2" w:rsidP="00083333">
    <w:r w:rsidRPr="00E039B6">
      <w:t>CWS</w:t>
    </w:r>
    <w:r>
      <w:t>/</w:t>
    </w:r>
    <w:r w:rsidR="00083333">
      <w:t>4</w:t>
    </w:r>
    <w:r w:rsidRPr="00E039B6">
      <w:t>/</w:t>
    </w:r>
    <w:r w:rsidR="00083333">
      <w:t>12</w:t>
    </w:r>
  </w:p>
  <w:p w:rsidR="001B00C2" w:rsidRPr="00FA26BD" w:rsidRDefault="001B00C2" w:rsidP="00D0072B">
    <w:pPr>
      <w:rPr>
        <w:rFonts w:ascii="Arabic Typesetting" w:hAnsi="Arabic Typesetting" w:cs="Arabic Typesetting"/>
        <w:sz w:val="36"/>
        <w:szCs w:val="36"/>
        <w:rtl/>
      </w:rPr>
    </w:pPr>
    <w:r w:rsidRPr="00E039B6">
      <w:t>Annex I</w:t>
    </w:r>
  </w:p>
  <w:p w:rsidR="001B00C2" w:rsidRDefault="001B00C2" w:rsidP="001B00C2">
    <w:r>
      <w:fldChar w:fldCharType="begin"/>
    </w:r>
    <w:r>
      <w:instrText xml:space="preserve"> PAGE  \* MERGEFORMAT </w:instrText>
    </w:r>
    <w:r>
      <w:fldChar w:fldCharType="separate"/>
    </w:r>
    <w:r w:rsidR="00996BE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C2" w:rsidRDefault="001B00C2" w:rsidP="001B00C2">
    <w:r>
      <w:t>CWS/4/12</w:t>
    </w:r>
  </w:p>
  <w:p w:rsidR="001B00C2" w:rsidRDefault="001B00C2" w:rsidP="001B00C2">
    <w:r>
      <w:t>ANNEX I</w:t>
    </w:r>
  </w:p>
  <w:p w:rsidR="001B00C2" w:rsidRPr="0018049E" w:rsidRDefault="001B00C2" w:rsidP="001B00C2">
    <w:pPr>
      <w:rPr>
        <w:rFonts w:ascii="Arabic Typesetting" w:hAnsi="Arabic Typesetting" w:cs="Arabic Typesetting"/>
        <w:sz w:val="36"/>
        <w:szCs w:val="36"/>
        <w:rtl/>
      </w:rPr>
    </w:pPr>
    <w:r w:rsidRPr="0018049E">
      <w:rPr>
        <w:rFonts w:ascii="Arabic Typesetting" w:hAnsi="Arabic Typesetting" w:cs="Arabic Typesetting"/>
        <w:sz w:val="36"/>
        <w:szCs w:val="36"/>
        <w:rtl/>
      </w:rPr>
      <w:t>المرفق الأول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C2" w:rsidRPr="00E039B6" w:rsidRDefault="001B00C2" w:rsidP="00927AE6">
    <w:r w:rsidRPr="00E039B6">
      <w:t>CWS</w:t>
    </w:r>
    <w:r>
      <w:t>/4</w:t>
    </w:r>
    <w:r w:rsidRPr="00E039B6">
      <w:t>/</w:t>
    </w:r>
    <w:r>
      <w:t>12</w:t>
    </w:r>
  </w:p>
  <w:p w:rsidR="001B00C2" w:rsidRPr="00FA26BD" w:rsidRDefault="001B00C2" w:rsidP="00D0072B">
    <w:pPr>
      <w:rPr>
        <w:rFonts w:ascii="Arabic Typesetting" w:hAnsi="Arabic Typesetting" w:cs="Arabic Typesetting"/>
        <w:sz w:val="36"/>
        <w:szCs w:val="36"/>
      </w:rPr>
    </w:pPr>
    <w:r w:rsidRPr="00E039B6">
      <w:t>Annex I</w:t>
    </w:r>
    <w:r>
      <w:t>, Appendix 1</w:t>
    </w:r>
  </w:p>
  <w:p w:rsidR="001B00C2" w:rsidRDefault="001B00C2" w:rsidP="001B00C2">
    <w:r>
      <w:fldChar w:fldCharType="begin"/>
    </w:r>
    <w:r>
      <w:instrText xml:space="preserve"> PAGE  \* MERGEFORMAT </w:instrText>
    </w:r>
    <w:r>
      <w:fldChar w:fldCharType="separate"/>
    </w:r>
    <w:r w:rsidR="00996BE6">
      <w:rPr>
        <w:noProof/>
      </w:rPr>
      <w:t>4</w:t>
    </w:r>
    <w:r>
      <w:fldChar w:fldCharType="end"/>
    </w:r>
  </w:p>
  <w:p w:rsidR="001B00C2" w:rsidRDefault="001B00C2" w:rsidP="001B00C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C2" w:rsidRDefault="001B00C2" w:rsidP="001B00C2">
    <w:r>
      <w:t>CWS/4/12</w:t>
    </w:r>
  </w:p>
  <w:p w:rsidR="001B00C2" w:rsidRDefault="001B00C2" w:rsidP="001B00C2">
    <w:r>
      <w:t>ANNEX I, APPENDIX 1</w:t>
    </w:r>
  </w:p>
  <w:p w:rsidR="001B00C2" w:rsidRDefault="001B00C2" w:rsidP="001B00C2">
    <w:pPr>
      <w:rPr>
        <w:rFonts w:ascii="Arabic Typesetting" w:hAnsi="Arabic Typesetting" w:cs="Arabic Typesetting"/>
        <w:sz w:val="36"/>
        <w:szCs w:val="36"/>
        <w:rtl/>
      </w:rPr>
    </w:pPr>
    <w:r w:rsidRPr="0018049E">
      <w:rPr>
        <w:rFonts w:ascii="Arabic Typesetting" w:hAnsi="Arabic Typesetting" w:cs="Arabic Typesetting"/>
        <w:sz w:val="36"/>
        <w:szCs w:val="36"/>
        <w:rtl/>
      </w:rPr>
      <w:t>المرفق الأول</w:t>
    </w:r>
    <w:r>
      <w:rPr>
        <w:rFonts w:ascii="Arabic Typesetting" w:hAnsi="Arabic Typesetting" w:cs="Arabic Typesetting" w:hint="cs"/>
        <w:sz w:val="36"/>
        <w:szCs w:val="36"/>
        <w:rtl/>
      </w:rPr>
      <w:t>، الملحق الأول</w:t>
    </w:r>
  </w:p>
  <w:p w:rsidR="001B00C2" w:rsidRDefault="001B00C2" w:rsidP="001B00C2">
    <w:pPr>
      <w:rPr>
        <w:rFonts w:ascii="Arabic Typesetting" w:hAnsi="Arabic Typesetting" w:cs="Arabic Typesetting"/>
        <w:sz w:val="36"/>
        <w:szCs w:val="36"/>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C2" w:rsidRDefault="001B00C2" w:rsidP="000B5D54">
    <w:pPr>
      <w:rPr>
        <w:szCs w:val="22"/>
        <w:rtl/>
      </w:rPr>
    </w:pPr>
    <w:r w:rsidRPr="002F280A">
      <w:rPr>
        <w:szCs w:val="22"/>
      </w:rPr>
      <w:t>CWS/4/</w:t>
    </w:r>
    <w:r>
      <w:rPr>
        <w:szCs w:val="22"/>
      </w:rPr>
      <w:t>12</w:t>
    </w:r>
  </w:p>
  <w:p w:rsidR="001B00C2" w:rsidRPr="002F280A" w:rsidRDefault="001B00C2" w:rsidP="00924C1F">
    <w:pPr>
      <w:rPr>
        <w:szCs w:val="22"/>
      </w:rPr>
    </w:pPr>
    <w:r>
      <w:rPr>
        <w:szCs w:val="22"/>
      </w:rPr>
      <w:t xml:space="preserve">Annex I, Appendix </w:t>
    </w:r>
    <w:r>
      <w:rPr>
        <w:rFonts w:hint="cs"/>
        <w:szCs w:val="22"/>
        <w:rtl/>
      </w:rPr>
      <w:t>2</w:t>
    </w:r>
  </w:p>
  <w:p w:rsidR="001B00C2" w:rsidRDefault="001B00C2" w:rsidP="00D61541">
    <w:r>
      <w:fldChar w:fldCharType="begin"/>
    </w:r>
    <w:r>
      <w:instrText xml:space="preserve"> PAGE  \* MERGEFORMAT </w:instrText>
    </w:r>
    <w:r>
      <w:fldChar w:fldCharType="separate"/>
    </w:r>
    <w:r w:rsidR="00996BE6">
      <w:rPr>
        <w:noProof/>
      </w:rPr>
      <w:t>2</w:t>
    </w:r>
    <w:r>
      <w:fldChar w:fldCharType="end"/>
    </w:r>
  </w:p>
  <w:p w:rsidR="001B00C2" w:rsidRDefault="001B00C2"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C2" w:rsidRDefault="001B00C2" w:rsidP="007B24B7">
    <w:pPr>
      <w:pStyle w:val="Header"/>
    </w:pPr>
    <w:r>
      <w:t>CWS/4/12</w:t>
    </w:r>
  </w:p>
  <w:p w:rsidR="001B00C2" w:rsidRDefault="001B00C2" w:rsidP="00924C1F">
    <w:pPr>
      <w:pStyle w:val="Header"/>
    </w:pPr>
    <w:r>
      <w:t xml:space="preserve">ANNEX I, APPENDIX </w:t>
    </w:r>
    <w:r>
      <w:rPr>
        <w:rFonts w:hint="cs"/>
        <w:rtl/>
      </w:rPr>
      <w:t>2</w:t>
    </w:r>
  </w:p>
  <w:p w:rsidR="001B00C2" w:rsidRPr="00E9691D" w:rsidRDefault="001B00C2" w:rsidP="00924C1F">
    <w:pPr>
      <w:pStyle w:val="Header"/>
      <w:rPr>
        <w:rFonts w:ascii="Arabic Typesetting" w:hAnsi="Arabic Typesetting" w:cs="Arabic Typesetting"/>
        <w:sz w:val="36"/>
        <w:szCs w:val="36"/>
        <w:rtl/>
      </w:rPr>
    </w:pPr>
    <w:r w:rsidRPr="00E9691D">
      <w:rPr>
        <w:rFonts w:ascii="Arabic Typesetting" w:hAnsi="Arabic Typesetting" w:cs="Arabic Typesetting"/>
        <w:sz w:val="36"/>
        <w:szCs w:val="36"/>
        <w:rtl/>
      </w:rPr>
      <w:t>المرفق الأول</w:t>
    </w:r>
    <w:r>
      <w:rPr>
        <w:rFonts w:ascii="Arabic Typesetting" w:hAnsi="Arabic Typesetting" w:cs="Arabic Typesetting" w:hint="cs"/>
        <w:sz w:val="36"/>
        <w:szCs w:val="36"/>
        <w:rtl/>
      </w:rPr>
      <w:t>، الملحق الثاني</w:t>
    </w:r>
  </w:p>
  <w:p w:rsidR="001B00C2" w:rsidRDefault="001B00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1DE40ED4"/>
    <w:lvl w:ilvl="0" w:tplc="5E6A6E6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CA5ECD"/>
    <w:multiLevelType w:val="hybridMultilevel"/>
    <w:tmpl w:val="4DB6A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D682996"/>
    <w:multiLevelType w:val="hybridMultilevel"/>
    <w:tmpl w:val="B9F0B21E"/>
    <w:lvl w:ilvl="0" w:tplc="CDFAA434">
      <w:start w:val="1"/>
      <w:numFmt w:val="bullet"/>
      <w:lvlText w:val=""/>
      <w:lvlJc w:val="left"/>
      <w:pPr>
        <w:ind w:left="1276" w:hanging="360"/>
      </w:pPr>
      <w:rPr>
        <w:rFonts w:ascii="Symbol" w:hAnsi="Symbol" w:hint="default"/>
        <w:sz w:val="28"/>
        <w:szCs w:val="28"/>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763D14"/>
    <w:multiLevelType w:val="hybridMultilevel"/>
    <w:tmpl w:val="CDEC7C9E"/>
    <w:lvl w:ilvl="0" w:tplc="310CEA1A">
      <w:start w:val="1"/>
      <w:numFmt w:val="bullet"/>
      <w:lvlText w:val=""/>
      <w:lvlJc w:val="left"/>
      <w:pPr>
        <w:ind w:left="720" w:hanging="360"/>
      </w:pPr>
      <w:rPr>
        <w:rFonts w:ascii="Symbol" w:hAnsi="Symbol" w:hint="default"/>
        <w:sz w:val="24"/>
        <w:szCs w:val="24"/>
      </w:rPr>
    </w:lvl>
    <w:lvl w:ilvl="1" w:tplc="2160E5EC">
      <w:numFmt w:val="bullet"/>
      <w:lvlText w:val="-"/>
      <w:lvlJc w:val="left"/>
      <w:pPr>
        <w:ind w:left="1440" w:hanging="360"/>
      </w:pPr>
      <w:rPr>
        <w:rFonts w:ascii="Arabic Typesetting" w:eastAsia="Times New Roman" w:hAnsi="Arabic Typesetting" w:cs="Arabic Typesettin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0"/>
  </w:num>
  <w:num w:numId="5">
    <w:abstractNumId w:val="8"/>
  </w:num>
  <w:num w:numId="6">
    <w:abstractNumId w:val="21"/>
  </w:num>
  <w:num w:numId="7">
    <w:abstractNumId w:val="13"/>
  </w:num>
  <w:num w:numId="8">
    <w:abstractNumId w:val="18"/>
  </w:num>
  <w:num w:numId="9">
    <w:abstractNumId w:val="16"/>
  </w:num>
  <w:num w:numId="10">
    <w:abstractNumId w:val="22"/>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9"/>
  </w:num>
  <w:num w:numId="23">
    <w:abstractNumId w:val="14"/>
  </w:num>
  <w:num w:numId="24">
    <w:abstractNumId w:val="12"/>
  </w:num>
  <w:num w:numId="25">
    <w:abstractNumId w:val="12"/>
  </w:num>
  <w:num w:numId="26">
    <w:abstractNumId w:val="12"/>
  </w:num>
  <w:num w:numId="27">
    <w:abstractNumId w:val="12"/>
  </w:num>
  <w:num w:numId="28">
    <w:abstractNumId w:val="12"/>
  </w:num>
  <w:num w:numId="29">
    <w:abstractNumId w:val="12"/>
    <w:lvlOverride w:ilvl="0">
      <w:startOverride w:val="1"/>
    </w:lvlOverride>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A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BC9"/>
    <w:rsid w:val="00063C91"/>
    <w:rsid w:val="000640E7"/>
    <w:rsid w:val="00066DC7"/>
    <w:rsid w:val="0006794A"/>
    <w:rsid w:val="00067F31"/>
    <w:rsid w:val="00071138"/>
    <w:rsid w:val="00073402"/>
    <w:rsid w:val="00075745"/>
    <w:rsid w:val="00075A04"/>
    <w:rsid w:val="00075D39"/>
    <w:rsid w:val="000760C3"/>
    <w:rsid w:val="000763A4"/>
    <w:rsid w:val="00076901"/>
    <w:rsid w:val="0007727E"/>
    <w:rsid w:val="0008237C"/>
    <w:rsid w:val="00083333"/>
    <w:rsid w:val="000833C3"/>
    <w:rsid w:val="0008421F"/>
    <w:rsid w:val="0008451C"/>
    <w:rsid w:val="00085A0B"/>
    <w:rsid w:val="00085DAF"/>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2A8"/>
    <w:rsid w:val="000B3889"/>
    <w:rsid w:val="000B3B3B"/>
    <w:rsid w:val="000B42E7"/>
    <w:rsid w:val="000B5D54"/>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B4A"/>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E09"/>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0C2"/>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91"/>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47D3E"/>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925"/>
    <w:rsid w:val="0026520E"/>
    <w:rsid w:val="00266486"/>
    <w:rsid w:val="00266B0A"/>
    <w:rsid w:val="00266C61"/>
    <w:rsid w:val="0026749A"/>
    <w:rsid w:val="002702BB"/>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3AB4"/>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4E40"/>
    <w:rsid w:val="002D5DDC"/>
    <w:rsid w:val="002D5F16"/>
    <w:rsid w:val="002D62F1"/>
    <w:rsid w:val="002D6FD8"/>
    <w:rsid w:val="002D727B"/>
    <w:rsid w:val="002D7EAD"/>
    <w:rsid w:val="002E1169"/>
    <w:rsid w:val="002E1218"/>
    <w:rsid w:val="002E28F3"/>
    <w:rsid w:val="002E7615"/>
    <w:rsid w:val="002E7A2A"/>
    <w:rsid w:val="002E7F16"/>
    <w:rsid w:val="002F1425"/>
    <w:rsid w:val="002F280A"/>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695F"/>
    <w:rsid w:val="00311453"/>
    <w:rsid w:val="003114C9"/>
    <w:rsid w:val="0031229D"/>
    <w:rsid w:val="00314E12"/>
    <w:rsid w:val="00315C23"/>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3712"/>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893"/>
    <w:rsid w:val="00390FC0"/>
    <w:rsid w:val="003911B2"/>
    <w:rsid w:val="00391AFE"/>
    <w:rsid w:val="00391C18"/>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5F84"/>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2FB"/>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0B25"/>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A7B"/>
    <w:rsid w:val="00472043"/>
    <w:rsid w:val="00472F56"/>
    <w:rsid w:val="0047335E"/>
    <w:rsid w:val="00473CA1"/>
    <w:rsid w:val="0047572C"/>
    <w:rsid w:val="00476407"/>
    <w:rsid w:val="004773F7"/>
    <w:rsid w:val="00481F5F"/>
    <w:rsid w:val="004821D0"/>
    <w:rsid w:val="00482CB2"/>
    <w:rsid w:val="00483D06"/>
    <w:rsid w:val="00484E4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2F2"/>
    <w:rsid w:val="004E2CBC"/>
    <w:rsid w:val="004E3DD4"/>
    <w:rsid w:val="004E5C1A"/>
    <w:rsid w:val="004E6BCE"/>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F8"/>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BC5"/>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9F9"/>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E7828"/>
    <w:rsid w:val="005F0112"/>
    <w:rsid w:val="005F03E3"/>
    <w:rsid w:val="005F0829"/>
    <w:rsid w:val="005F32BE"/>
    <w:rsid w:val="005F34FB"/>
    <w:rsid w:val="005F39A0"/>
    <w:rsid w:val="005F6B68"/>
    <w:rsid w:val="005F6F2E"/>
    <w:rsid w:val="005F732F"/>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CB9"/>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5C7A"/>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3331"/>
    <w:rsid w:val="006E4601"/>
    <w:rsid w:val="006E5B86"/>
    <w:rsid w:val="006E63FF"/>
    <w:rsid w:val="006E652D"/>
    <w:rsid w:val="006E7572"/>
    <w:rsid w:val="006F2F22"/>
    <w:rsid w:val="006F3CFF"/>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4B7"/>
    <w:rsid w:val="007B2800"/>
    <w:rsid w:val="007B38F7"/>
    <w:rsid w:val="007B40D4"/>
    <w:rsid w:val="007B4511"/>
    <w:rsid w:val="007B52FE"/>
    <w:rsid w:val="007B5C86"/>
    <w:rsid w:val="007B6071"/>
    <w:rsid w:val="007B6540"/>
    <w:rsid w:val="007B69A2"/>
    <w:rsid w:val="007C09C4"/>
    <w:rsid w:val="007C1D56"/>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E2B"/>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6E52"/>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7ED"/>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D98"/>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C1F"/>
    <w:rsid w:val="00925956"/>
    <w:rsid w:val="00925DD2"/>
    <w:rsid w:val="00926344"/>
    <w:rsid w:val="00926929"/>
    <w:rsid w:val="00927301"/>
    <w:rsid w:val="00927AE6"/>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97D"/>
    <w:rsid w:val="00983CEA"/>
    <w:rsid w:val="00984198"/>
    <w:rsid w:val="00984E04"/>
    <w:rsid w:val="00986194"/>
    <w:rsid w:val="009861D2"/>
    <w:rsid w:val="00986E53"/>
    <w:rsid w:val="00987CE5"/>
    <w:rsid w:val="00993CF0"/>
    <w:rsid w:val="0099428D"/>
    <w:rsid w:val="009949A7"/>
    <w:rsid w:val="00995CDC"/>
    <w:rsid w:val="00996BE6"/>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1FE"/>
    <w:rsid w:val="009E09F5"/>
    <w:rsid w:val="009E0DBC"/>
    <w:rsid w:val="009E11BD"/>
    <w:rsid w:val="009E1DF8"/>
    <w:rsid w:val="009E2C1A"/>
    <w:rsid w:val="009E2C4B"/>
    <w:rsid w:val="009E2D2E"/>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A9"/>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48"/>
    <w:rsid w:val="00B82C97"/>
    <w:rsid w:val="00B851D5"/>
    <w:rsid w:val="00B85B06"/>
    <w:rsid w:val="00B90558"/>
    <w:rsid w:val="00B91B12"/>
    <w:rsid w:val="00B92958"/>
    <w:rsid w:val="00B93957"/>
    <w:rsid w:val="00B9404A"/>
    <w:rsid w:val="00B94877"/>
    <w:rsid w:val="00B9491F"/>
    <w:rsid w:val="00B96043"/>
    <w:rsid w:val="00B96F5D"/>
    <w:rsid w:val="00BA02F9"/>
    <w:rsid w:val="00BA1987"/>
    <w:rsid w:val="00BA2682"/>
    <w:rsid w:val="00BA31E4"/>
    <w:rsid w:val="00BA34CA"/>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6B49"/>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2C3"/>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8DB"/>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34"/>
    <w:rsid w:val="00CC4DB0"/>
    <w:rsid w:val="00CC5038"/>
    <w:rsid w:val="00CC5326"/>
    <w:rsid w:val="00CC7426"/>
    <w:rsid w:val="00CC78A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2B"/>
    <w:rsid w:val="00D007D6"/>
    <w:rsid w:val="00D01A9F"/>
    <w:rsid w:val="00D01CED"/>
    <w:rsid w:val="00D01E38"/>
    <w:rsid w:val="00D022B5"/>
    <w:rsid w:val="00D039B5"/>
    <w:rsid w:val="00D04816"/>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6D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3C5B"/>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26"/>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1E7B"/>
    <w:rsid w:val="00DC2641"/>
    <w:rsid w:val="00DC2B1E"/>
    <w:rsid w:val="00DC7481"/>
    <w:rsid w:val="00DC7591"/>
    <w:rsid w:val="00DD0839"/>
    <w:rsid w:val="00DD26D0"/>
    <w:rsid w:val="00DD47D5"/>
    <w:rsid w:val="00DD6729"/>
    <w:rsid w:val="00DD7960"/>
    <w:rsid w:val="00DD7B0D"/>
    <w:rsid w:val="00DE1F29"/>
    <w:rsid w:val="00DE3FEB"/>
    <w:rsid w:val="00DE4905"/>
    <w:rsid w:val="00DE4E90"/>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5DB"/>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5D1"/>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91D"/>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D29"/>
    <w:rsid w:val="00EE270D"/>
    <w:rsid w:val="00EE6989"/>
    <w:rsid w:val="00EE6C77"/>
    <w:rsid w:val="00EE7604"/>
    <w:rsid w:val="00EE7912"/>
    <w:rsid w:val="00EE7915"/>
    <w:rsid w:val="00EF0465"/>
    <w:rsid w:val="00EF07AE"/>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6F9"/>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37E"/>
    <w:rsid w:val="00FA0A0A"/>
    <w:rsid w:val="00FA0C9D"/>
    <w:rsid w:val="00FA169B"/>
    <w:rsid w:val="00FA26BD"/>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BD8"/>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C5B"/>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rsid w:val="00E9691D"/>
    <w:rPr>
      <w:rFonts w:ascii="Arial" w:hAnsi="Arial" w:cs="Arial"/>
      <w:sz w:val="22"/>
    </w:rPr>
  </w:style>
  <w:style w:type="character" w:customStyle="1" w:styleId="FooterChar">
    <w:name w:val="Footer Char"/>
    <w:link w:val="Footer"/>
    <w:semiHidden/>
    <w:rsid w:val="00D53C5B"/>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C5B"/>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rsid w:val="00E9691D"/>
    <w:rPr>
      <w:rFonts w:ascii="Arial" w:hAnsi="Arial" w:cs="Arial"/>
      <w:sz w:val="22"/>
    </w:rPr>
  </w:style>
  <w:style w:type="character" w:customStyle="1" w:styleId="FooterChar">
    <w:name w:val="Footer Char"/>
    <w:link w:val="Footer"/>
    <w:semiHidden/>
    <w:rsid w:val="00D53C5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2141</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CWS/4/-- (Arabic)</vt:lpstr>
    </vt:vector>
  </TitlesOfParts>
  <Company>WIPO</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CWS/4/12 Annex I (in Arabic)</dc:title>
  <dc:subject>تقرير مرحلي بشأن المهمة رقم 23 للجنة المعنية بمعايير الويبو</dc:subject>
  <dc:creator>WIPO</dc:creator>
  <cp:lastModifiedBy>BERNARD Isabelle</cp:lastModifiedBy>
  <cp:revision>3</cp:revision>
  <cp:lastPrinted>2014-04-07T09:07:00Z</cp:lastPrinted>
  <dcterms:created xsi:type="dcterms:W3CDTF">2014-04-09T07:10:00Z</dcterms:created>
  <dcterms:modified xsi:type="dcterms:W3CDTF">2014-04-09T07:19:00Z</dcterms:modified>
</cp:coreProperties>
</file>