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DB28" w14:textId="6F845501" w:rsidR="008B2CC1" w:rsidRPr="008B2CC1" w:rsidRDefault="00926158" w:rsidP="00F11D94">
      <w:pPr>
        <w:bidi/>
        <w:spacing w:after="120"/>
        <w:jc w:val="right"/>
        <w:rPr>
          <w:rtl/>
        </w:rPr>
      </w:pPr>
      <w:r>
        <w:rPr>
          <w:b/>
          <w:noProof/>
          <w:sz w:val="32"/>
          <w:szCs w:val="40"/>
        </w:rPr>
        <mc:AlternateContent>
          <mc:Choice Requires="wpg">
            <w:drawing>
              <wp:inline distT="0" distB="0" distL="0" distR="0" wp14:anchorId="42BE0B63" wp14:editId="0FC7B0E8">
                <wp:extent cx="2777259" cy="1333500"/>
                <wp:effectExtent l="0" t="0" r="4445" b="0"/>
                <wp:docPr id="613583800"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789944379" name="Picture 1789944379" descr="شعار المنظمة العالمية للملكية الفكرية (الويبو)" title="شعار الويبو"/>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1427179675" name="Picture 1427179675" descr="عربية" title="عربية"/>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6D14F9C4"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89944379"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">
                  <v:imagedata r:id="rId14" o:title="شعار المنظمة العالمية للملكية الفكرية (الويبو)"/>
                </v:shape>
                <v:shape id="Picture 1427179675"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">
                  <v:imagedata r:id="rId15" o:title="عربية"/>
                </v:shape>
                <w10:anchorlock/>
              </v:group>
            </w:pict>
          </mc:Fallback>
        </mc:AlternateContent>
      </w:r>
      <w:r w:rsidR="00873EE5">
        <w:rPr>
          <w:rFonts w:ascii="Arial Black" w:hAnsi="Arial Black" w:hint="cs"/>
          <w:caps/>
          <w:noProof/>
          <w:sz w:val="15"/>
          <w:rtl/>
        </w:rPr>
        <mc:AlternateContent>
          <mc:Choice Requires="wps">
            <w:drawing>
              <wp:inline distT="0" distB="0" distL="0" distR="0" wp14:anchorId="5FA1614A" wp14:editId="27AE9484">
                <wp:extent cx="5935980" cy="0"/>
                <wp:effectExtent l="0" t="0" r="26670" b="19050"/>
                <wp:docPr id="2" name="Straight Connector 2" descr="خط أفقي"/>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728C0CA"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5BCE4594" w14:textId="4A796010" w:rsidR="008B2CC1" w:rsidRPr="00926158" w:rsidRDefault="000817DB" w:rsidP="00926158">
      <w:pPr>
        <w:rPr>
          <w:rFonts w:ascii="Arial Black" w:hAnsi="Arial Black"/>
          <w:caps/>
          <w:sz w:val="20"/>
          <w:rtl/>
        </w:rPr>
      </w:pPr>
      <w:r w:rsidRPr="00926158">
        <w:rPr>
          <w:rFonts w:ascii="Arial Black" w:hAnsi="Arial Black"/>
          <w:sz w:val="20"/>
        </w:rPr>
        <w:t>CWS</w:t>
      </w:r>
      <w:r w:rsidR="00BF2BD8">
        <w:rPr>
          <w:rFonts w:ascii="Arial Black" w:hAnsi="Arial Black"/>
          <w:sz w:val="20"/>
        </w:rPr>
        <w:t>/</w:t>
      </w:r>
      <w:r w:rsidRPr="00926158">
        <w:rPr>
          <w:rFonts w:ascii="Arial Black" w:hAnsi="Arial Black"/>
          <w:sz w:val="20"/>
        </w:rPr>
        <w:t>14</w:t>
      </w:r>
      <w:r w:rsidR="00BF2BD8">
        <w:rPr>
          <w:rFonts w:ascii="Arial Black" w:hAnsi="Arial Black"/>
          <w:sz w:val="20"/>
        </w:rPr>
        <w:t>/</w:t>
      </w:r>
      <w:r w:rsidRPr="00926158">
        <w:rPr>
          <w:rFonts w:ascii="Arial Black" w:hAnsi="Arial Black"/>
          <w:sz w:val="20"/>
        </w:rPr>
        <w:t>20</w:t>
      </w:r>
      <w:r w:rsidRPr="00926158">
        <w:rPr>
          <w:rFonts w:ascii="Arial Black" w:hAnsi="Arial Black"/>
          <w:sz w:val="20"/>
          <w:rtl/>
        </w:rPr>
        <w:t xml:space="preserve"> </w:t>
      </w:r>
    </w:p>
    <w:p w14:paraId="13501F04" w14:textId="6C09A87F" w:rsidR="00CE65D4" w:rsidRPr="00926158" w:rsidRDefault="00CE65D4" w:rsidP="00CE65D4">
      <w:pPr>
        <w:bidi/>
        <w:jc w:val="right"/>
        <w:rPr>
          <w:rFonts w:cs="Calibri"/>
          <w:b/>
          <w:bCs/>
          <w:caps/>
          <w:sz w:val="20"/>
          <w:rtl/>
        </w:rPr>
      </w:pPr>
      <w:r w:rsidRPr="00926158">
        <w:rPr>
          <w:rFonts w:cs="Calibri" w:hint="cs"/>
          <w:b/>
          <w:bCs/>
          <w:sz w:val="20"/>
          <w:rtl/>
        </w:rPr>
        <w:t>الأصل: بالإنكليزية</w:t>
      </w:r>
    </w:p>
    <w:p w14:paraId="03C288F7" w14:textId="234D8BC0" w:rsidR="008B2CC1" w:rsidRPr="00926158" w:rsidRDefault="00CE65D4" w:rsidP="00CE65D4">
      <w:pPr>
        <w:bidi/>
        <w:spacing w:after="1200"/>
        <w:jc w:val="right"/>
        <w:rPr>
          <w:rFonts w:cs="Calibri"/>
          <w:b/>
          <w:bCs/>
          <w:caps/>
          <w:sz w:val="20"/>
          <w:rtl/>
        </w:rPr>
      </w:pPr>
      <w:r w:rsidRPr="00926158">
        <w:rPr>
          <w:rFonts w:cs="Calibri" w:hint="cs"/>
          <w:b/>
          <w:bCs/>
          <w:caps/>
          <w:sz w:val="20"/>
          <w:rtl/>
        </w:rPr>
        <w:t xml:space="preserve">التاريخ: </w:t>
      </w:r>
      <w:bookmarkStart w:id="0" w:name="Date"/>
      <w:r w:rsidRPr="00926158">
        <w:rPr>
          <w:rFonts w:cs="Calibri" w:hint="cs"/>
          <w:b/>
          <w:bCs/>
          <w:caps/>
          <w:sz w:val="20"/>
          <w:rtl/>
        </w:rPr>
        <w:t>30 سبتمبر 2026</w:t>
      </w:r>
    </w:p>
    <w:bookmarkEnd w:id="0"/>
    <w:p w14:paraId="590D1B29" w14:textId="10BABA67" w:rsidR="008B2CC1" w:rsidRPr="00926158" w:rsidRDefault="000817DB" w:rsidP="00CE65D4">
      <w:pPr>
        <w:bidi/>
        <w:spacing w:after="600"/>
        <w:rPr>
          <w:rFonts w:cs="Calibri"/>
          <w:b/>
          <w:sz w:val="28"/>
          <w:szCs w:val="28"/>
          <w:rtl/>
        </w:rPr>
      </w:pPr>
      <w:r w:rsidRPr="00926158">
        <w:rPr>
          <w:rFonts w:cs="Calibri" w:hint="cs"/>
          <w:b/>
          <w:bCs/>
          <w:sz w:val="28"/>
          <w:szCs w:val="28"/>
          <w:rtl/>
        </w:rPr>
        <w:t>اللجنة المعنية بمعايير الويبو</w:t>
      </w:r>
      <w:r w:rsidR="00926158">
        <w:rPr>
          <w:rFonts w:cs="Calibri"/>
          <w:b/>
          <w:bCs/>
          <w:sz w:val="28"/>
          <w:szCs w:val="28"/>
        </w:rPr>
        <w:t xml:space="preserve"> </w:t>
      </w:r>
      <w:r w:rsidRPr="00926158">
        <w:rPr>
          <w:rFonts w:cs="Calibri" w:hint="cs"/>
          <w:b/>
          <w:bCs/>
          <w:sz w:val="28"/>
          <w:szCs w:val="28"/>
          <w:rtl/>
        </w:rPr>
        <w:t>(لجنة المعايير)</w:t>
      </w:r>
    </w:p>
    <w:p w14:paraId="66D7CCE8" w14:textId="77777777" w:rsidR="008B2CC1" w:rsidRPr="00926158" w:rsidRDefault="004B14C9" w:rsidP="008B2CC1">
      <w:pPr>
        <w:bidi/>
        <w:rPr>
          <w:rFonts w:cs="Calibri"/>
          <w:b/>
          <w:sz w:val="28"/>
          <w:szCs w:val="24"/>
          <w:rtl/>
        </w:rPr>
      </w:pPr>
      <w:r w:rsidRPr="00926158">
        <w:rPr>
          <w:rFonts w:cs="Calibri" w:hint="cs"/>
          <w:b/>
          <w:bCs/>
          <w:sz w:val="24"/>
          <w:szCs w:val="24"/>
          <w:rtl/>
        </w:rPr>
        <w:t>الدورة الرابعة عشرة</w:t>
      </w:r>
    </w:p>
    <w:p w14:paraId="7FDCD863" w14:textId="77777777" w:rsidR="008B2CC1" w:rsidRPr="00926158" w:rsidRDefault="000817DB" w:rsidP="00CE65D4">
      <w:pPr>
        <w:bidi/>
        <w:spacing w:after="720"/>
        <w:rPr>
          <w:rFonts w:cs="Calibri"/>
          <w:sz w:val="24"/>
          <w:rtl/>
        </w:rPr>
      </w:pPr>
      <w:r w:rsidRPr="00926158">
        <w:rPr>
          <w:rFonts w:cs="Calibri" w:hint="cs"/>
          <w:b/>
          <w:bCs/>
          <w:sz w:val="24"/>
          <w:szCs w:val="24"/>
          <w:rtl/>
        </w:rPr>
        <w:t>جنيف، من 23 إلى 27 نوفمبر 2026</w:t>
      </w:r>
    </w:p>
    <w:p w14:paraId="566654AF" w14:textId="2D5B1811" w:rsidR="008B2CC1" w:rsidRPr="00926158" w:rsidRDefault="00341AF2" w:rsidP="00CE65D4">
      <w:pPr>
        <w:bidi/>
        <w:spacing w:after="360"/>
        <w:rPr>
          <w:rFonts w:cs="Calibri"/>
          <w:caps/>
          <w:sz w:val="24"/>
          <w:szCs w:val="24"/>
          <w:rtl/>
        </w:rPr>
      </w:pPr>
      <w:bookmarkStart w:id="1" w:name="TitleOfDoc"/>
      <w:r w:rsidRPr="00926158">
        <w:rPr>
          <w:rFonts w:cs="Calibri" w:hint="cs"/>
          <w:sz w:val="24"/>
          <w:szCs w:val="24"/>
          <w:rtl/>
        </w:rPr>
        <w:t>تحليل نتائج الدراسة الاستقصائية بشأن ممارسات الاستشهاد فيما يتعلق بمعلومات البراءات</w:t>
      </w:r>
    </w:p>
    <w:p w14:paraId="2ECBAE31" w14:textId="4BA5760E" w:rsidR="008B2CC1" w:rsidRPr="00AB1B39" w:rsidRDefault="00341AF2" w:rsidP="00CE65D4">
      <w:pPr>
        <w:bidi/>
        <w:spacing w:after="960"/>
        <w:rPr>
          <w:rFonts w:cs="Calibri"/>
          <w:i/>
          <w:szCs w:val="22"/>
          <w:rtl/>
        </w:rPr>
      </w:pPr>
      <w:bookmarkStart w:id="2" w:name="Prepared"/>
      <w:bookmarkEnd w:id="1"/>
      <w:r w:rsidRPr="00AB1B39">
        <w:rPr>
          <w:rFonts w:cs="Calibri" w:hint="cs"/>
          <w:i/>
          <w:iCs/>
          <w:szCs w:val="22"/>
          <w:rtl/>
        </w:rPr>
        <w:t>وثيقة من إعداد الأمانة</w:t>
      </w:r>
    </w:p>
    <w:bookmarkEnd w:id="2"/>
    <w:p w14:paraId="76063C55" w14:textId="004A4D13" w:rsidR="00341AF2" w:rsidRPr="00AB1B39" w:rsidRDefault="00CD27C2" w:rsidP="00926158">
      <w:pPr>
        <w:pStyle w:val="Heading2"/>
        <w:rPr>
          <w:sz w:val="22"/>
          <w:szCs w:val="22"/>
          <w:rtl/>
        </w:rPr>
      </w:pPr>
      <w:r w:rsidRPr="00AB1B39">
        <w:rPr>
          <w:sz w:val="22"/>
          <w:szCs w:val="22"/>
          <w:rtl/>
        </w:rPr>
        <w:t>ملخص</w:t>
      </w:r>
    </w:p>
    <w:p w14:paraId="4E0CCB1F" w14:textId="69ADAEF7" w:rsidR="00C82A72" w:rsidRPr="00AB1B39" w:rsidRDefault="00C82A72" w:rsidP="00B7033B">
      <w:pPr>
        <w:pStyle w:val="ONUME"/>
        <w:bidi/>
        <w:rPr>
          <w:rFonts w:cs="Calibri"/>
          <w:szCs w:val="22"/>
          <w:rtl/>
        </w:rPr>
      </w:pPr>
      <w:r w:rsidRPr="00AB1B39">
        <w:rPr>
          <w:rFonts w:cs="Calibri" w:hint="cs"/>
          <w:szCs w:val="22"/>
          <w:rtl/>
        </w:rPr>
        <w:t xml:space="preserve">حللت الأمانة نتائج الدراسة الاستقصائية بشأن ممارسات الاستشهاد في مكاتب الملكية الفكرية وتقدم نتائجها للنظر فيها.  وفي ضوء هذا التحليل، تقترح الأمانة إنشاء مهمة جديدة لإعداد اقتراح مراجعة ضرورية لمعيار الويبو </w:t>
      </w:r>
      <w:r w:rsidRPr="00AB1B39">
        <w:rPr>
          <w:rFonts w:cs="Calibri"/>
          <w:szCs w:val="22"/>
        </w:rPr>
        <w:t>ST.14</w:t>
      </w:r>
      <w:r w:rsidRPr="00AB1B39">
        <w:rPr>
          <w:rFonts w:cs="Calibri" w:hint="cs"/>
          <w:szCs w:val="22"/>
          <w:rtl/>
        </w:rPr>
        <w:t xml:space="preserve"> وإعادة إنشاء فرقة العمل المعنية بالمعيار </w:t>
      </w:r>
      <w:r w:rsidRPr="00AB1B39">
        <w:rPr>
          <w:rFonts w:cs="Calibri"/>
          <w:szCs w:val="22"/>
        </w:rPr>
        <w:t>ST.14</w:t>
      </w:r>
      <w:r w:rsidRPr="00AB1B39">
        <w:rPr>
          <w:rFonts w:cs="Calibri" w:hint="cs"/>
          <w:szCs w:val="22"/>
          <w:rtl/>
        </w:rPr>
        <w:t xml:space="preserve"> للتعامل مع المهمة الجديدة.</w:t>
      </w:r>
    </w:p>
    <w:p w14:paraId="05B37B15" w14:textId="5BD93F4C" w:rsidR="00341AF2" w:rsidRPr="00AB1B39" w:rsidRDefault="00CD27C2" w:rsidP="00926158">
      <w:pPr>
        <w:pStyle w:val="Heading2"/>
        <w:rPr>
          <w:sz w:val="22"/>
          <w:szCs w:val="22"/>
          <w:rtl/>
        </w:rPr>
      </w:pPr>
      <w:r w:rsidRPr="00AB1B39">
        <w:rPr>
          <w:rFonts w:hint="cs"/>
          <w:sz w:val="22"/>
          <w:szCs w:val="22"/>
          <w:rtl/>
        </w:rPr>
        <w:t>معلومات أساسية</w:t>
      </w:r>
    </w:p>
    <w:p w14:paraId="51857752" w14:textId="52FC327E" w:rsidR="00341AF2" w:rsidRPr="00AB1B39" w:rsidRDefault="00341AF2" w:rsidP="00B7033B">
      <w:pPr>
        <w:pStyle w:val="ONUME"/>
        <w:bidi/>
        <w:rPr>
          <w:rFonts w:cs="Calibri"/>
          <w:szCs w:val="22"/>
          <w:rtl/>
        </w:rPr>
      </w:pPr>
      <w:r w:rsidRPr="00AB1B39">
        <w:rPr>
          <w:rFonts w:cs="Calibri" w:hint="cs"/>
          <w:szCs w:val="22"/>
          <w:rtl/>
        </w:rPr>
        <w:t xml:space="preserve">في الدورة الثالثة عشرة للجنة المعنية بمعايير الويبو (لجنة المعايير)، قدمت فرقة العمل المعنية بالجزء 7 استبيان استقصائيا منقحا بشأن ممارسات الاستشهاد في مكاتب الملكية الفكرية، بهدف تحديث الجزء 7.9 من دليل الويبو بشأن المعلومات والوثائق المتعلقة بالملكية الفكرية (انظر الوثيقة </w:t>
      </w:r>
      <w:r w:rsidRPr="00AB1B39">
        <w:rPr>
          <w:rFonts w:cs="Calibri"/>
          <w:szCs w:val="22"/>
        </w:rPr>
        <w:t>CWS/13/5</w:t>
      </w:r>
      <w:r w:rsidRPr="00AB1B39">
        <w:rPr>
          <w:rFonts w:cs="Calibri" w:hint="cs"/>
          <w:szCs w:val="22"/>
          <w:rtl/>
        </w:rPr>
        <w:t xml:space="preserve">).  واستعرضت لجنة المعايير مشروع الاستبيان وتنقيحه من خلال إدراج تحديثات تحريرية، وتوضيح بعض الأسئلة، وإدخال بند 8 جديد يتناول الاستشهاد بالوثائق المترجمة آليا (انظر الوثيقة </w:t>
      </w:r>
      <w:hyperlink r:id="rId16" w:history="1">
        <w:r w:rsidRPr="00AB1B39">
          <w:rPr>
            <w:rStyle w:val="Hyperlink"/>
            <w:rFonts w:cs="Calibri"/>
            <w:szCs w:val="22"/>
          </w:rPr>
          <w:t>CWS/13/5-ANNEXII-REV</w:t>
        </w:r>
        <w:r w:rsidRPr="00AB1B39">
          <w:rPr>
            <w:rStyle w:val="Hyperlink"/>
            <w:rFonts w:cs="Calibri" w:hint="cs"/>
            <w:szCs w:val="22"/>
            <w:rtl/>
          </w:rPr>
          <w:t>.</w:t>
        </w:r>
      </w:hyperlink>
      <w:r w:rsidRPr="00AB1B39">
        <w:rPr>
          <w:rFonts w:cs="Calibri" w:hint="cs"/>
          <w:szCs w:val="22"/>
          <w:rtl/>
        </w:rPr>
        <w:t>).</w:t>
      </w:r>
    </w:p>
    <w:p w14:paraId="083F6274" w14:textId="51A291FC" w:rsidR="00341AF2" w:rsidRPr="00AB1B39" w:rsidRDefault="00341AF2" w:rsidP="00B7033B">
      <w:pPr>
        <w:pStyle w:val="ONUME"/>
        <w:bidi/>
        <w:rPr>
          <w:rFonts w:cs="Calibri"/>
          <w:szCs w:val="22"/>
          <w:rtl/>
        </w:rPr>
      </w:pPr>
      <w:r w:rsidRPr="00AB1B39">
        <w:rPr>
          <w:rFonts w:cs="Calibri" w:hint="cs"/>
          <w:szCs w:val="22"/>
          <w:rtl/>
        </w:rPr>
        <w:t xml:space="preserve">ووافقت لجنة المعايير، في الدورة نفسها، على استبيان الدراسة الاستقصائية المنقح وطلبت من الأمانة إصدار تعميم تدعو فيه مكاتب الملكية الفكرية إلى الرد على الدراسة الاستقصائية، وتحديث الجزء 7.9 من دليل الويبو استنادا إلى نتائج الدراسة الاستقصائية.  (انظر الفقرات من 30 إلى 40 من الوثيقة </w:t>
      </w:r>
      <w:hyperlink r:id="rId17" w:history="1">
        <w:r w:rsidRPr="00AB1B39">
          <w:rPr>
            <w:rStyle w:val="Hyperlink"/>
            <w:rFonts w:cs="Calibri"/>
            <w:szCs w:val="22"/>
          </w:rPr>
          <w:t>CWS/13/33</w:t>
        </w:r>
      </w:hyperlink>
      <w:r w:rsidRPr="00AB1B39">
        <w:rPr>
          <w:rFonts w:cs="Calibri" w:hint="cs"/>
          <w:szCs w:val="22"/>
          <w:rtl/>
        </w:rPr>
        <w:t>).</w:t>
      </w:r>
    </w:p>
    <w:p w14:paraId="02EBFA0F" w14:textId="03C1078A" w:rsidR="00341AF2" w:rsidRPr="00AB1B39" w:rsidRDefault="00CD27C2" w:rsidP="00926158">
      <w:pPr>
        <w:pStyle w:val="Heading2"/>
        <w:rPr>
          <w:sz w:val="22"/>
          <w:szCs w:val="22"/>
          <w:rtl/>
        </w:rPr>
      </w:pPr>
      <w:r w:rsidRPr="00AB1B39">
        <w:rPr>
          <w:rFonts w:hint="cs"/>
          <w:sz w:val="22"/>
          <w:szCs w:val="22"/>
          <w:rtl/>
        </w:rPr>
        <w:t>نتائج الدراسة الاستقصائية</w:t>
      </w:r>
    </w:p>
    <w:p w14:paraId="49ED1439" w14:textId="4BB452B0" w:rsidR="00341AF2" w:rsidRPr="00AB1B39" w:rsidRDefault="00341AF2" w:rsidP="006A75B7">
      <w:pPr>
        <w:pStyle w:val="ONUME"/>
        <w:keepNext/>
        <w:bidi/>
        <w:rPr>
          <w:rFonts w:cs="Calibri"/>
          <w:szCs w:val="22"/>
          <w:rtl/>
        </w:rPr>
      </w:pPr>
      <w:r w:rsidRPr="00AB1B39">
        <w:rPr>
          <w:rFonts w:cs="Calibri" w:hint="cs"/>
          <w:szCs w:val="22"/>
          <w:rtl/>
        </w:rPr>
        <w:t xml:space="preserve">في مارس 2026، أصدرت الأمانة التعميم </w:t>
      </w:r>
      <w:hyperlink r:id="rId18" w:history="1">
        <w:r w:rsidRPr="00AB1B39">
          <w:rPr>
            <w:rStyle w:val="Hyperlink"/>
            <w:rFonts w:cs="Calibri"/>
            <w:szCs w:val="22"/>
          </w:rPr>
          <w:t>C.CWS.205</w:t>
        </w:r>
      </w:hyperlink>
      <w:r w:rsidRPr="00AB1B39">
        <w:rPr>
          <w:rFonts w:cs="Calibri" w:hint="cs"/>
          <w:szCs w:val="22"/>
          <w:rtl/>
        </w:rPr>
        <w:t xml:space="preserve">، ودعت مكاتب الملكية الفكرية إلى المشاركة في </w:t>
      </w:r>
      <w:r w:rsidRPr="00AB1B39">
        <w:rPr>
          <w:rFonts w:cs="Calibri" w:hint="cs"/>
          <w:i/>
          <w:iCs/>
          <w:szCs w:val="22"/>
          <w:rtl/>
        </w:rPr>
        <w:t>الدراسة الاستقصائية بشأن ممارسات الاستشهاد في مكاتب الملكية الفكرية</w:t>
      </w:r>
      <w:r w:rsidRPr="00AB1B39">
        <w:rPr>
          <w:rFonts w:cs="Calibri" w:hint="cs"/>
          <w:szCs w:val="22"/>
          <w:rtl/>
        </w:rPr>
        <w:t>.  وأُجري الاستطلاع في الفترة من مارس إلى يونيو 2026.</w:t>
      </w:r>
    </w:p>
    <w:p w14:paraId="272D9B49" w14:textId="759E80A8" w:rsidR="00341AF2" w:rsidRPr="00AB1B39" w:rsidRDefault="00CF255B" w:rsidP="002C7FA7">
      <w:pPr>
        <w:pStyle w:val="ONUME"/>
        <w:bidi/>
        <w:rPr>
          <w:rFonts w:cs="Calibri"/>
          <w:szCs w:val="22"/>
          <w:rtl/>
        </w:rPr>
      </w:pPr>
      <w:r w:rsidRPr="00AB1B39">
        <w:rPr>
          <w:rFonts w:cs="Calibri" w:hint="cs"/>
          <w:szCs w:val="22"/>
          <w:rtl/>
        </w:rPr>
        <w:t>ورد على الدراسة الاستقصائية خمسة وخمسين مكتبا أو منظمة، منها 51 مكتبا من الدول الأعضاء التالية:  أستراليا (</w:t>
      </w:r>
      <w:r w:rsidRPr="00AB1B39">
        <w:rPr>
          <w:rFonts w:cs="Calibri"/>
          <w:szCs w:val="22"/>
        </w:rPr>
        <w:t>AU</w:t>
      </w:r>
      <w:r w:rsidRPr="00AB1B39">
        <w:rPr>
          <w:rFonts w:cs="Calibri" w:hint="cs"/>
          <w:szCs w:val="22"/>
          <w:rtl/>
        </w:rPr>
        <w:t>)، النمسا (</w:t>
      </w:r>
      <w:r w:rsidRPr="00AB1B39">
        <w:rPr>
          <w:rFonts w:cs="Calibri"/>
          <w:szCs w:val="22"/>
        </w:rPr>
        <w:t>AT</w:t>
      </w:r>
      <w:r w:rsidRPr="00AB1B39">
        <w:rPr>
          <w:rFonts w:cs="Calibri" w:hint="cs"/>
          <w:szCs w:val="22"/>
          <w:rtl/>
        </w:rPr>
        <w:t>)، بيلاروس (</w:t>
      </w:r>
      <w:r w:rsidRPr="00AB1B39">
        <w:rPr>
          <w:rFonts w:cs="Calibri"/>
          <w:szCs w:val="22"/>
        </w:rPr>
        <w:t>BY</w:t>
      </w:r>
      <w:r w:rsidRPr="00AB1B39">
        <w:rPr>
          <w:rFonts w:cs="Calibri" w:hint="cs"/>
          <w:szCs w:val="22"/>
          <w:rtl/>
        </w:rPr>
        <w:t>)، بلجيكا (</w:t>
      </w:r>
      <w:r w:rsidRPr="00AB1B39">
        <w:rPr>
          <w:rFonts w:cs="Calibri"/>
          <w:szCs w:val="22"/>
        </w:rPr>
        <w:t>BE</w:t>
      </w:r>
      <w:r w:rsidRPr="00AB1B39">
        <w:rPr>
          <w:rFonts w:cs="Calibri" w:hint="cs"/>
          <w:szCs w:val="22"/>
          <w:rtl/>
        </w:rPr>
        <w:t>)، البرازيل (</w:t>
      </w:r>
      <w:r w:rsidRPr="00AB1B39">
        <w:rPr>
          <w:rFonts w:cs="Calibri"/>
          <w:szCs w:val="22"/>
        </w:rPr>
        <w:t>BR</w:t>
      </w:r>
      <w:r w:rsidRPr="00AB1B39">
        <w:rPr>
          <w:rFonts w:cs="Calibri" w:hint="cs"/>
          <w:szCs w:val="22"/>
          <w:rtl/>
        </w:rPr>
        <w:t>)، بلغاريا (</w:t>
      </w:r>
      <w:r w:rsidRPr="00AB1B39">
        <w:rPr>
          <w:rFonts w:cs="Calibri"/>
          <w:szCs w:val="22"/>
        </w:rPr>
        <w:t>BG</w:t>
      </w:r>
      <w:r w:rsidRPr="00AB1B39">
        <w:rPr>
          <w:rFonts w:cs="Calibri" w:hint="cs"/>
          <w:szCs w:val="22"/>
          <w:rtl/>
        </w:rPr>
        <w:t>)، كندا (</w:t>
      </w:r>
      <w:r w:rsidRPr="00AB1B39">
        <w:rPr>
          <w:rFonts w:cs="Calibri"/>
          <w:szCs w:val="22"/>
        </w:rPr>
        <w:t>CA</w:t>
      </w:r>
      <w:r w:rsidRPr="00AB1B39">
        <w:rPr>
          <w:rFonts w:cs="Calibri" w:hint="cs"/>
          <w:szCs w:val="22"/>
          <w:rtl/>
        </w:rPr>
        <w:t>)، شيلي (</w:t>
      </w:r>
      <w:r w:rsidRPr="00AB1B39">
        <w:rPr>
          <w:rFonts w:cs="Calibri"/>
          <w:szCs w:val="22"/>
        </w:rPr>
        <w:t>CL</w:t>
      </w:r>
      <w:r w:rsidRPr="00AB1B39">
        <w:rPr>
          <w:rFonts w:cs="Calibri" w:hint="cs"/>
          <w:szCs w:val="22"/>
          <w:rtl/>
        </w:rPr>
        <w:t>)، الصين (</w:t>
      </w:r>
      <w:r w:rsidRPr="00AB1B39">
        <w:rPr>
          <w:rFonts w:cs="Calibri"/>
          <w:szCs w:val="22"/>
        </w:rPr>
        <w:t>CN</w:t>
      </w:r>
      <w:r w:rsidRPr="00AB1B39">
        <w:rPr>
          <w:rFonts w:cs="Calibri" w:hint="cs"/>
          <w:szCs w:val="22"/>
          <w:rtl/>
        </w:rPr>
        <w:t>)، كرواتيا (</w:t>
      </w:r>
      <w:r w:rsidRPr="00AB1B39">
        <w:rPr>
          <w:rFonts w:cs="Calibri"/>
          <w:szCs w:val="22"/>
        </w:rPr>
        <w:t>HR</w:t>
      </w:r>
      <w:r w:rsidRPr="00AB1B39">
        <w:rPr>
          <w:rFonts w:cs="Calibri" w:hint="cs"/>
          <w:szCs w:val="22"/>
          <w:rtl/>
        </w:rPr>
        <w:t>)، كوبا (</w:t>
      </w:r>
      <w:r w:rsidRPr="00AB1B39">
        <w:rPr>
          <w:rFonts w:cs="Calibri"/>
          <w:szCs w:val="22"/>
        </w:rPr>
        <w:t>CU</w:t>
      </w:r>
      <w:r w:rsidRPr="00AB1B39">
        <w:rPr>
          <w:rFonts w:cs="Calibri" w:hint="cs"/>
          <w:szCs w:val="22"/>
          <w:rtl/>
        </w:rPr>
        <w:t>)، تشيكيا (</w:t>
      </w:r>
      <w:r w:rsidRPr="00AB1B39">
        <w:rPr>
          <w:rFonts w:cs="Calibri"/>
          <w:szCs w:val="22"/>
        </w:rPr>
        <w:t>CZ</w:t>
      </w:r>
      <w:r w:rsidRPr="00AB1B39">
        <w:rPr>
          <w:rFonts w:cs="Calibri" w:hint="cs"/>
          <w:szCs w:val="22"/>
          <w:rtl/>
        </w:rPr>
        <w:t xml:space="preserve">)، </w:t>
      </w:r>
      <w:r w:rsidR="00F80548" w:rsidRPr="00F80548">
        <w:rPr>
          <w:rFonts w:cs="Calibri"/>
          <w:szCs w:val="22"/>
          <w:rtl/>
        </w:rPr>
        <w:t>الدنمارك (</w:t>
      </w:r>
      <w:r w:rsidR="00F80548" w:rsidRPr="00F80548">
        <w:rPr>
          <w:rFonts w:cs="Calibri"/>
          <w:szCs w:val="22"/>
        </w:rPr>
        <w:t>DK</w:t>
      </w:r>
      <w:r w:rsidR="00F80548" w:rsidRPr="00F80548">
        <w:rPr>
          <w:rFonts w:cs="Calibri"/>
          <w:szCs w:val="22"/>
          <w:rtl/>
        </w:rPr>
        <w:t>)، مصر (</w:t>
      </w:r>
      <w:r w:rsidR="00F80548" w:rsidRPr="00F80548">
        <w:rPr>
          <w:rFonts w:cs="Calibri"/>
          <w:szCs w:val="22"/>
        </w:rPr>
        <w:t>EG</w:t>
      </w:r>
      <w:r w:rsidR="00F80548" w:rsidRPr="00F80548">
        <w:rPr>
          <w:rFonts w:cs="Calibri"/>
          <w:szCs w:val="22"/>
          <w:rtl/>
        </w:rPr>
        <w:t>)، إستونيا (</w:t>
      </w:r>
      <w:r w:rsidR="00F80548" w:rsidRPr="00F80548">
        <w:rPr>
          <w:rFonts w:cs="Calibri"/>
          <w:szCs w:val="22"/>
        </w:rPr>
        <w:t>EE</w:t>
      </w:r>
      <w:r w:rsidR="00F80548" w:rsidRPr="00F80548">
        <w:rPr>
          <w:rFonts w:cs="Calibri"/>
          <w:szCs w:val="22"/>
          <w:rtl/>
        </w:rPr>
        <w:t>)، فنلندا (</w:t>
      </w:r>
      <w:r w:rsidR="00F80548" w:rsidRPr="00F80548">
        <w:rPr>
          <w:rFonts w:cs="Calibri"/>
          <w:szCs w:val="22"/>
        </w:rPr>
        <w:t>FI</w:t>
      </w:r>
      <w:r w:rsidR="00F80548" w:rsidRPr="00F80548">
        <w:rPr>
          <w:rFonts w:cs="Calibri"/>
          <w:szCs w:val="22"/>
          <w:rtl/>
        </w:rPr>
        <w:t>)، فرنسا (</w:t>
      </w:r>
      <w:r w:rsidR="00F80548" w:rsidRPr="00F80548">
        <w:rPr>
          <w:rFonts w:cs="Calibri"/>
          <w:szCs w:val="22"/>
        </w:rPr>
        <w:t>FR</w:t>
      </w:r>
      <w:r w:rsidR="00F80548" w:rsidRPr="00F80548">
        <w:rPr>
          <w:rFonts w:cs="Calibri"/>
          <w:szCs w:val="22"/>
          <w:rtl/>
        </w:rPr>
        <w:t>)، جورجيا (</w:t>
      </w:r>
      <w:r w:rsidR="00F80548" w:rsidRPr="00F80548">
        <w:rPr>
          <w:rFonts w:cs="Calibri"/>
          <w:szCs w:val="22"/>
        </w:rPr>
        <w:t>GE</w:t>
      </w:r>
      <w:r w:rsidR="00F80548" w:rsidRPr="00F80548">
        <w:rPr>
          <w:rFonts w:cs="Calibri"/>
          <w:szCs w:val="22"/>
          <w:rtl/>
        </w:rPr>
        <w:t xml:space="preserve">)، </w:t>
      </w:r>
      <w:r w:rsidRPr="00AB1B39">
        <w:rPr>
          <w:rFonts w:cs="Calibri" w:hint="cs"/>
          <w:szCs w:val="22"/>
          <w:rtl/>
        </w:rPr>
        <w:t>ألمانيا (</w:t>
      </w:r>
      <w:r w:rsidRPr="00AB1B39">
        <w:rPr>
          <w:rFonts w:cs="Calibri"/>
          <w:szCs w:val="22"/>
        </w:rPr>
        <w:t>DE</w:t>
      </w:r>
      <w:r w:rsidRPr="00AB1B39">
        <w:rPr>
          <w:rFonts w:cs="Calibri" w:hint="cs"/>
          <w:szCs w:val="22"/>
          <w:rtl/>
        </w:rPr>
        <w:t xml:space="preserve">)، </w:t>
      </w:r>
      <w:r w:rsidRPr="00AB1B39">
        <w:rPr>
          <w:rFonts w:cs="Calibri" w:hint="cs"/>
          <w:szCs w:val="22"/>
          <w:rtl/>
        </w:rPr>
        <w:lastRenderedPageBreak/>
        <w:t>هنغاريا (</w:t>
      </w:r>
      <w:r w:rsidRPr="00AB1B39">
        <w:rPr>
          <w:rFonts w:cs="Calibri"/>
          <w:szCs w:val="22"/>
        </w:rPr>
        <w:t>HU</w:t>
      </w:r>
      <w:r w:rsidRPr="00AB1B39">
        <w:rPr>
          <w:rFonts w:cs="Calibri" w:hint="cs"/>
          <w:szCs w:val="22"/>
          <w:rtl/>
        </w:rPr>
        <w:t>)، الهند (</w:t>
      </w:r>
      <w:r w:rsidRPr="00AB1B39">
        <w:rPr>
          <w:rFonts w:cs="Calibri"/>
          <w:szCs w:val="22"/>
        </w:rPr>
        <w:t>IN</w:t>
      </w:r>
      <w:r w:rsidRPr="00AB1B39">
        <w:rPr>
          <w:rFonts w:cs="Calibri" w:hint="cs"/>
          <w:szCs w:val="22"/>
          <w:rtl/>
        </w:rPr>
        <w:t>)، أيرلندا (</w:t>
      </w:r>
      <w:r w:rsidRPr="00AB1B39">
        <w:rPr>
          <w:rFonts w:cs="Calibri"/>
          <w:szCs w:val="22"/>
        </w:rPr>
        <w:t>IE</w:t>
      </w:r>
      <w:r w:rsidRPr="00AB1B39">
        <w:rPr>
          <w:rFonts w:cs="Calibri" w:hint="cs"/>
          <w:szCs w:val="22"/>
          <w:rtl/>
        </w:rPr>
        <w:t>)، إسرائيل (</w:t>
      </w:r>
      <w:r w:rsidRPr="00AB1B39">
        <w:rPr>
          <w:rFonts w:cs="Calibri"/>
          <w:szCs w:val="22"/>
        </w:rPr>
        <w:t>IL</w:t>
      </w:r>
      <w:r w:rsidRPr="00AB1B39">
        <w:rPr>
          <w:rFonts w:cs="Calibri" w:hint="cs"/>
          <w:szCs w:val="22"/>
          <w:rtl/>
        </w:rPr>
        <w:t>)، اليابان (</w:t>
      </w:r>
      <w:r w:rsidRPr="00AB1B39">
        <w:rPr>
          <w:rFonts w:cs="Calibri"/>
          <w:szCs w:val="22"/>
        </w:rPr>
        <w:t>JP</w:t>
      </w:r>
      <w:r w:rsidRPr="00AB1B39">
        <w:rPr>
          <w:rFonts w:cs="Calibri" w:hint="cs"/>
          <w:szCs w:val="22"/>
          <w:rtl/>
        </w:rPr>
        <w:t>)، كينيا (</w:t>
      </w:r>
      <w:r w:rsidRPr="00AB1B39">
        <w:rPr>
          <w:rFonts w:cs="Calibri"/>
          <w:szCs w:val="22"/>
        </w:rPr>
        <w:t>KE</w:t>
      </w:r>
      <w:r w:rsidRPr="00AB1B39">
        <w:rPr>
          <w:rFonts w:cs="Calibri" w:hint="cs"/>
          <w:szCs w:val="22"/>
          <w:rtl/>
        </w:rPr>
        <w:t>)، ليبريا (</w:t>
      </w:r>
      <w:r w:rsidRPr="00AB1B39">
        <w:rPr>
          <w:rFonts w:cs="Calibri"/>
          <w:szCs w:val="22"/>
        </w:rPr>
        <w:t>LR</w:t>
      </w:r>
      <w:r w:rsidRPr="00AB1B39">
        <w:rPr>
          <w:rFonts w:cs="Calibri" w:hint="cs"/>
          <w:szCs w:val="22"/>
          <w:rtl/>
        </w:rPr>
        <w:t xml:space="preserve">)، ليتوانيا </w:t>
      </w:r>
      <w:r w:rsidRPr="00AB1B39">
        <w:rPr>
          <w:rFonts w:cs="Calibri"/>
          <w:szCs w:val="22"/>
        </w:rPr>
        <w:t>LT</w:t>
      </w:r>
      <w:r w:rsidRPr="00AB1B39">
        <w:rPr>
          <w:rFonts w:cs="Calibri" w:hint="cs"/>
          <w:szCs w:val="22"/>
          <w:rtl/>
        </w:rPr>
        <w:t>)، مدغشقر (</w:t>
      </w:r>
      <w:r w:rsidRPr="00AB1B39">
        <w:rPr>
          <w:rFonts w:cs="Calibri"/>
          <w:szCs w:val="22"/>
        </w:rPr>
        <w:t>MG</w:t>
      </w:r>
      <w:r w:rsidRPr="00AB1B39">
        <w:rPr>
          <w:rFonts w:cs="Calibri" w:hint="cs"/>
          <w:szCs w:val="22"/>
          <w:rtl/>
        </w:rPr>
        <w:t>)، المكسيك (</w:t>
      </w:r>
      <w:r w:rsidRPr="00AB1B39">
        <w:rPr>
          <w:rFonts w:cs="Calibri"/>
          <w:szCs w:val="22"/>
        </w:rPr>
        <w:t>MX</w:t>
      </w:r>
      <w:r w:rsidRPr="00AB1B39">
        <w:rPr>
          <w:rFonts w:cs="Calibri" w:hint="cs"/>
          <w:szCs w:val="22"/>
          <w:rtl/>
        </w:rPr>
        <w:t>)، نيوزيلندا (</w:t>
      </w:r>
      <w:r w:rsidRPr="00AB1B39">
        <w:rPr>
          <w:rFonts w:cs="Calibri"/>
          <w:szCs w:val="22"/>
        </w:rPr>
        <w:t>NZ</w:t>
      </w:r>
      <w:r w:rsidRPr="00AB1B39">
        <w:rPr>
          <w:rFonts w:cs="Calibri" w:hint="cs"/>
          <w:szCs w:val="22"/>
          <w:rtl/>
        </w:rPr>
        <w:t>)، النرويج (</w:t>
      </w:r>
      <w:r w:rsidRPr="00AB1B39">
        <w:rPr>
          <w:rFonts w:cs="Calibri"/>
          <w:szCs w:val="22"/>
        </w:rPr>
        <w:t>NO</w:t>
      </w:r>
      <w:r w:rsidRPr="00AB1B39">
        <w:rPr>
          <w:rFonts w:cs="Calibri" w:hint="cs"/>
          <w:szCs w:val="22"/>
          <w:rtl/>
        </w:rPr>
        <w:t>)، باراغواي (</w:t>
      </w:r>
      <w:r w:rsidRPr="00AB1B39">
        <w:rPr>
          <w:rFonts w:cs="Calibri"/>
          <w:szCs w:val="22"/>
        </w:rPr>
        <w:t>PY</w:t>
      </w:r>
      <w:r w:rsidRPr="00AB1B39">
        <w:rPr>
          <w:rFonts w:cs="Calibri" w:hint="cs"/>
          <w:szCs w:val="22"/>
          <w:rtl/>
        </w:rPr>
        <w:t>)، بيرو (</w:t>
      </w:r>
      <w:r w:rsidRPr="00AB1B39">
        <w:rPr>
          <w:rFonts w:cs="Calibri"/>
          <w:szCs w:val="22"/>
        </w:rPr>
        <w:t>PE</w:t>
      </w:r>
      <w:r w:rsidRPr="00AB1B39">
        <w:rPr>
          <w:rFonts w:cs="Calibri" w:hint="cs"/>
          <w:szCs w:val="22"/>
          <w:rtl/>
        </w:rPr>
        <w:t>)، بولندا (</w:t>
      </w:r>
      <w:r w:rsidRPr="00AB1B39">
        <w:rPr>
          <w:rFonts w:cs="Calibri"/>
          <w:szCs w:val="22"/>
        </w:rPr>
        <w:t>PL</w:t>
      </w:r>
      <w:r w:rsidRPr="00AB1B39">
        <w:rPr>
          <w:rFonts w:cs="Calibri" w:hint="cs"/>
          <w:szCs w:val="22"/>
          <w:rtl/>
        </w:rPr>
        <w:t>)، البرتغال (</w:t>
      </w:r>
      <w:r w:rsidRPr="00AB1B39">
        <w:rPr>
          <w:rFonts w:cs="Calibri"/>
          <w:szCs w:val="22"/>
        </w:rPr>
        <w:t>PT</w:t>
      </w:r>
      <w:r w:rsidRPr="00AB1B39">
        <w:rPr>
          <w:rFonts w:cs="Calibri" w:hint="cs"/>
          <w:szCs w:val="22"/>
          <w:rtl/>
        </w:rPr>
        <w:t>)، جمهورية كوريا</w:t>
      </w:r>
      <w:r w:rsidR="00F80548">
        <w:rPr>
          <w:rFonts w:cs="Calibri" w:hint="cs"/>
          <w:szCs w:val="22"/>
          <w:rtl/>
        </w:rPr>
        <w:t xml:space="preserve"> </w:t>
      </w:r>
      <w:r w:rsidR="00F80548" w:rsidRPr="006A21FC">
        <w:t>(KR)</w:t>
      </w:r>
      <w:r w:rsidRPr="00AB1B39">
        <w:rPr>
          <w:rFonts w:cs="Calibri" w:hint="cs"/>
          <w:szCs w:val="22"/>
          <w:rtl/>
        </w:rPr>
        <w:t>، جمهورية مولدوفا</w:t>
      </w:r>
      <w:r w:rsidR="00F80548">
        <w:rPr>
          <w:rFonts w:cs="Calibri" w:hint="cs"/>
          <w:szCs w:val="22"/>
          <w:rtl/>
        </w:rPr>
        <w:t xml:space="preserve"> </w:t>
      </w:r>
      <w:r w:rsidR="00F80548">
        <w:rPr>
          <w:rFonts w:cs="Calibri"/>
          <w:szCs w:val="22"/>
        </w:rPr>
        <w:t>(MD)</w:t>
      </w:r>
      <w:r w:rsidRPr="00AB1B39">
        <w:rPr>
          <w:rFonts w:cs="Calibri" w:hint="cs"/>
          <w:szCs w:val="22"/>
          <w:rtl/>
        </w:rPr>
        <w:t xml:space="preserve">، </w:t>
      </w:r>
      <w:r w:rsidR="00F80548" w:rsidRPr="00F80548">
        <w:rPr>
          <w:rFonts w:cs="Calibri"/>
          <w:szCs w:val="22"/>
          <w:rtl/>
        </w:rPr>
        <w:t>الاتحاد الروسي (</w:t>
      </w:r>
      <w:r w:rsidR="00F80548" w:rsidRPr="00F80548">
        <w:rPr>
          <w:rFonts w:cs="Calibri"/>
          <w:szCs w:val="22"/>
        </w:rPr>
        <w:t>RU</w:t>
      </w:r>
      <w:r w:rsidR="00F80548" w:rsidRPr="00F80548">
        <w:rPr>
          <w:rFonts w:cs="Calibri"/>
          <w:szCs w:val="22"/>
          <w:rtl/>
        </w:rPr>
        <w:t>)، المملكة العربية السعودية (</w:t>
      </w:r>
      <w:r w:rsidR="00F80548" w:rsidRPr="00F80548">
        <w:rPr>
          <w:rFonts w:cs="Calibri"/>
          <w:szCs w:val="22"/>
        </w:rPr>
        <w:t>SA</w:t>
      </w:r>
      <w:r w:rsidR="00F80548" w:rsidRPr="00F80548">
        <w:rPr>
          <w:rFonts w:cs="Calibri"/>
          <w:szCs w:val="22"/>
          <w:rtl/>
        </w:rPr>
        <w:t>)، صربيا (</w:t>
      </w:r>
      <w:r w:rsidR="00F80548" w:rsidRPr="00F80548">
        <w:rPr>
          <w:rFonts w:cs="Calibri"/>
          <w:szCs w:val="22"/>
        </w:rPr>
        <w:t>RS</w:t>
      </w:r>
      <w:r w:rsidR="00F80548" w:rsidRPr="00F80548">
        <w:rPr>
          <w:rFonts w:cs="Calibri"/>
          <w:szCs w:val="22"/>
          <w:rtl/>
        </w:rPr>
        <w:t>)،</w:t>
      </w:r>
      <w:r w:rsidRPr="00AB1B39">
        <w:rPr>
          <w:rFonts w:cs="Calibri" w:hint="cs"/>
          <w:szCs w:val="22"/>
          <w:rtl/>
        </w:rPr>
        <w:t>سنغافورة (</w:t>
      </w:r>
      <w:r w:rsidRPr="00AB1B39">
        <w:rPr>
          <w:rFonts w:cs="Calibri"/>
          <w:szCs w:val="22"/>
        </w:rPr>
        <w:t>SG</w:t>
      </w:r>
      <w:r w:rsidRPr="00AB1B39">
        <w:rPr>
          <w:rFonts w:cs="Calibri" w:hint="cs"/>
          <w:szCs w:val="22"/>
          <w:rtl/>
        </w:rPr>
        <w:t>)، سلوفاكيا (</w:t>
      </w:r>
      <w:r w:rsidRPr="00AB1B39">
        <w:rPr>
          <w:rFonts w:cs="Calibri"/>
          <w:szCs w:val="22"/>
        </w:rPr>
        <w:t>SK</w:t>
      </w:r>
      <w:r w:rsidRPr="00AB1B39">
        <w:rPr>
          <w:rFonts w:cs="Calibri" w:hint="cs"/>
          <w:szCs w:val="22"/>
          <w:rtl/>
        </w:rPr>
        <w:t>)، سلوفينيا (</w:t>
      </w:r>
      <w:r w:rsidRPr="00AB1B39">
        <w:rPr>
          <w:rFonts w:cs="Calibri"/>
          <w:szCs w:val="22"/>
        </w:rPr>
        <w:t>SI</w:t>
      </w:r>
      <w:r w:rsidRPr="00AB1B39">
        <w:rPr>
          <w:rFonts w:cs="Calibri" w:hint="cs"/>
          <w:szCs w:val="22"/>
          <w:rtl/>
        </w:rPr>
        <w:t>)، جنوب أفريقيا (</w:t>
      </w:r>
      <w:r w:rsidRPr="00AB1B39">
        <w:rPr>
          <w:rFonts w:cs="Calibri"/>
          <w:szCs w:val="22"/>
        </w:rPr>
        <w:t>ZA</w:t>
      </w:r>
      <w:r w:rsidRPr="00AB1B39">
        <w:rPr>
          <w:rFonts w:cs="Calibri" w:hint="cs"/>
          <w:szCs w:val="22"/>
          <w:rtl/>
        </w:rPr>
        <w:t>)، إسبانيا (</w:t>
      </w:r>
      <w:r w:rsidRPr="00AB1B39">
        <w:rPr>
          <w:rFonts w:cs="Calibri"/>
          <w:szCs w:val="22"/>
        </w:rPr>
        <w:t>ES</w:t>
      </w:r>
      <w:r w:rsidRPr="00AB1B39">
        <w:rPr>
          <w:rFonts w:cs="Calibri" w:hint="cs"/>
          <w:szCs w:val="22"/>
          <w:rtl/>
        </w:rPr>
        <w:t>)، السويد (</w:t>
      </w:r>
      <w:r w:rsidRPr="00AB1B39">
        <w:rPr>
          <w:rFonts w:cs="Calibri"/>
          <w:szCs w:val="22"/>
        </w:rPr>
        <w:t>SE</w:t>
      </w:r>
      <w:r w:rsidRPr="00AB1B39">
        <w:rPr>
          <w:rFonts w:cs="Calibri" w:hint="cs"/>
          <w:szCs w:val="22"/>
          <w:rtl/>
        </w:rPr>
        <w:t>)، سويسرا (</w:t>
      </w:r>
      <w:r w:rsidRPr="00AB1B39">
        <w:rPr>
          <w:rFonts w:cs="Calibri"/>
          <w:szCs w:val="22"/>
        </w:rPr>
        <w:t>CH</w:t>
      </w:r>
      <w:r w:rsidRPr="00AB1B39">
        <w:rPr>
          <w:rFonts w:cs="Calibri" w:hint="cs"/>
          <w:szCs w:val="22"/>
          <w:rtl/>
        </w:rPr>
        <w:t>)، تايلند (</w:t>
      </w:r>
      <w:r w:rsidRPr="00AB1B39">
        <w:rPr>
          <w:rFonts w:cs="Calibri"/>
          <w:szCs w:val="22"/>
        </w:rPr>
        <w:t>TH</w:t>
      </w:r>
      <w:r w:rsidRPr="00AB1B39">
        <w:rPr>
          <w:rFonts w:cs="Calibri" w:hint="cs"/>
          <w:szCs w:val="22"/>
          <w:rtl/>
        </w:rPr>
        <w:t>)، تركيا (</w:t>
      </w:r>
      <w:r w:rsidRPr="00AB1B39">
        <w:rPr>
          <w:rFonts w:cs="Calibri"/>
          <w:szCs w:val="22"/>
        </w:rPr>
        <w:t>TR</w:t>
      </w:r>
      <w:r w:rsidRPr="00AB1B39">
        <w:rPr>
          <w:rFonts w:cs="Calibri" w:hint="cs"/>
          <w:szCs w:val="22"/>
          <w:rtl/>
        </w:rPr>
        <w:t>)، المملكة المتحدة (</w:t>
      </w:r>
      <w:r w:rsidRPr="00AB1B39">
        <w:rPr>
          <w:rFonts w:cs="Calibri"/>
          <w:szCs w:val="22"/>
        </w:rPr>
        <w:t>GB</w:t>
      </w:r>
      <w:r w:rsidRPr="00AB1B39">
        <w:rPr>
          <w:rFonts w:cs="Calibri" w:hint="cs"/>
          <w:szCs w:val="22"/>
          <w:rtl/>
        </w:rPr>
        <w:t>)، الولايات المتحدة الأمريكية (</w:t>
      </w:r>
      <w:r w:rsidRPr="00AB1B39">
        <w:rPr>
          <w:rFonts w:cs="Calibri"/>
          <w:szCs w:val="22"/>
        </w:rPr>
        <w:t>US</w:t>
      </w:r>
      <w:r w:rsidRPr="00AB1B39">
        <w:rPr>
          <w:rFonts w:cs="Calibri" w:hint="cs"/>
          <w:szCs w:val="22"/>
          <w:rtl/>
        </w:rPr>
        <w:t>)؛ والمنظمات الأربع التالية:  المنظمة الأوروبية الآسيوية للبراءات (</w:t>
      </w:r>
      <w:r w:rsidRPr="00AB1B39">
        <w:rPr>
          <w:rFonts w:cs="Calibri"/>
          <w:szCs w:val="22"/>
        </w:rPr>
        <w:t>EA</w:t>
      </w:r>
      <w:r w:rsidRPr="00AB1B39">
        <w:rPr>
          <w:rFonts w:cs="Calibri" w:hint="cs"/>
          <w:szCs w:val="22"/>
          <w:rtl/>
        </w:rPr>
        <w:t>)، المكتب الأوروبي للبراءات (</w:t>
      </w:r>
      <w:r w:rsidRPr="00AB1B39">
        <w:rPr>
          <w:rFonts w:cs="Calibri"/>
          <w:szCs w:val="22"/>
        </w:rPr>
        <w:t>EP</w:t>
      </w:r>
      <w:r w:rsidRPr="00AB1B39">
        <w:rPr>
          <w:rFonts w:cs="Calibri" w:hint="cs"/>
          <w:szCs w:val="22"/>
          <w:rtl/>
        </w:rPr>
        <w:t>)، المكتب الدولي للويبو (</w:t>
      </w:r>
      <w:r w:rsidRPr="00AB1B39">
        <w:rPr>
          <w:rFonts w:cs="Calibri"/>
          <w:szCs w:val="22"/>
        </w:rPr>
        <w:t>IB</w:t>
      </w:r>
      <w:r w:rsidRPr="00AB1B39">
        <w:rPr>
          <w:rFonts w:cs="Calibri" w:hint="cs"/>
          <w:szCs w:val="22"/>
          <w:rtl/>
        </w:rPr>
        <w:t>)، مكتب الاتحاد الأوروبي للأصناف النباتية (</w:t>
      </w:r>
      <w:r w:rsidRPr="00AB1B39">
        <w:rPr>
          <w:rFonts w:cs="Calibri"/>
          <w:szCs w:val="22"/>
        </w:rPr>
        <w:t>QZ</w:t>
      </w:r>
      <w:r w:rsidRPr="00AB1B39">
        <w:rPr>
          <w:rFonts w:cs="Calibri" w:hint="cs"/>
          <w:szCs w:val="22"/>
          <w:rtl/>
        </w:rPr>
        <w:t xml:space="preserve">).  </w:t>
      </w:r>
    </w:p>
    <w:p w14:paraId="1BAB0B6D" w14:textId="3001862F" w:rsidR="00341AF2" w:rsidRPr="00AB1B39" w:rsidRDefault="00341AF2" w:rsidP="002C7FA7">
      <w:pPr>
        <w:pStyle w:val="ONUME"/>
        <w:bidi/>
        <w:rPr>
          <w:rFonts w:cs="Calibri"/>
          <w:szCs w:val="22"/>
          <w:rtl/>
        </w:rPr>
      </w:pPr>
      <w:r w:rsidRPr="00AB1B39">
        <w:rPr>
          <w:rFonts w:cs="Calibri" w:hint="cs"/>
          <w:szCs w:val="22"/>
          <w:rtl/>
        </w:rPr>
        <w:t>وعند إعداد هذه الوثيقة، تعد الأمانة النتائج المجمعة والردود الفردية على هذه الدراسة الاستقصائية لأغراض النشر في الجزء 7.9 من دليل الويبو.</w:t>
      </w:r>
    </w:p>
    <w:p w14:paraId="2D9AA9D9" w14:textId="18AEAAFC" w:rsidR="00341AF2" w:rsidRPr="00AB1B39" w:rsidRDefault="00CD27C2" w:rsidP="00926158">
      <w:pPr>
        <w:pStyle w:val="Heading2"/>
        <w:rPr>
          <w:sz w:val="22"/>
          <w:szCs w:val="22"/>
          <w:rtl/>
        </w:rPr>
      </w:pPr>
      <w:r w:rsidRPr="00AB1B39">
        <w:rPr>
          <w:rFonts w:hint="cs"/>
          <w:sz w:val="22"/>
          <w:szCs w:val="22"/>
          <w:rtl/>
        </w:rPr>
        <w:t>تحليل الدراسة الاستقصائية</w:t>
      </w:r>
    </w:p>
    <w:p w14:paraId="2172A614" w14:textId="05B2CFE2" w:rsidR="00341AF2" w:rsidRPr="00AB1B39" w:rsidRDefault="00341AF2" w:rsidP="002C7FA7">
      <w:pPr>
        <w:pStyle w:val="ONUME"/>
        <w:bidi/>
        <w:rPr>
          <w:rFonts w:cs="Calibri"/>
          <w:szCs w:val="22"/>
          <w:rtl/>
        </w:rPr>
      </w:pPr>
      <w:r w:rsidRPr="00AB1B39">
        <w:rPr>
          <w:rFonts w:cs="Calibri" w:hint="cs"/>
          <w:szCs w:val="22"/>
          <w:rtl/>
        </w:rPr>
        <w:t xml:space="preserve">تقدم الأمانة أدناه تحليل الردود على الدراسة الاستقصائية الواردة لتنظر فيها لجنة المعايير.  </w:t>
      </w:r>
    </w:p>
    <w:p w14:paraId="4680FBE9" w14:textId="0118B413" w:rsidR="005660BF" w:rsidRPr="00AB1B39" w:rsidRDefault="005660BF" w:rsidP="00926158">
      <w:pPr>
        <w:pStyle w:val="Heading3"/>
        <w:rPr>
          <w:rtl/>
        </w:rPr>
      </w:pPr>
      <w:r w:rsidRPr="00AB1B39">
        <w:rPr>
          <w:rtl/>
        </w:rPr>
        <w:t xml:space="preserve">توافر مراجع الاستشهاد </w:t>
      </w:r>
    </w:p>
    <w:p w14:paraId="7D5F302C" w14:textId="2A5FCAA8" w:rsidR="004008BB" w:rsidRPr="00AB1B39" w:rsidRDefault="00FC2E8D" w:rsidP="002C7FA7">
      <w:pPr>
        <w:pStyle w:val="ONUME"/>
        <w:bidi/>
        <w:rPr>
          <w:rFonts w:cs="Calibri"/>
          <w:szCs w:val="22"/>
          <w:rtl/>
        </w:rPr>
      </w:pPr>
      <w:r w:rsidRPr="00AB1B39">
        <w:rPr>
          <w:rFonts w:cs="Calibri" w:hint="cs"/>
          <w:szCs w:val="22"/>
          <w:rtl/>
        </w:rPr>
        <w:t xml:space="preserve">فيما يتعلق بنشر مراجع الاستشهاد، أشار 48 مجيبا من بين 55 مجيبا (87.3 في المائة) إلى أنهم ينشرون إشارات الاستشهاد المرتبطة بوثائق البراءات الخاصة بهم، في حين أشار 7 مجيبين (12.7 في المائة) إلى أنهم لا يقومون بذلك.  يعرض الشكل 1 هذه النتائج.  </w:t>
      </w:r>
    </w:p>
    <w:p w14:paraId="4FFE72E3" w14:textId="0FE85F59" w:rsidR="004008BB" w:rsidRPr="00AB1B39" w:rsidRDefault="004008BB" w:rsidP="00DB5394">
      <w:pPr>
        <w:pStyle w:val="Caption"/>
        <w:bidi/>
        <w:rPr>
          <w:rFonts w:cs="Calibri"/>
          <w:sz w:val="22"/>
          <w:szCs w:val="22"/>
          <w:rtl/>
        </w:rPr>
      </w:pPr>
      <w:r w:rsidRPr="00AB1B39">
        <w:rPr>
          <w:rFonts w:cs="Calibri" w:hint="cs"/>
          <w:noProof/>
          <w:sz w:val="22"/>
          <w:szCs w:val="22"/>
          <w:rtl/>
        </w:rPr>
        <w:drawing>
          <wp:inline distT="0" distB="0" distL="0" distR="0" wp14:anchorId="609E97BF" wp14:editId="2EC1F9BD">
            <wp:extent cx="5724000" cy="2520000"/>
            <wp:effectExtent l="0" t="0" r="0" b="0"/>
            <wp:docPr id="1565366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EB0DEE1" w14:textId="1FE7222F" w:rsidR="002928D3" w:rsidRPr="00AB1B39" w:rsidRDefault="000402E8" w:rsidP="00F374A6">
      <w:pPr>
        <w:pStyle w:val="Caption"/>
        <w:bidi/>
        <w:rPr>
          <w:rStyle w:val="IntenseEmphasis"/>
          <w:rFonts w:cs="Calibri"/>
          <w:i w:val="0"/>
          <w:iCs w:val="0"/>
          <w:color w:val="auto"/>
          <w:sz w:val="22"/>
          <w:szCs w:val="22"/>
          <w:rtl/>
        </w:rPr>
      </w:pPr>
      <w:r w:rsidRPr="00AB1B39">
        <w:rPr>
          <w:rStyle w:val="IntenseEmphasis"/>
          <w:rFonts w:cs="Calibri" w:hint="cs"/>
          <w:i w:val="0"/>
          <w:iCs w:val="0"/>
          <w:color w:val="auto"/>
          <w:sz w:val="22"/>
          <w:szCs w:val="22"/>
          <w:rtl/>
        </w:rPr>
        <w:t>الشكل 1: نشر مراجع الاستشهاد</w:t>
      </w:r>
    </w:p>
    <w:p w14:paraId="45B608D0" w14:textId="77777777" w:rsidR="00F374A6" w:rsidRPr="00AB1B39" w:rsidRDefault="00F374A6" w:rsidP="00F374A6">
      <w:pPr>
        <w:rPr>
          <w:rFonts w:cs="Calibri"/>
          <w:szCs w:val="22"/>
        </w:rPr>
      </w:pPr>
    </w:p>
    <w:p w14:paraId="234B6A46" w14:textId="0B70DE49" w:rsidR="00DD314C" w:rsidRPr="00AB1B39" w:rsidRDefault="000A1A8E" w:rsidP="00522297">
      <w:pPr>
        <w:pStyle w:val="ONUME"/>
        <w:keepNext/>
        <w:keepLines/>
        <w:bidi/>
        <w:rPr>
          <w:rFonts w:cs="Calibri"/>
          <w:szCs w:val="22"/>
          <w:rtl/>
        </w:rPr>
      </w:pPr>
      <w:r w:rsidRPr="00AB1B39">
        <w:rPr>
          <w:rFonts w:cs="Calibri" w:hint="cs"/>
          <w:szCs w:val="22"/>
          <w:rtl/>
        </w:rPr>
        <w:t xml:space="preserve">من بين المكاتب التي تنشر إشارات الاستشهاد، أكد 41 مجيبا (74.5 في المائة) أن مراجع الاستشهاد متاحة بالكامل للجمهور، في حين أفاد 11 مجيبا (20 في المائة) بأن التوافر محدود وغالب ا ما يقتصر على مودعي الطلبات، وهو متاح فقط بناء على الطلب، أو يقتصر على مراحل معينة من دورة حياة الطلب (على سبيل المثال، توافر طلبات البراءات وليس نماذج المنفعة، أو العكس).  أبلغ المستجيبون الثلاثة المتبقون (5.5 في المائة) أن مراجع الاستشهاد غير متاحة على الإطلاق.  يعرض الشكل 2 هذه النتائج.  </w:t>
      </w:r>
    </w:p>
    <w:p w14:paraId="1D6B3299" w14:textId="3969CF43" w:rsidR="00EA773A" w:rsidRPr="00AB1B39" w:rsidRDefault="00312B61" w:rsidP="00DB5394">
      <w:pPr>
        <w:pStyle w:val="Caption"/>
        <w:bidi/>
        <w:jc w:val="center"/>
        <w:rPr>
          <w:rFonts w:cs="Calibri"/>
          <w:sz w:val="22"/>
          <w:szCs w:val="22"/>
          <w:rtl/>
        </w:rPr>
      </w:pPr>
      <w:r w:rsidRPr="00AB1B39">
        <w:rPr>
          <w:rFonts w:cs="Calibri" w:hint="cs"/>
          <w:noProof/>
          <w:sz w:val="22"/>
          <w:szCs w:val="22"/>
          <w:rtl/>
        </w:rPr>
        <w:drawing>
          <wp:inline distT="0" distB="0" distL="0" distR="0" wp14:anchorId="2B411023" wp14:editId="2B15AEDE">
            <wp:extent cx="5723890" cy="2520000"/>
            <wp:effectExtent l="0" t="0" r="0" b="0"/>
            <wp:docPr id="106611983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07E0C31" w14:textId="77777777" w:rsidR="002928D3" w:rsidRPr="00AB1B39" w:rsidRDefault="00E921FA" w:rsidP="00E81C97">
      <w:pPr>
        <w:pStyle w:val="Caption"/>
        <w:bidi/>
        <w:rPr>
          <w:rStyle w:val="IntenseEmphasis"/>
          <w:rFonts w:cs="Calibri"/>
          <w:i w:val="0"/>
          <w:iCs w:val="0"/>
          <w:color w:val="auto"/>
          <w:sz w:val="22"/>
          <w:szCs w:val="22"/>
          <w:rtl/>
        </w:rPr>
      </w:pPr>
      <w:r w:rsidRPr="00AB1B39">
        <w:rPr>
          <w:rStyle w:val="IntenseEmphasis"/>
          <w:rFonts w:cs="Calibri" w:hint="cs"/>
          <w:i w:val="0"/>
          <w:iCs w:val="0"/>
          <w:color w:val="auto"/>
          <w:sz w:val="22"/>
          <w:szCs w:val="22"/>
          <w:rtl/>
        </w:rPr>
        <w:t>الشكل 2: توافر مراجع الاستشهاد المنشورة للجمهور</w:t>
      </w:r>
    </w:p>
    <w:p w14:paraId="7A33BFD1" w14:textId="77777777" w:rsidR="00F374A6" w:rsidRPr="00AB1B39" w:rsidRDefault="00F374A6" w:rsidP="00F374A6">
      <w:pPr>
        <w:rPr>
          <w:rFonts w:cs="Calibri"/>
          <w:szCs w:val="22"/>
        </w:rPr>
      </w:pPr>
    </w:p>
    <w:p w14:paraId="4D13F35E" w14:textId="71EE112A" w:rsidR="00341AF2" w:rsidRPr="00AB1B39" w:rsidRDefault="00341AF2" w:rsidP="002C7FA7">
      <w:pPr>
        <w:pStyle w:val="ONUME"/>
        <w:bidi/>
        <w:rPr>
          <w:rFonts w:cs="Calibri"/>
          <w:szCs w:val="22"/>
          <w:rtl/>
        </w:rPr>
      </w:pPr>
      <w:r w:rsidRPr="00AB1B39">
        <w:rPr>
          <w:rFonts w:cs="Calibri" w:hint="cs"/>
          <w:szCs w:val="22"/>
          <w:rtl/>
        </w:rPr>
        <w:t xml:space="preserve">أفيد بأن مراجع الاستشهاد كثيرا ما ترد في تقارير البحث و/أو الفحص الموضوعي (42 مجيبا)، يليه وصف البراءات (28 مجيبا)، والبيانات الببليوغرافية (25 مشاركا)، وتقارير البحث التمهيدي (18 مجيب).  وحدد عدد أقل من المستجيبين مواقع أخرى، منها ملاحظات الغير وردود المودع على شروط الكشف عن العمل.  يشير هذا التوزيع إلى أن معلومات الاستشهاد تنشأ على نطاق واسع خلال تقرير البحث في الفحص ولكنها لا تتاح دائما كجزء من المعلومات الببليوغرافية في صفحة غلاف منشور البراءة.  يعرض الشكل 3 هذه النتائج.   </w:t>
      </w:r>
    </w:p>
    <w:p w14:paraId="0C5FD6A8" w14:textId="4477141C" w:rsidR="003B240C" w:rsidRPr="00AB1B39" w:rsidRDefault="003B240C" w:rsidP="00E81C97">
      <w:pPr>
        <w:pStyle w:val="Caption"/>
        <w:bidi/>
        <w:rPr>
          <w:rFonts w:cs="Calibri"/>
          <w:sz w:val="22"/>
          <w:szCs w:val="22"/>
          <w:rtl/>
        </w:rPr>
      </w:pPr>
      <w:r w:rsidRPr="00AB1B39">
        <w:rPr>
          <w:rFonts w:cs="Calibri" w:hint="cs"/>
          <w:noProof/>
          <w:sz w:val="22"/>
          <w:szCs w:val="22"/>
          <w:rtl/>
        </w:rPr>
        <w:drawing>
          <wp:inline distT="0" distB="0" distL="0" distR="0" wp14:anchorId="274B5D5A" wp14:editId="6BC302A2">
            <wp:extent cx="5486400" cy="2330450"/>
            <wp:effectExtent l="0" t="0" r="0" b="0"/>
            <wp:docPr id="196146404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8C6F058" w14:textId="7954864B" w:rsidR="002928D3" w:rsidRPr="00AB1B39" w:rsidRDefault="00382281" w:rsidP="00E81C97">
      <w:pPr>
        <w:pStyle w:val="Caption"/>
        <w:bidi/>
        <w:rPr>
          <w:rStyle w:val="IntenseEmphasis"/>
          <w:rFonts w:cs="Calibri"/>
          <w:i w:val="0"/>
          <w:iCs w:val="0"/>
          <w:color w:val="auto"/>
          <w:sz w:val="22"/>
          <w:szCs w:val="22"/>
          <w:rtl/>
        </w:rPr>
      </w:pPr>
      <w:r w:rsidRPr="00AB1B39">
        <w:rPr>
          <w:rStyle w:val="IntenseEmphasis"/>
          <w:rFonts w:cs="Calibri" w:hint="cs"/>
          <w:i w:val="0"/>
          <w:iCs w:val="0"/>
          <w:color w:val="auto"/>
          <w:sz w:val="22"/>
          <w:szCs w:val="22"/>
          <w:rtl/>
        </w:rPr>
        <w:t>الشكل 3: مواقع إشارات الاستشهاد في وثائق البراءات</w:t>
      </w:r>
    </w:p>
    <w:p w14:paraId="675D6E58" w14:textId="77777777" w:rsidR="00E81C97" w:rsidRPr="00AB1B39" w:rsidRDefault="00E81C97" w:rsidP="00E81C97">
      <w:pPr>
        <w:rPr>
          <w:rFonts w:cs="Calibri"/>
          <w:szCs w:val="22"/>
        </w:rPr>
      </w:pPr>
    </w:p>
    <w:p w14:paraId="3E3F1219" w14:textId="1C29A728" w:rsidR="00D56820" w:rsidRPr="00AB1B39" w:rsidRDefault="00341AF2" w:rsidP="00522297">
      <w:pPr>
        <w:pStyle w:val="ONUME"/>
        <w:keepLines/>
        <w:bidi/>
        <w:rPr>
          <w:rFonts w:cs="Calibri"/>
          <w:szCs w:val="22"/>
          <w:rtl/>
        </w:rPr>
      </w:pPr>
      <w:r w:rsidRPr="00AB1B39">
        <w:rPr>
          <w:rFonts w:cs="Calibri" w:hint="cs"/>
          <w:szCs w:val="22"/>
          <w:rtl/>
        </w:rPr>
        <w:t>عندما ترد إشارات الاستشهاد في صفحة غلاف منشور البراءة، أكد 40 في المائة من المجيبين أن هذه الإشارات مدرجة تحت الرمز (56)، في حين أشار 29.1 في المائة من المجيبين إلى أن ذلك لا ينطبق على ممارساتهم، وأشار 29.1 في المائة من المجيبين إلى أن إشارات الاستشهاد غير مدرجة في هذا الرمز.  في حين أشار 1 مجيب (1.8 في المائة) إلى أن الرمز (56) غير مدرج دائما.</w:t>
      </w:r>
    </w:p>
    <w:p w14:paraId="7E5B6707" w14:textId="74B20CBA" w:rsidR="00341AF2" w:rsidRPr="00AB1B39" w:rsidRDefault="00F91240" w:rsidP="006C506F">
      <w:pPr>
        <w:pStyle w:val="ONUME"/>
        <w:keepLines/>
        <w:bidi/>
        <w:rPr>
          <w:rFonts w:cs="Calibri"/>
          <w:szCs w:val="22"/>
          <w:rtl/>
        </w:rPr>
      </w:pPr>
      <w:r w:rsidRPr="00AB1B39">
        <w:rPr>
          <w:rFonts w:cs="Calibri" w:hint="cs"/>
          <w:szCs w:val="22"/>
          <w:rtl/>
        </w:rPr>
        <w:t>وبالنسبة للمكاتب التي تنشر إشارات الاستشهاد في مواقع خارج وثيقة البراءة نفسها، كان الملف الإلكتروني أو الملف الإلكتروني قابلا للتطبيق على 20 مجيبا، يليه المعلومات الموجزة القائمة على الإنترنت (11 مشاركا) والوثائق المنفصلة مثل تقارير البحث المخصصة (10 مجيبين).  وأشار العديد من المجيبين أيضا إلى الأدوات الخارجية، بما في ذلك قواعد بيانات البراءات الوطنية أو الإقليمية، كمواقع يمكن فيها بالإضافة إلى ذلك استشارة إشارات الاستشهاد.</w:t>
      </w:r>
    </w:p>
    <w:p w14:paraId="70DA19E0" w14:textId="322F6DB0" w:rsidR="00987EFA" w:rsidRPr="00AB1B39" w:rsidRDefault="00987EFA" w:rsidP="002C7FA7">
      <w:pPr>
        <w:pStyle w:val="ONUME"/>
        <w:bidi/>
        <w:rPr>
          <w:rFonts w:cs="Calibri"/>
          <w:szCs w:val="22"/>
          <w:rtl/>
        </w:rPr>
      </w:pPr>
      <w:r w:rsidRPr="00AB1B39">
        <w:rPr>
          <w:rFonts w:cs="Calibri" w:hint="cs"/>
          <w:szCs w:val="22"/>
          <w:rtl/>
        </w:rPr>
        <w:t>وتشير الردود إلى أن الروابط التشعبية ليست بعد سمة قياسية لخدمات الاستشهاد على الإنترنت بين المكاتب التي شملتها الدراسة الاستقصائية.  وأفاد 14 مجيبا فقط بأن مكتبهم يشمل وصلات تشعبية بالمقارنة مع 20 مجيبا لا يفعلون ذلك.  اعتبر 21 مجيبا آخر ا السؤال غير القابل للتطبيق، الذي يمثل أكبر فئة استجابة.  وتظهر هذه النتائج مجتمعة أن الربط المباشر متاح في أقلية فقط من المكاتب وأن هناك اختلافات كبيرة لا تزال قائمة في كيفية عرض إشارات الاستشهاد والنفاذ إليها عبر الإنترنت.  وتؤكد التعليقات المفصلة أنه في حال توفير روابط تشعبية، فإنها تدمج عموما في منصات معلومات البراءات المعمول بها وقد تؤدي مباشرة إلى أدبيات البراءات أو الوثائق غير المتعلقة بالبراءات أو السجلات ذات الصلة.  ومع ذلك، فإن التنفيذ متفاوت:  وتوفر بعض المكاتب روابط فقط في تقارير أو قواعد بيانات محددة، بعضها يشمل الـ</w:t>
      </w:r>
      <w:r w:rsidRPr="00AB1B39">
        <w:rPr>
          <w:rFonts w:cs="Calibri"/>
          <w:szCs w:val="22"/>
        </w:rPr>
        <w:t>URLs</w:t>
      </w:r>
      <w:r w:rsidRPr="00AB1B39">
        <w:rPr>
          <w:rFonts w:cs="Calibri" w:hint="cs"/>
          <w:szCs w:val="22"/>
          <w:rtl/>
        </w:rPr>
        <w:t xml:space="preserve"> دون إتاحتها بشكل روتيني، ويقيد البعض الآخر المعلومات الاستشهاد بالملفات الإلكترونية أو السجلات الورقية أو المستخدمين المصرح لهم بالنفاذ المصرح به.  وبالتالي تشير النتائج إلى الحاجة إلى مزيد من الاتساق في ممارسات الربط المباشر من أجل تحسين النفاذ المباشر إلى المواد المستشهد بها وتعزيز إمكانية استخدام معلومات الاستشهاد للجمهور.</w:t>
      </w:r>
    </w:p>
    <w:p w14:paraId="7144274B" w14:textId="64B92014" w:rsidR="00A47ABB" w:rsidRPr="00AB1B39" w:rsidRDefault="00BC3F80" w:rsidP="002C7FA7">
      <w:pPr>
        <w:pStyle w:val="ONUME"/>
        <w:bidi/>
        <w:rPr>
          <w:rFonts w:cs="Calibri"/>
          <w:szCs w:val="22"/>
          <w:rtl/>
        </w:rPr>
      </w:pPr>
      <w:r w:rsidRPr="00AB1B39">
        <w:rPr>
          <w:rFonts w:cs="Calibri" w:hint="cs"/>
          <w:szCs w:val="22"/>
          <w:rtl/>
        </w:rPr>
        <w:t>وتبين الردود على الدراسة الاستقصائية أن المكاتب التي شملتها الدراسة الاستقصائية غير متاحة على نطاق واسع للمعلومات الاستشرافية.  أشار 10 مجيبين فقط (18.2 في المائة) إلى أنهم يبلغون المستخدمين بوثائق البراءات المستشهدة بالوثيقة التي يجري الاطلاع عليها، في حين لم يقدم 36 مجيبا (65.5 في المائة) هذه المعلومات ورأى تسعة مجيبين (16.4 في المائة) أن السؤال غير قابل للتطبيق.  تشير هذه النتائج إلى أنه على الرغم من أن الاستشهادات الآجلة يمكن أن تدعم تتبع حالة التقنية الصناعية السابقة وتحليل التأثير اللاحق لوثيقة البراءة، لا تزال هذه الخاصية متاحة في عدد محدود فقط من المكاتب.  وأفاد 13 مجيبا فقط (23.6 في المائة) بأن هذه الوصلات تحيل إلى الوثائق المستشهد بها، في حالة الاستشهادات الآجلة، في حين أن 42 مجيبا (76.4 في المائة) لا يفعلون ذلك.  ويشير ذلك إلى أن شبكة الاستشهاد المتاحة للجمهور، على الصعيد الدولي، لا تزال واسعة الاتجاه إلى حد كبير، وتعقبها من وثيقة معينة إلى حالة التقنية الصناعية السابقة المستشهد بها، ولكنها نادرا ما تحيل من وثيقة إلى الوثائق التي استشهد بها لاحقا.</w:t>
      </w:r>
    </w:p>
    <w:p w14:paraId="3C2B3138" w14:textId="036582DE" w:rsidR="006D097A" w:rsidRPr="00AB1B39" w:rsidRDefault="009B5BFD" w:rsidP="003947F0">
      <w:pPr>
        <w:pStyle w:val="ONUME"/>
        <w:bidi/>
        <w:rPr>
          <w:rFonts w:cs="Calibri"/>
          <w:szCs w:val="22"/>
          <w:rtl/>
        </w:rPr>
      </w:pPr>
      <w:r w:rsidRPr="00AB1B39">
        <w:rPr>
          <w:rFonts w:cs="Calibri" w:hint="cs"/>
          <w:szCs w:val="22"/>
          <w:rtl/>
        </w:rPr>
        <w:t xml:space="preserve">أبلغت أغلبية كبيرة من المجيبين، 35 (63.6 في المائة)، عن الامتثال الكامل لمعيار الويبو </w:t>
      </w:r>
      <w:r w:rsidRPr="00AB1B39">
        <w:rPr>
          <w:rFonts w:cs="Calibri"/>
          <w:szCs w:val="22"/>
        </w:rPr>
        <w:t>ST.14</w:t>
      </w:r>
      <w:r w:rsidRPr="00AB1B39">
        <w:rPr>
          <w:rFonts w:cs="Calibri" w:hint="cs"/>
          <w:szCs w:val="22"/>
          <w:rtl/>
        </w:rPr>
        <w:t xml:space="preserve">، في حين أفادت 11 (20.0 في المائة) بالامتثال الجزئي للمعيار 9 (16.4 في المائة).  يعرض الشكل 4 هذه النتائج.  علاوة على ذلك، تشير التعليقات الواردة في الردود إلى أن الامتثال الجزئي ينبع عموما من ثغرات محددة ومحدودة بدلا من الخروج على المعيار بشكل عام.  وينطوي الامتثال الأكثر شيوعا على تطبيق معيار الويبو </w:t>
      </w:r>
      <w:r w:rsidRPr="00AB1B39">
        <w:rPr>
          <w:rFonts w:cs="Calibri"/>
          <w:szCs w:val="22"/>
        </w:rPr>
        <w:t>ST.14</w:t>
      </w:r>
      <w:r w:rsidRPr="00AB1B39">
        <w:rPr>
          <w:rFonts w:cs="Calibri" w:hint="cs"/>
          <w:szCs w:val="22"/>
          <w:rtl/>
        </w:rPr>
        <w:t xml:space="preserve"> على الاستشهادات المشار إليها في تقارير البحث الدولي.  وأفاد المجيبون الآخرون بأن بعض العناصر المحددة، مثل بعض الفقرة أو العناصر أو رموز الفئات أو حقول أسماء المودعين، مع الامتثال بطريقة أخرى لمعيار الويبو </w:t>
      </w:r>
      <w:r w:rsidRPr="00AB1B39">
        <w:rPr>
          <w:rFonts w:cs="Calibri"/>
          <w:szCs w:val="22"/>
        </w:rPr>
        <w:t>ST.14</w:t>
      </w:r>
      <w:r w:rsidRPr="00AB1B39">
        <w:rPr>
          <w:rFonts w:cs="Calibri" w:hint="cs"/>
          <w:szCs w:val="22"/>
          <w:rtl/>
        </w:rPr>
        <w:t xml:space="preserve">، أو وجود ممارسات للاستشهاد تكون مماثلة وظيفيا لمعيار الويبو </w:t>
      </w:r>
      <w:r w:rsidRPr="00AB1B39">
        <w:rPr>
          <w:rFonts w:cs="Calibri"/>
          <w:szCs w:val="22"/>
        </w:rPr>
        <w:t>ST.14</w:t>
      </w:r>
      <w:r w:rsidRPr="00AB1B39">
        <w:rPr>
          <w:rFonts w:cs="Calibri" w:hint="cs"/>
          <w:szCs w:val="22"/>
          <w:rtl/>
        </w:rPr>
        <w:t>.</w:t>
      </w:r>
    </w:p>
    <w:p w14:paraId="5396C7C0" w14:textId="600FB0E6" w:rsidR="00922ABB" w:rsidRPr="00AB1B39" w:rsidRDefault="00922ABB" w:rsidP="00DF45BA">
      <w:pPr>
        <w:pStyle w:val="Caption"/>
        <w:bidi/>
        <w:jc w:val="center"/>
        <w:rPr>
          <w:rFonts w:cs="Calibri"/>
          <w:sz w:val="22"/>
          <w:szCs w:val="22"/>
          <w:rtl/>
        </w:rPr>
      </w:pPr>
      <w:r w:rsidRPr="00AB1B39">
        <w:rPr>
          <w:rFonts w:cs="Calibri" w:hint="cs"/>
          <w:noProof/>
          <w:sz w:val="22"/>
          <w:szCs w:val="22"/>
          <w:rtl/>
        </w:rPr>
        <w:drawing>
          <wp:inline distT="0" distB="0" distL="0" distR="0" wp14:anchorId="5502443D" wp14:editId="62968F97">
            <wp:extent cx="5724000" cy="2520000"/>
            <wp:effectExtent l="0" t="0" r="0" b="0"/>
            <wp:docPr id="53715838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9BAED39" w14:textId="685A3100" w:rsidR="002928D3" w:rsidRPr="00AB1B39" w:rsidRDefault="00540186" w:rsidP="00E81C97">
      <w:pPr>
        <w:pStyle w:val="Caption"/>
        <w:bidi/>
        <w:rPr>
          <w:rStyle w:val="IntenseEmphasis"/>
          <w:rFonts w:cs="Calibri"/>
          <w:i w:val="0"/>
          <w:iCs w:val="0"/>
          <w:color w:val="auto"/>
          <w:sz w:val="22"/>
          <w:szCs w:val="22"/>
          <w:rtl/>
        </w:rPr>
      </w:pPr>
      <w:r w:rsidRPr="00AB1B39">
        <w:rPr>
          <w:rStyle w:val="IntenseEmphasis"/>
          <w:rFonts w:cs="Calibri" w:hint="cs"/>
          <w:i w:val="0"/>
          <w:iCs w:val="0"/>
          <w:color w:val="auto"/>
          <w:sz w:val="22"/>
          <w:szCs w:val="22"/>
          <w:rtl/>
        </w:rPr>
        <w:t xml:space="preserve">الشكل 4:  الامتثال لمعيار الويبو </w:t>
      </w:r>
      <w:r w:rsidRPr="00AB1B39">
        <w:rPr>
          <w:rStyle w:val="IntenseEmphasis"/>
          <w:rFonts w:cs="Calibri"/>
          <w:i w:val="0"/>
          <w:iCs w:val="0"/>
          <w:color w:val="auto"/>
          <w:sz w:val="22"/>
          <w:szCs w:val="22"/>
        </w:rPr>
        <w:t>ST.14</w:t>
      </w:r>
    </w:p>
    <w:p w14:paraId="0ED05EB0" w14:textId="77777777" w:rsidR="00E81C97" w:rsidRPr="00AB1B39" w:rsidRDefault="00E81C97" w:rsidP="00E81C97">
      <w:pPr>
        <w:rPr>
          <w:rFonts w:cs="Calibri"/>
          <w:szCs w:val="22"/>
        </w:rPr>
      </w:pPr>
    </w:p>
    <w:p w14:paraId="65536900" w14:textId="39CF741A" w:rsidR="009B5BFD" w:rsidRPr="00AB1B39" w:rsidRDefault="009B5BFD" w:rsidP="003947F0">
      <w:pPr>
        <w:pStyle w:val="ONUME"/>
        <w:bidi/>
        <w:rPr>
          <w:rFonts w:cs="Calibri"/>
          <w:szCs w:val="22"/>
          <w:rtl/>
        </w:rPr>
      </w:pPr>
      <w:r w:rsidRPr="00AB1B39">
        <w:rPr>
          <w:rFonts w:cs="Calibri" w:hint="cs"/>
          <w:szCs w:val="22"/>
          <w:rtl/>
        </w:rPr>
        <w:t xml:space="preserve">من بين 35 من المجيبين على الامتثال الكامل، تشير بعض التعليقات إلى أن الالتزام إلزامي بموجب القواعد المحلية، في حين لاحظ آخرون الامتثال الصارم لعناصر معينة فقط، مثل مؤشرات الفئة والتحديد الببليوغرافي، أو تنفيذ معيار الويبو </w:t>
      </w:r>
      <w:r w:rsidRPr="00AB1B39">
        <w:rPr>
          <w:rFonts w:cs="Calibri"/>
          <w:szCs w:val="22"/>
        </w:rPr>
        <w:t>ST.14</w:t>
      </w:r>
      <w:r w:rsidRPr="00AB1B39">
        <w:rPr>
          <w:rFonts w:cs="Calibri" w:hint="cs"/>
          <w:szCs w:val="22"/>
          <w:rtl/>
        </w:rPr>
        <w:t xml:space="preserve"> المختار دون توسيع نطاق جميع الأنساق المشمولة بالمعيار.  ويشير ذلك إلى أن التمييز بين الامتثال "الكامل" و "الجزئي" ليس واضحا دائما، وأن النظر في عناصر بيانات محددة قد يكشف عن مزيد من التباين في الممارسة عن الأرقام الرئيسية المقترحة.</w:t>
      </w:r>
    </w:p>
    <w:p w14:paraId="4A06F4CB" w14:textId="52F3A141" w:rsidR="00341AF2" w:rsidRPr="00AB1B39" w:rsidRDefault="00341AF2" w:rsidP="00341AF2">
      <w:pPr>
        <w:pStyle w:val="ONUME"/>
        <w:bidi/>
        <w:rPr>
          <w:rFonts w:cs="Calibri"/>
          <w:szCs w:val="22"/>
          <w:rtl/>
        </w:rPr>
      </w:pPr>
      <w:r w:rsidRPr="00AB1B39">
        <w:rPr>
          <w:rFonts w:cs="Calibri" w:hint="cs"/>
          <w:szCs w:val="22"/>
          <w:rtl/>
        </w:rPr>
        <w:t xml:space="preserve">أشار 34.5 في المائة فقط من المجيبين إلى أنهم يوفرون للجمهور العام معلومات عن الذين اقترحوا أو قرروا إدراج إشارة مرجعية معينة (على سبيل المثال، التمييز بين الاستشهادات التي اقترحها مودع الطلب وتلك التي حددها الفاحص).  يعرض الشكل 5 هذه النتائج.  وفي حال تقديم هذه المعلومات، كثيرا ما ترد في تقرير البحث. و/أو الفحص الموضوعي (16 مجيبا).  إضافة إلى تقرير البحث و/أو الفحص الموضوعي، تم الاطلاع أيضا على المعلومات المرجعية المستشهد بها في الصفحة الأولى من وثيقة البراءة (6 مجيبين) وفي تقرير البحث التمهيدي (6 مجيبين)، في حين أفاد عدد أقل من المجيبين بأنه يمكن العثور على هذه المعلومات في أماكن أخرى من وثيقة البراءة، وإن لم تكن على الصفحة الأولى (4 مجيبين)، أو من خلال موارد أخرى بأكملها (4 مجيبين). </w:t>
      </w:r>
    </w:p>
    <w:p w14:paraId="67457AF6" w14:textId="77777777" w:rsidR="004B2CE9" w:rsidRPr="00AB1B39" w:rsidRDefault="00937987" w:rsidP="00DF45BA">
      <w:pPr>
        <w:pStyle w:val="Caption"/>
        <w:bidi/>
        <w:rPr>
          <w:rStyle w:val="IntenseEmphasis"/>
          <w:rFonts w:cs="Calibri"/>
          <w:i w:val="0"/>
          <w:iCs w:val="0"/>
          <w:color w:val="auto"/>
          <w:sz w:val="22"/>
          <w:szCs w:val="22"/>
          <w:rtl/>
        </w:rPr>
      </w:pPr>
      <w:r w:rsidRPr="00AB1B39">
        <w:rPr>
          <w:rFonts w:cs="Calibri" w:hint="cs"/>
          <w:noProof/>
          <w:sz w:val="22"/>
          <w:szCs w:val="22"/>
          <w:rtl/>
        </w:rPr>
        <w:drawing>
          <wp:inline distT="0" distB="0" distL="0" distR="0" wp14:anchorId="118981B9" wp14:editId="679F82B4">
            <wp:extent cx="5724000" cy="2520000"/>
            <wp:effectExtent l="0" t="0" r="0" b="0"/>
            <wp:docPr id="8198040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2B3A9E5" w14:textId="6716A93C" w:rsidR="002928D3" w:rsidRPr="00AB1B39" w:rsidRDefault="0031458E" w:rsidP="00DF45BA">
      <w:pPr>
        <w:pStyle w:val="Caption"/>
        <w:bidi/>
        <w:rPr>
          <w:rStyle w:val="IntenseEmphasis"/>
          <w:rFonts w:cs="Calibri"/>
          <w:i w:val="0"/>
          <w:iCs w:val="0"/>
          <w:color w:val="auto"/>
          <w:sz w:val="22"/>
          <w:szCs w:val="22"/>
          <w:rtl/>
        </w:rPr>
      </w:pPr>
      <w:r w:rsidRPr="00AB1B39">
        <w:rPr>
          <w:rStyle w:val="IntenseEmphasis"/>
          <w:rFonts w:cs="Calibri" w:hint="cs"/>
          <w:i w:val="0"/>
          <w:iCs w:val="0"/>
          <w:color w:val="auto"/>
          <w:sz w:val="22"/>
          <w:szCs w:val="22"/>
          <w:rtl/>
        </w:rPr>
        <w:t>الشكل 5:  توافر المعلومات عن مصدر مراجع الاستشهاد</w:t>
      </w:r>
    </w:p>
    <w:p w14:paraId="52D80457" w14:textId="77777777" w:rsidR="00E81C97" w:rsidRPr="00AB1B39" w:rsidRDefault="00E81C97" w:rsidP="00E81C97">
      <w:pPr>
        <w:rPr>
          <w:rFonts w:cs="Calibri"/>
          <w:szCs w:val="22"/>
        </w:rPr>
      </w:pPr>
    </w:p>
    <w:p w14:paraId="2378D253" w14:textId="625A93A6" w:rsidR="00200CF3" w:rsidRPr="00AB1B39" w:rsidRDefault="00200CF3" w:rsidP="00926158">
      <w:pPr>
        <w:pStyle w:val="Heading3"/>
        <w:rPr>
          <w:rtl/>
        </w:rPr>
      </w:pPr>
      <w:r w:rsidRPr="00AB1B39">
        <w:rPr>
          <w:rFonts w:hint="cs"/>
          <w:rtl/>
        </w:rPr>
        <w:t xml:space="preserve">معلومات تقارير البحث </w:t>
      </w:r>
    </w:p>
    <w:p w14:paraId="7F4AB93C" w14:textId="68DFFAFE" w:rsidR="009038F5" w:rsidRPr="00AB1B39" w:rsidRDefault="001406E2" w:rsidP="003947F0">
      <w:pPr>
        <w:pStyle w:val="ONUME"/>
        <w:bidi/>
        <w:rPr>
          <w:rFonts w:cs="Calibri"/>
          <w:szCs w:val="22"/>
          <w:rtl/>
        </w:rPr>
      </w:pPr>
      <w:r w:rsidRPr="00AB1B39">
        <w:rPr>
          <w:rFonts w:cs="Calibri" w:hint="cs"/>
          <w:szCs w:val="22"/>
          <w:rtl/>
        </w:rPr>
        <w:t xml:space="preserve">فيما يتعلق بإعداد المحاضرين كإدارة للبحث الدولي بناء على معاهدة التعاون بشأن البراءات، أشار 28 مجيبا (50.9 في المائة) إلى أنهم يعملون كإدارة للبحث الدولي، في حين أشار 27 مجيبا (49.1 في المائة) إلى أنهم لا يعملون كإدارة للبحث الدولي.  فيما يتعلق بتقارير البحث الوطنية أو الإقليمية الخاصة بالمكاتب، يعد 40 مجيبا (73 في المائة) منهم في حين أن 15 مجيبا (27 في المائة) لا يعدون.  يعرض الشكل 6 هذه النتائج.  ومن بين القائمين على إعداد التقارير، يحتفظ 26 من أصل 28 من المنظمات المشاركة (93 في المائة) بمراقبة الجودة على إشارات الاستشهاد في حين لا يوجد 2 من المجيبين (7 في المائة).  وفيما بين المكاتب التي تعد تقارير بحث وطنية أو إقليمية محددة، أبلغت الغالبية العظمى عن ممارسات مراقبة الجودة المتعلقة بإشارات الاستشهاد، حيث أكد 30 مجيبا وجود آليات رسمية لمراقبة الجودة، بالمقارنة مع 10 مجيبين يشيرون إلى عدم وجود ضوابط من هذا القبيل.  يعرض الشكل 7 هذه النتائج.  تشير النتائج إلى أنه بصرف النظر عما إذا كان تقرير البحث قد أعد كتقرير بحث دولي بناء على معاهدة التعاون بشأن البراءات أو كتقرير بحث وطني/إقليمي، فإن غالبية المكاتب التي تعد تقارير البحث هذه قد نفذت عمليات رسمية لمراقبة جودة إشارات الاستشهاد.  </w:t>
      </w:r>
    </w:p>
    <w:p w14:paraId="32759F74" w14:textId="176E4585" w:rsidR="001E256F" w:rsidRPr="00AB1B39" w:rsidRDefault="00291E58" w:rsidP="00E81C97">
      <w:pPr>
        <w:pStyle w:val="Caption"/>
        <w:bidi/>
        <w:rPr>
          <w:rFonts w:cs="Calibri"/>
          <w:sz w:val="22"/>
          <w:szCs w:val="22"/>
          <w:rtl/>
        </w:rPr>
      </w:pPr>
      <w:r w:rsidRPr="00AB1B39">
        <w:rPr>
          <w:rFonts w:cs="Calibri" w:hint="cs"/>
          <w:noProof/>
          <w:sz w:val="22"/>
          <w:szCs w:val="22"/>
          <w:rtl/>
        </w:rPr>
        <w:drawing>
          <wp:inline distT="0" distB="0" distL="0" distR="0" wp14:anchorId="248774A2" wp14:editId="36C571DB">
            <wp:extent cx="2425700" cy="2880000"/>
            <wp:effectExtent l="0" t="0" r="0" b="0"/>
            <wp:docPr id="176310234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AB1B39">
        <w:rPr>
          <w:rFonts w:cs="Calibri" w:hint="cs"/>
          <w:sz w:val="22"/>
          <w:szCs w:val="22"/>
          <w:rtl/>
        </w:rPr>
        <w:t xml:space="preserve">  </w:t>
      </w:r>
      <w:r w:rsidRPr="00AB1B39">
        <w:rPr>
          <w:rFonts w:cs="Calibri" w:hint="cs"/>
          <w:sz w:val="22"/>
          <w:szCs w:val="22"/>
          <w:rtl/>
        </w:rPr>
        <w:tab/>
      </w:r>
      <w:r w:rsidRPr="00AB1B39">
        <w:rPr>
          <w:rFonts w:cs="Calibri" w:hint="cs"/>
          <w:sz w:val="22"/>
          <w:szCs w:val="22"/>
          <w:rtl/>
        </w:rPr>
        <w:tab/>
      </w:r>
      <w:r w:rsidRPr="00AB1B39">
        <w:rPr>
          <w:rFonts w:cs="Calibri" w:hint="cs"/>
          <w:sz w:val="22"/>
          <w:szCs w:val="22"/>
          <w:rtl/>
        </w:rPr>
        <w:tab/>
      </w:r>
      <w:r w:rsidRPr="00AB1B39">
        <w:rPr>
          <w:rFonts w:cs="Calibri" w:hint="cs"/>
          <w:noProof/>
          <w:sz w:val="22"/>
          <w:szCs w:val="22"/>
          <w:rtl/>
        </w:rPr>
        <w:drawing>
          <wp:inline distT="0" distB="0" distL="0" distR="0" wp14:anchorId="2E8CF5B7" wp14:editId="20153DFE">
            <wp:extent cx="2540000" cy="2880000"/>
            <wp:effectExtent l="0" t="0" r="0" b="0"/>
            <wp:docPr id="12203115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8FD4277" w14:textId="68CDE1C7" w:rsidR="002928D3" w:rsidRPr="00AB1B39" w:rsidRDefault="00B8657F" w:rsidP="00E81C97">
      <w:pPr>
        <w:pStyle w:val="Caption"/>
        <w:bidi/>
        <w:rPr>
          <w:rStyle w:val="IntenseEmphasis"/>
          <w:rFonts w:cs="Calibri"/>
          <w:i w:val="0"/>
          <w:iCs w:val="0"/>
          <w:color w:val="auto"/>
          <w:sz w:val="22"/>
          <w:szCs w:val="22"/>
          <w:rtl/>
        </w:rPr>
      </w:pPr>
      <w:r w:rsidRPr="00AB1B39">
        <w:rPr>
          <w:rStyle w:val="IntenseEmphasis"/>
          <w:rFonts w:cs="Calibri" w:hint="cs"/>
          <w:i w:val="0"/>
          <w:iCs w:val="0"/>
          <w:color w:val="auto"/>
          <w:sz w:val="22"/>
          <w:szCs w:val="22"/>
          <w:rtl/>
        </w:rPr>
        <w:t>الشكل 6:  إعداد تقارير البحث رقم 7:  مراقبة جودة مراجع الاستشهاد</w:t>
      </w:r>
      <w:r w:rsidRPr="00AB1B39">
        <w:rPr>
          <w:rFonts w:cs="Calibri" w:hint="cs"/>
          <w:sz w:val="22"/>
          <w:szCs w:val="22"/>
          <w:rtl/>
        </w:rPr>
        <w:t xml:space="preserve"> </w:t>
      </w:r>
    </w:p>
    <w:p w14:paraId="10328CEE" w14:textId="77777777" w:rsidR="00E81C97" w:rsidRPr="00AB1B39" w:rsidRDefault="00E81C97" w:rsidP="00E81C97">
      <w:pPr>
        <w:rPr>
          <w:rFonts w:cs="Calibri"/>
          <w:szCs w:val="22"/>
        </w:rPr>
      </w:pPr>
    </w:p>
    <w:p w14:paraId="43F25D35" w14:textId="4809A8B5" w:rsidR="002916AD" w:rsidRPr="00AB1B39" w:rsidRDefault="002916AD" w:rsidP="003947F0">
      <w:pPr>
        <w:pStyle w:val="ONUME"/>
        <w:bidi/>
        <w:rPr>
          <w:rFonts w:cs="Calibri"/>
          <w:szCs w:val="22"/>
          <w:rtl/>
        </w:rPr>
      </w:pPr>
      <w:r w:rsidRPr="00AB1B39">
        <w:rPr>
          <w:rFonts w:cs="Calibri" w:hint="cs"/>
          <w:szCs w:val="22"/>
          <w:rtl/>
        </w:rPr>
        <w:t xml:space="preserve">فيما يتعلق بإدراج النسخ عبر الإنترنت في الاستشهادات الصادرة عن المحاضرين، فإن 7 من البلدان الثمانية والعشرين المشاركة على الدوام تشمل تلك الأسماء، 4 منها على الإطلاق، والأكثر شيوعا في بعض الأحيان عند الاستشهاد بالأدبيات غير المتعلقة بالبراءات.  بالنسبة لتقارير البحث الوطنية أو الإقليمية الخاصة بكل مكتب، فإن الأرقام المقابلة لها 16 دائما بما فيها الأرقام، و5 حالات على الإطلاق، و19 في بعض الأحيان.  وفيما يتعلق بأدوات تعريف الوثائق الفريدة من نوعها، فإن 13 من المجيبين يستخدمونها دائما، 4 على الإطلاق، و11 في بعض الأحيان؛ وبالنسبة للتقارير الوطنية، فإن الأرقام هي 15 دائما، 13 مجيبا، و12 في بعض الأحيان.  </w:t>
      </w:r>
    </w:p>
    <w:p w14:paraId="72A0711B" w14:textId="282DF05E" w:rsidR="005901A7" w:rsidRPr="00AB1B39" w:rsidRDefault="00F606AC" w:rsidP="003947F0">
      <w:pPr>
        <w:pStyle w:val="ONUME"/>
        <w:bidi/>
        <w:rPr>
          <w:rFonts w:cs="Calibri"/>
          <w:szCs w:val="22"/>
          <w:rtl/>
        </w:rPr>
      </w:pPr>
      <w:r w:rsidRPr="00AB1B39">
        <w:rPr>
          <w:rFonts w:cs="Calibri" w:hint="cs"/>
          <w:szCs w:val="22"/>
          <w:rtl/>
        </w:rPr>
        <w:t>من بين أدوات تعريف الوثائق الفريدة المستخدمة، كان معرف الهدف الرقمي هو الأكثر شيوعا، وهو ما أشار إليه 23 من المجيبين على الاستبيان و25 من المجيبين على التقارير الوطنية، يليه التصنيف الدولي للبراءات (</w:t>
      </w:r>
      <w:r w:rsidRPr="00AB1B39">
        <w:rPr>
          <w:rFonts w:cs="Calibri"/>
          <w:szCs w:val="22"/>
        </w:rPr>
        <w:t>ISBN</w:t>
      </w:r>
      <w:r w:rsidRPr="00AB1B39">
        <w:rPr>
          <w:rFonts w:cs="Calibri" w:hint="cs"/>
          <w:szCs w:val="22"/>
          <w:rtl/>
        </w:rPr>
        <w:t>) وال</w:t>
      </w:r>
      <w:r w:rsidRPr="00AB1B39">
        <w:rPr>
          <w:rFonts w:cs="Calibri"/>
          <w:szCs w:val="22"/>
        </w:rPr>
        <w:t>ISSN</w:t>
      </w:r>
      <w:r w:rsidRPr="00AB1B39">
        <w:rPr>
          <w:rFonts w:cs="Calibri" w:hint="cs"/>
          <w:szCs w:val="22"/>
          <w:rtl/>
        </w:rPr>
        <w:t xml:space="preserve">، الذي أشار إليه 21 من المجيبين على التوالي.  وأفادت المكاتب بأن الاختلافات بين تقديم تقارير البحث الدولي وغيرها من استشهادات البحث هي اختلافات طفيفة بوجه عام، فيما يتعلق باللغة، وأشكال التاريخ، وإدراج معلومات أسرة البراءات أو معلومات التصنيف.  </w:t>
      </w:r>
    </w:p>
    <w:p w14:paraId="1E1AB929" w14:textId="57A9FF9B" w:rsidR="00995DCD" w:rsidRPr="00AB1B39" w:rsidRDefault="00C801BD" w:rsidP="00926158">
      <w:pPr>
        <w:pStyle w:val="Heading3"/>
        <w:rPr>
          <w:rtl/>
        </w:rPr>
      </w:pPr>
      <w:r w:rsidRPr="00AB1B39">
        <w:rPr>
          <w:rFonts w:hint="cs"/>
          <w:rtl/>
        </w:rPr>
        <w:t xml:space="preserve">إدارة مراجع الاستشهاد </w:t>
      </w:r>
    </w:p>
    <w:p w14:paraId="41CAFAC6" w14:textId="7C1007D2" w:rsidR="00493D50" w:rsidRPr="00AB1B39" w:rsidRDefault="00493D50" w:rsidP="00830AB3">
      <w:pPr>
        <w:pStyle w:val="ONUME"/>
        <w:keepLines/>
        <w:bidi/>
        <w:rPr>
          <w:rFonts w:cs="Calibri"/>
          <w:szCs w:val="22"/>
          <w:rtl/>
        </w:rPr>
      </w:pPr>
      <w:r w:rsidRPr="00AB1B39">
        <w:rPr>
          <w:rFonts w:cs="Calibri" w:hint="cs"/>
          <w:szCs w:val="22"/>
          <w:rtl/>
        </w:rPr>
        <w:t>فيما يتعلق بوضع إشارات الاستشهاد، فإن 7 مجيبين (12.7 في المائة) يضيفون حاليا الإشارات؛ وليس 42 مجيبا (76.4 في المائة) غير قادرين على ذلك؛ ويعتزم 6 مجيبين (10.9 في المائة) القيام بذلك في المستقبل.  ومن بين هؤلاء المجيبين الستة، أشار 3 مجيبين إلى الإطار الزمني المستهدف المحدد في 2027-2028، ويعتزم المدعى عليه إضافة مبالغ خلال ثلاث سنوات، وليس لدى البلدان المجيبة المتبقية أي خطط ملموسة.  وفيما يتعلق بالسؤال إذا كانت لدى المكاتب قاعدة بيانات مركزية تحتوي على عناصر بيانات الاستشهاد بالاستشهاد، فإن 16 مجيبا (29.1 في المائة) يحتفظون بواحد؛ ولكن 37 مجيبا (67.3 في المائة) لا يعتزمان إنشاء قاعدة بيانات واحدة في المستقبل (67.3 في المائة).  يعرض الشكل 8 هذه النتائج.</w:t>
      </w:r>
    </w:p>
    <w:p w14:paraId="52F49CCB" w14:textId="77777777" w:rsidR="002D49E0" w:rsidRPr="00AB1B39" w:rsidRDefault="002D49E0" w:rsidP="00E81C97">
      <w:pPr>
        <w:pStyle w:val="Caption"/>
        <w:bidi/>
        <w:rPr>
          <w:rFonts w:cs="Calibri"/>
          <w:sz w:val="22"/>
          <w:szCs w:val="22"/>
          <w:rtl/>
        </w:rPr>
      </w:pPr>
      <w:r w:rsidRPr="00AB1B39">
        <w:rPr>
          <w:rFonts w:cs="Calibri" w:hint="cs"/>
          <w:noProof/>
          <w:sz w:val="22"/>
          <w:szCs w:val="22"/>
          <w:rtl/>
        </w:rPr>
        <w:drawing>
          <wp:inline distT="0" distB="0" distL="0" distR="0" wp14:anchorId="04482E2D" wp14:editId="7FDCBC1B">
            <wp:extent cx="5724000" cy="2520000"/>
            <wp:effectExtent l="0" t="0" r="0" b="0"/>
            <wp:docPr id="880175688"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D2FF7F5" w14:textId="77777777" w:rsidR="002D49E0" w:rsidRPr="00AB1B39" w:rsidRDefault="002D49E0" w:rsidP="00E81C97">
      <w:pPr>
        <w:pStyle w:val="Caption"/>
        <w:bidi/>
        <w:rPr>
          <w:rFonts w:cs="Calibri"/>
          <w:sz w:val="22"/>
          <w:szCs w:val="22"/>
          <w:rtl/>
        </w:rPr>
      </w:pPr>
      <w:r w:rsidRPr="00AB1B39">
        <w:rPr>
          <w:rStyle w:val="IntenseEmphasis"/>
          <w:rFonts w:cs="Calibri" w:hint="cs"/>
          <w:i w:val="0"/>
          <w:iCs w:val="0"/>
          <w:color w:val="auto"/>
          <w:sz w:val="22"/>
          <w:szCs w:val="22"/>
          <w:rtl/>
        </w:rPr>
        <w:t>الشكل 8:</w:t>
      </w:r>
      <w:r w:rsidRPr="00AB1B39">
        <w:rPr>
          <w:rFonts w:cs="Calibri" w:hint="cs"/>
          <w:sz w:val="22"/>
          <w:szCs w:val="22"/>
          <w:rtl/>
        </w:rPr>
        <w:t xml:space="preserve"> قاعدة بيانات مركزية تحتوي على تحديد مرجعي للاستشهاد</w:t>
      </w:r>
    </w:p>
    <w:p w14:paraId="30A3D4B5" w14:textId="77777777" w:rsidR="00E81C97" w:rsidRPr="00AB1B39" w:rsidRDefault="00E81C97" w:rsidP="00E81C97">
      <w:pPr>
        <w:rPr>
          <w:rFonts w:cs="Calibri"/>
          <w:szCs w:val="22"/>
        </w:rPr>
      </w:pPr>
    </w:p>
    <w:p w14:paraId="4EECC08B" w14:textId="0E08ECCB" w:rsidR="00341AF2" w:rsidRPr="00AB1B39" w:rsidRDefault="00341AF2" w:rsidP="00BA4754">
      <w:pPr>
        <w:pStyle w:val="ONUME"/>
        <w:bidi/>
        <w:rPr>
          <w:rFonts w:cs="Calibri"/>
          <w:szCs w:val="22"/>
          <w:rtl/>
        </w:rPr>
      </w:pPr>
      <w:r w:rsidRPr="00AB1B39">
        <w:rPr>
          <w:rFonts w:cs="Calibri" w:hint="cs"/>
          <w:szCs w:val="22"/>
          <w:rtl/>
        </w:rPr>
        <w:t xml:space="preserve">من بين المكاتب التي تحتفظ بقاعدة بيانات مركزية لبيانات التعرف على الاستشهاد بالاستشهاد، تختلف الهياكل اختلافا كبيرا.  تستخدم بعض المكاتب معيار الويبو </w:t>
      </w:r>
      <w:r w:rsidRPr="00AB1B39">
        <w:rPr>
          <w:rFonts w:cs="Calibri"/>
          <w:szCs w:val="22"/>
        </w:rPr>
        <w:t>ST.36</w:t>
      </w:r>
      <w:r w:rsidRPr="00AB1B39">
        <w:rPr>
          <w:rFonts w:cs="Calibri" w:hint="cs"/>
          <w:szCs w:val="22"/>
          <w:rtl/>
        </w:rPr>
        <w:t xml:space="preserve"> كنسق مشترك لتبادل البيانات، بينما يستخدم البعض الآخر قواعد البيانات النسبية (في بعض الحالات بالاقتران مع معيار الويبو </w:t>
      </w:r>
      <w:r w:rsidRPr="00AB1B39">
        <w:rPr>
          <w:rFonts w:cs="Calibri"/>
          <w:szCs w:val="22"/>
        </w:rPr>
        <w:t>ST.36</w:t>
      </w:r>
      <w:r w:rsidRPr="00AB1B39">
        <w:rPr>
          <w:rFonts w:cs="Calibri" w:hint="cs"/>
          <w:szCs w:val="22"/>
          <w:rtl/>
        </w:rPr>
        <w:t xml:space="preserve"> لأغراض تبادل البيانات)، ويعمل واحد على الأقل من المستجوبين على تطبيق نسق قاعدة بيانات داخلية مسجلة الملكية تغذيه تدفقات البيانات المحولة من معايير الويبو </w:t>
      </w:r>
      <w:r w:rsidRPr="00AB1B39">
        <w:rPr>
          <w:rFonts w:cs="Calibri"/>
          <w:szCs w:val="22"/>
        </w:rPr>
        <w:t>ST.36</w:t>
      </w:r>
      <w:r w:rsidRPr="00AB1B39">
        <w:rPr>
          <w:rFonts w:cs="Calibri" w:hint="cs"/>
          <w:szCs w:val="22"/>
          <w:rtl/>
        </w:rPr>
        <w:t xml:space="preserve"> أو </w:t>
      </w:r>
      <w:r w:rsidRPr="00AB1B39">
        <w:rPr>
          <w:rFonts w:cs="Calibri"/>
          <w:szCs w:val="22"/>
        </w:rPr>
        <w:t>ST.96</w:t>
      </w:r>
      <w:r w:rsidRPr="00AB1B39">
        <w:rPr>
          <w:rFonts w:cs="Calibri" w:hint="cs"/>
          <w:szCs w:val="22"/>
          <w:rtl/>
        </w:rPr>
        <w:t xml:space="preserve"> أو أنساق الوثائق غير المتعلقة بالبراءات المسجلة الملكية.  من المكاتب التي تحتفظ بقاعدة بيانات مركزية من هذا القبيل، أكد 13 مجيبا فقط أن المعلومات الواردة فيه قابلة للتبادل من الناحيتين التقنية والقانونية مع المكاتب الأخرى، مما يمثل قيدا كبيرا على قابلية التشغيل البيني الدولي لبيانات الاستشهاد.</w:t>
      </w:r>
    </w:p>
    <w:p w14:paraId="6BA37467" w14:textId="4867810C" w:rsidR="00341AF2" w:rsidRPr="00AB1B39" w:rsidRDefault="00341AF2" w:rsidP="00BA4754">
      <w:pPr>
        <w:pStyle w:val="ONUME"/>
        <w:bidi/>
        <w:rPr>
          <w:rFonts w:cs="Calibri"/>
          <w:szCs w:val="22"/>
          <w:rtl/>
        </w:rPr>
      </w:pPr>
      <w:r w:rsidRPr="00AB1B39">
        <w:rPr>
          <w:rFonts w:cs="Calibri" w:hint="cs"/>
          <w:szCs w:val="22"/>
          <w:rtl/>
        </w:rPr>
        <w:t>وتمشيا مع هذه النتيجة، أكد 32.7 في المائة فقط من المجيبين أن مراجع الاستشهاد يمكن البحث فيها من قبل الجمهور العام، مما يعني أنه يمكن للمستخدم البحث عن نص عناصر البيانات التي تحدد الوثيقة أو المرور المستشهد بها.  وأشار 10.9 في المائة كذلك إلى أن هذه الإمكانية متاحة فقط في ظروف محدودة (مثل استشهادات البراءات فقط، أو بالنسبة للأوصاف ولكن ليس في تقارير الفحص أو العروض المقدمة من الغير)، في حين أشارت الأغلبية، 56.4 في المائة، إلى أن مراجع الاستشهاد لا يمكن البحث فيها من قبل الجمهور على الإطلاق.</w:t>
      </w:r>
    </w:p>
    <w:p w14:paraId="65330B4D" w14:textId="3483ADC1" w:rsidR="00504E4C" w:rsidRPr="00AB1B39" w:rsidRDefault="008617B1" w:rsidP="00926158">
      <w:pPr>
        <w:pStyle w:val="Heading3"/>
        <w:rPr>
          <w:rFonts w:eastAsiaTheme="minorEastAsia"/>
          <w:rtl/>
        </w:rPr>
      </w:pPr>
      <w:r w:rsidRPr="00AB1B39">
        <w:rPr>
          <w:rFonts w:hint="cs"/>
          <w:rtl/>
        </w:rPr>
        <w:t>المصدر الأصلي لوثائق البراءات المنشورة</w:t>
      </w:r>
    </w:p>
    <w:p w14:paraId="660D2D9D" w14:textId="424F7899" w:rsidR="00341AF2" w:rsidRPr="00AB1B39" w:rsidRDefault="00341AF2" w:rsidP="00830AB3">
      <w:pPr>
        <w:pStyle w:val="ONUME"/>
        <w:keepLines/>
        <w:bidi/>
        <w:rPr>
          <w:rFonts w:cs="Calibri"/>
          <w:szCs w:val="22"/>
          <w:rtl/>
        </w:rPr>
      </w:pPr>
      <w:r w:rsidRPr="00AB1B39">
        <w:rPr>
          <w:rFonts w:cs="Calibri" w:hint="cs"/>
          <w:szCs w:val="22"/>
          <w:rtl/>
        </w:rPr>
        <w:t>فيما يتعلق بالتسليم القانوني الأصلي (المصدر المرجعي) لطلبات البراءات المنشورة والبراءات الممنوحة، حددت الغالبية العظمى من المستجيبين موقعا على الإنترنت كمصدر موثوق (48 مجيبا لطلبات البراءات و47 مجيبا للبراءات الممنوحة).  ومع ذلك، تظل الورقة التسليم القانوني الأصلي في عدد كبير من الولايات القضائية (19 مجيبا للطلبات و20 مجيبا للبراءات الممنوحة).  وحدد عدد أقل من المستجيبين بالإضافة إلى ذلك خدمات النشر بالجملة (11 مجيبا للطلبات و10 من المجيبين على البراءات الممنوحة) وواجهات برمجة التطبيقات (5 مجيبين على الطلبات و7 مجيبين على البراءات الممنوحة) كمصادر موثوقة.</w:t>
      </w:r>
    </w:p>
    <w:p w14:paraId="229BD3A7" w14:textId="09EB8C30" w:rsidR="00341AF2" w:rsidRPr="00AB1B39" w:rsidRDefault="00341AF2" w:rsidP="00135D84">
      <w:pPr>
        <w:pStyle w:val="ONUME"/>
        <w:bidi/>
        <w:rPr>
          <w:rFonts w:cs="Calibri"/>
          <w:szCs w:val="22"/>
          <w:rtl/>
        </w:rPr>
      </w:pPr>
      <w:r w:rsidRPr="00AB1B39">
        <w:rPr>
          <w:rFonts w:cs="Calibri" w:hint="cs"/>
          <w:szCs w:val="22"/>
          <w:rtl/>
        </w:rPr>
        <w:t xml:space="preserve">في الحالات التي يفضل فيها نسق معين للملفات (يبلغ 54.5 في المائة من المجيبين)، كان نسق </w:t>
      </w:r>
      <w:r w:rsidRPr="00AB1B39">
        <w:rPr>
          <w:rFonts w:cs="Calibri"/>
          <w:szCs w:val="22"/>
        </w:rPr>
        <w:t>PDF</w:t>
      </w:r>
      <w:r w:rsidRPr="00AB1B39">
        <w:rPr>
          <w:rFonts w:cs="Calibri" w:hint="cs"/>
          <w:szCs w:val="22"/>
          <w:rtl/>
        </w:rPr>
        <w:t xml:space="preserve"> هو الأكثر تفضيلا (27 مجيبا)، يليه نسق </w:t>
      </w:r>
      <w:r w:rsidRPr="00AB1B39">
        <w:rPr>
          <w:rFonts w:cs="Calibri"/>
          <w:szCs w:val="22"/>
        </w:rPr>
        <w:t>XML (</w:t>
      </w:r>
      <w:r w:rsidRPr="00AB1B39">
        <w:rPr>
          <w:rFonts w:cs="Calibri" w:hint="cs"/>
          <w:szCs w:val="22"/>
          <w:rtl/>
        </w:rPr>
        <w:t>13 مجيبا)، وورق، و</w:t>
      </w:r>
      <w:r w:rsidRPr="00AB1B39">
        <w:rPr>
          <w:rFonts w:cs="Calibri"/>
          <w:szCs w:val="22"/>
        </w:rPr>
        <w:t>HTML</w:t>
      </w:r>
      <w:r w:rsidRPr="00AB1B39">
        <w:rPr>
          <w:rFonts w:cs="Calibri" w:hint="cs"/>
          <w:szCs w:val="22"/>
          <w:rtl/>
        </w:rPr>
        <w:t>، و</w:t>
      </w:r>
      <w:r w:rsidRPr="00AB1B39">
        <w:rPr>
          <w:rFonts w:cs="Calibri"/>
          <w:szCs w:val="22"/>
        </w:rPr>
        <w:t>TIFF</w:t>
      </w:r>
      <w:r w:rsidRPr="00AB1B39">
        <w:rPr>
          <w:rFonts w:cs="Calibri" w:hint="cs"/>
          <w:szCs w:val="22"/>
          <w:rtl/>
        </w:rPr>
        <w:t xml:space="preserve">، ونسق </w:t>
      </w:r>
      <w:r w:rsidRPr="00AB1B39">
        <w:rPr>
          <w:rFonts w:cs="Calibri"/>
          <w:szCs w:val="22"/>
        </w:rPr>
        <w:t>JSON</w:t>
      </w:r>
      <w:r w:rsidRPr="00AB1B39">
        <w:rPr>
          <w:rFonts w:cs="Calibri" w:hint="cs"/>
          <w:szCs w:val="22"/>
          <w:rtl/>
        </w:rPr>
        <w:t xml:space="preserve"> التي استخدمتها أعداد أصغر من المجيبين.  ويؤكد ذلك أنه على الرغم من الاستثمار المتزايد في البيانات المنظمة بنسق </w:t>
      </w:r>
      <w:r w:rsidRPr="00AB1B39">
        <w:rPr>
          <w:rFonts w:cs="Calibri"/>
          <w:szCs w:val="22"/>
        </w:rPr>
        <w:t>XML</w:t>
      </w:r>
      <w:r w:rsidRPr="00AB1B39">
        <w:rPr>
          <w:rFonts w:cs="Calibri" w:hint="cs"/>
          <w:szCs w:val="22"/>
          <w:rtl/>
        </w:rPr>
        <w:t xml:space="preserve">، يظل نسق </w:t>
      </w:r>
      <w:r w:rsidRPr="00AB1B39">
        <w:rPr>
          <w:rFonts w:cs="Calibri"/>
          <w:szCs w:val="22"/>
        </w:rPr>
        <w:t>PDF</w:t>
      </w:r>
      <w:r w:rsidRPr="00AB1B39">
        <w:rPr>
          <w:rFonts w:cs="Calibri" w:hint="cs"/>
          <w:szCs w:val="22"/>
          <w:rtl/>
        </w:rPr>
        <w:t xml:space="preserve"> القائم على الصور هو النسق المهيمن لتقديم الترجمة القانونية الأصلية لوثيقة البراءة من الخارج.</w:t>
      </w:r>
    </w:p>
    <w:p w14:paraId="197F3656" w14:textId="0E26FBF0" w:rsidR="006B56C8" w:rsidRPr="00AB1B39" w:rsidRDefault="006B56C8" w:rsidP="00135D84">
      <w:pPr>
        <w:pStyle w:val="ONUME"/>
        <w:bidi/>
        <w:rPr>
          <w:rFonts w:cs="Calibri"/>
          <w:szCs w:val="22"/>
          <w:rtl/>
        </w:rPr>
      </w:pPr>
      <w:r w:rsidRPr="00AB1B39">
        <w:rPr>
          <w:rFonts w:cs="Calibri" w:hint="cs"/>
          <w:szCs w:val="22"/>
          <w:rtl/>
        </w:rPr>
        <w:t xml:space="preserve">وفيما يتعلق بمسألة ما إذا كانت المكاتب تستخدم مقدمي الخدمات التجارية لنشر وثائق البراءات، أفاد غالبية المجيبين (87.3 في المائة و48 من المجيبين) أنهم لا يستخدمون مقدمي الخدمات التجارية لنشر وثائق البراءات، بالاعتماد بدلا من ذلك على الأنظمة والموارد الداخلية.  أشار 7 مجيبين فقط (12.7 في المائة) إلى استخدام مقدمي الخدمات التجارية، مع تفاوت الترتيبات المحددة فيما بينها تباينا كبيرا.  وأفاد بأن استخدامات البائعين الخارجيين المبلغ عنها تشمل توليد ملفات بنسق </w:t>
      </w:r>
      <w:r w:rsidRPr="00AB1B39">
        <w:rPr>
          <w:rFonts w:cs="Calibri"/>
          <w:szCs w:val="22"/>
        </w:rPr>
        <w:t>XML</w:t>
      </w:r>
      <w:r w:rsidRPr="00AB1B39">
        <w:rPr>
          <w:rFonts w:cs="Calibri" w:hint="cs"/>
          <w:szCs w:val="22"/>
          <w:rtl/>
        </w:rPr>
        <w:t xml:space="preserve"> من البيانات المالية التي لم تخضع للتعرف الضوئي على الحروف (</w:t>
      </w:r>
      <w:r w:rsidRPr="00AB1B39">
        <w:rPr>
          <w:rFonts w:cs="Calibri"/>
          <w:szCs w:val="22"/>
        </w:rPr>
        <w:t>OCR</w:t>
      </w:r>
      <w:r w:rsidRPr="00AB1B39">
        <w:rPr>
          <w:rFonts w:cs="Calibri" w:hint="cs"/>
          <w:szCs w:val="22"/>
          <w:rtl/>
        </w:rPr>
        <w:t xml:space="preserve">)، وبالتالي فهي لا تحتوي على نص مقروء آليا، وتستخدم منصات تجارية لتوسيع نطاق وظائف النشر، وتكمل أدوات البحث الوطنية بالخدمات التجارية لنشر الطلبات المقبولة والبراءات الممنوحة، وخدمات التطوير في أنظمة النشر في الجريدة. </w:t>
      </w:r>
    </w:p>
    <w:p w14:paraId="009726AE" w14:textId="5BC35C91" w:rsidR="009C7251" w:rsidRPr="00AB1B39" w:rsidRDefault="009C7251" w:rsidP="00926158">
      <w:pPr>
        <w:pStyle w:val="Heading3"/>
        <w:rPr>
          <w:rtl/>
        </w:rPr>
      </w:pPr>
      <w:r w:rsidRPr="00AB1B39">
        <w:rPr>
          <w:rFonts w:hint="cs"/>
          <w:rtl/>
        </w:rPr>
        <w:t xml:space="preserve">توافر أدوات تعريف المواقع </w:t>
      </w:r>
    </w:p>
    <w:p w14:paraId="40168807" w14:textId="089BCFA0" w:rsidR="00B154F8" w:rsidRPr="00AB1B39" w:rsidRDefault="00260669" w:rsidP="00135D84">
      <w:pPr>
        <w:pStyle w:val="ONUME"/>
        <w:bidi/>
        <w:rPr>
          <w:rFonts w:cs="Calibri"/>
          <w:szCs w:val="22"/>
          <w:rtl/>
        </w:rPr>
      </w:pPr>
      <w:r w:rsidRPr="00AB1B39">
        <w:rPr>
          <w:rFonts w:cs="Calibri" w:hint="cs"/>
          <w:szCs w:val="22"/>
          <w:rtl/>
        </w:rPr>
        <w:t>فيما يتعلق بالمعرفات المستندة إلى النصوص، تبين أن أرقام الصفحات تظهر على نحو مثير للدهشة باعتبارها الوسيلة الأكثر استخداما لتحديد المواقع، والموجودة في الوثائق المنشورة المكونة من 47 مجيبا (85.5 في المائة)، مما يعكس دورها الطويل الأمد بوصفها آلية عالمية ومبسطة للإحالة إلى المراجع.  واستخدمت أيضا الأرقام الواردة في الفقرة (26 مجيبا) والأرقام الشبكية (27 مجيبا).  العمود، على النقيض من ذلك، 9 مكاتب فقط.  يعرض الشكل 9 هذه النتائج.  وعلى وجه الخصوص، أوضح العديد من المجيبين أن بعض أدوات التعريف لا توجد إلا في بيانات لغة الترميز الموسعة (</w:t>
      </w:r>
      <w:r w:rsidRPr="00AB1B39">
        <w:rPr>
          <w:rFonts w:cs="Calibri"/>
          <w:szCs w:val="22"/>
        </w:rPr>
        <w:t>XML</w:t>
      </w:r>
      <w:r w:rsidRPr="00AB1B39">
        <w:rPr>
          <w:rFonts w:cs="Calibri" w:hint="cs"/>
          <w:szCs w:val="22"/>
          <w:rtl/>
        </w:rPr>
        <w:t xml:space="preserve">) وهي غائبة عن عمليات التسليم بنسق </w:t>
      </w:r>
      <w:r w:rsidRPr="00AB1B39">
        <w:rPr>
          <w:rFonts w:cs="Calibri"/>
          <w:szCs w:val="22"/>
        </w:rPr>
        <w:t>PDF</w:t>
      </w:r>
      <w:r w:rsidRPr="00AB1B39">
        <w:rPr>
          <w:rFonts w:cs="Calibri" w:hint="cs"/>
          <w:szCs w:val="22"/>
          <w:rtl/>
        </w:rPr>
        <w:t xml:space="preserve">، مما يعزز الاستنتاج السابق الذي مفاده أن نسق </w:t>
      </w:r>
      <w:r w:rsidRPr="00AB1B39">
        <w:rPr>
          <w:rFonts w:cs="Calibri"/>
          <w:szCs w:val="22"/>
        </w:rPr>
        <w:t>XML</w:t>
      </w:r>
      <w:r w:rsidRPr="00AB1B39">
        <w:rPr>
          <w:rFonts w:cs="Calibri" w:hint="cs"/>
          <w:szCs w:val="22"/>
          <w:rtl/>
        </w:rPr>
        <w:t xml:space="preserve"> ونسق </w:t>
      </w:r>
      <w:r w:rsidRPr="00AB1B39">
        <w:rPr>
          <w:rFonts w:cs="Calibri"/>
          <w:szCs w:val="22"/>
        </w:rPr>
        <w:t>PDF</w:t>
      </w:r>
      <w:r w:rsidRPr="00AB1B39">
        <w:rPr>
          <w:rFonts w:cs="Calibri" w:hint="cs"/>
          <w:szCs w:val="22"/>
          <w:rtl/>
        </w:rPr>
        <w:t xml:space="preserve"> كثيرا ما يصرف في مستوى الدقة الهيكلية، مع توفير لغة الترميز الموسعة (</w:t>
      </w:r>
      <w:r w:rsidRPr="00AB1B39">
        <w:rPr>
          <w:rFonts w:cs="Calibri"/>
          <w:szCs w:val="22"/>
        </w:rPr>
        <w:t>XML</w:t>
      </w:r>
      <w:r w:rsidRPr="00AB1B39">
        <w:rPr>
          <w:rFonts w:cs="Calibri" w:hint="cs"/>
          <w:szCs w:val="22"/>
          <w:rtl/>
        </w:rPr>
        <w:t>) لعلامات المواقع القابلة للقراءة آليا، والتي لا تنعكس دائما في الوثيقة القانونية المنشورة خارجيا.</w:t>
      </w:r>
    </w:p>
    <w:p w14:paraId="646FA745" w14:textId="50E7FBCE" w:rsidR="00E6528E" w:rsidRPr="00AB1B39" w:rsidRDefault="00E6528E" w:rsidP="00E81C97">
      <w:pPr>
        <w:pStyle w:val="Caption"/>
        <w:bidi/>
        <w:rPr>
          <w:rFonts w:cs="Calibri"/>
          <w:sz w:val="22"/>
          <w:szCs w:val="22"/>
          <w:rtl/>
        </w:rPr>
      </w:pPr>
      <w:r w:rsidRPr="00AB1B39">
        <w:rPr>
          <w:rFonts w:cs="Calibri" w:hint="cs"/>
          <w:noProof/>
          <w:sz w:val="22"/>
          <w:szCs w:val="22"/>
          <w:rtl/>
        </w:rPr>
        <w:drawing>
          <wp:inline distT="0" distB="0" distL="0" distR="0" wp14:anchorId="6EB3FC0E" wp14:editId="623E28E1">
            <wp:extent cx="5724000" cy="1800000"/>
            <wp:effectExtent l="0" t="0" r="0" b="0"/>
            <wp:docPr id="1275339106"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DDFC852" w14:textId="77777777" w:rsidR="002928D3" w:rsidRPr="00AB1B39" w:rsidRDefault="00DA2601" w:rsidP="00E81C97">
      <w:pPr>
        <w:pStyle w:val="Caption"/>
        <w:bidi/>
        <w:rPr>
          <w:rStyle w:val="IntenseEmphasis"/>
          <w:rFonts w:cs="Calibri"/>
          <w:i w:val="0"/>
          <w:iCs w:val="0"/>
          <w:color w:val="auto"/>
          <w:sz w:val="22"/>
          <w:szCs w:val="22"/>
          <w:rtl/>
        </w:rPr>
      </w:pPr>
      <w:r w:rsidRPr="00AB1B39">
        <w:rPr>
          <w:rStyle w:val="IntenseEmphasis"/>
          <w:rFonts w:cs="Calibri" w:hint="cs"/>
          <w:i w:val="0"/>
          <w:iCs w:val="0"/>
          <w:color w:val="auto"/>
          <w:sz w:val="22"/>
          <w:szCs w:val="22"/>
          <w:rtl/>
        </w:rPr>
        <w:t>الشكل 9: استخدام أدوات تعريف المواقع القائمة على النصوص في وثائق البراءات المنشورة</w:t>
      </w:r>
    </w:p>
    <w:p w14:paraId="6605B4E8" w14:textId="77777777" w:rsidR="00E81C97" w:rsidRPr="00AB1B39" w:rsidRDefault="00E81C97" w:rsidP="00E81C97">
      <w:pPr>
        <w:rPr>
          <w:rFonts w:cs="Calibri"/>
          <w:szCs w:val="22"/>
        </w:rPr>
      </w:pPr>
    </w:p>
    <w:p w14:paraId="65C20DC0" w14:textId="5C6B2381" w:rsidR="00260669" w:rsidRPr="00AB1B39" w:rsidRDefault="00260669" w:rsidP="00135D84">
      <w:pPr>
        <w:pStyle w:val="ONUME"/>
        <w:bidi/>
        <w:rPr>
          <w:rFonts w:cs="Calibri"/>
          <w:szCs w:val="22"/>
          <w:rtl/>
        </w:rPr>
      </w:pPr>
      <w:r w:rsidRPr="00AB1B39">
        <w:rPr>
          <w:rFonts w:cs="Calibri" w:hint="cs"/>
          <w:szCs w:val="22"/>
          <w:rtl/>
        </w:rPr>
        <w:t>فيما يتعلق بالعناصر غير النصية في الجزء الخاص بالوصف من وثيقة البراءة المنشورة، كانت أرقام الصور/الأرقام شاملة تقريبا (44 مجيبا)، تليها الجداول (40 مجيبا) والتسلسلات الجينية (36 مجيبا)، مما يشير إلى أن هذه العناصر تعامل كعناصر معيارية ومتوقعة في وصف البراءات في معظم الولايات القضائية.  وحظيت المعادلات الرياضية (30 مجيبا) وأرقام التركيبة الكيميائية (33 مجيبا) بدعم واسع النطاق.  كانت أدوات تعريف البرامج الحاسوبية (12 مجيبا) والطوابع الزمنية للفيديو عبر الدقائق والثانية (13 مجيبا) أقل شيوعا بشكل ملحوظ، مما يعكس حدوث حالات نادرة نسبيا من هذا المحتوى في أوصاف البراءات بدلا من الافتقار إلى القدرة التقنية على الرجوع إليها.  وأبلغ 22 مجيبا عن معرفات الصفحة الإلكترونية (</w:t>
      </w:r>
      <w:r w:rsidRPr="00AB1B39">
        <w:rPr>
          <w:rFonts w:cs="Calibri"/>
          <w:szCs w:val="22"/>
        </w:rPr>
        <w:t>URL</w:t>
      </w:r>
      <w:r w:rsidRPr="00AB1B39">
        <w:rPr>
          <w:rFonts w:cs="Calibri" w:hint="cs"/>
          <w:szCs w:val="22"/>
          <w:rtl/>
        </w:rPr>
        <w:t xml:space="preserve"> التي تحمل عنوان/قسم)، وتبين نتيجة مثيرة للاهتمام أن معظم عمليات البحث عن الوثائق موجودة على الإنترنت؛ غير أن العديد من المجيبين أشاروا إلى أن وجود هذه المعرفات يتوقف كليا على ممارسات الاستشهاد بالمودعين وليس على أي ممارسة مفروضة على المكاتب.  يعرض الشكل 10 هذه النتائج. </w:t>
      </w:r>
    </w:p>
    <w:p w14:paraId="159F2F28" w14:textId="17CE3AEA" w:rsidR="00A26E83" w:rsidRPr="00AB1B39" w:rsidRDefault="00A26E83" w:rsidP="00E81C97">
      <w:pPr>
        <w:pStyle w:val="Caption"/>
        <w:bidi/>
        <w:rPr>
          <w:rFonts w:cs="Calibri"/>
          <w:sz w:val="22"/>
          <w:szCs w:val="22"/>
          <w:rtl/>
        </w:rPr>
      </w:pPr>
      <w:r w:rsidRPr="00AB1B39">
        <w:rPr>
          <w:rFonts w:cs="Calibri" w:hint="cs"/>
          <w:noProof/>
          <w:sz w:val="22"/>
          <w:szCs w:val="22"/>
          <w:rtl/>
        </w:rPr>
        <w:drawing>
          <wp:inline distT="0" distB="0" distL="0" distR="0" wp14:anchorId="5DB6E744" wp14:editId="5DF29A62">
            <wp:extent cx="5724000" cy="3600000"/>
            <wp:effectExtent l="0" t="0" r="0" b="635"/>
            <wp:docPr id="1901886265"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7976385" w14:textId="77777777" w:rsidR="002928D3" w:rsidRPr="00AB1B39" w:rsidRDefault="00EE2E6D" w:rsidP="00E81C97">
      <w:pPr>
        <w:pStyle w:val="Caption"/>
        <w:bidi/>
        <w:rPr>
          <w:rStyle w:val="IntenseEmphasis"/>
          <w:rFonts w:cs="Calibri"/>
          <w:i w:val="0"/>
          <w:iCs w:val="0"/>
          <w:color w:val="auto"/>
          <w:sz w:val="22"/>
          <w:szCs w:val="22"/>
          <w:rtl/>
        </w:rPr>
      </w:pPr>
      <w:r w:rsidRPr="00AB1B39">
        <w:rPr>
          <w:rStyle w:val="IntenseEmphasis"/>
          <w:rFonts w:cs="Calibri" w:hint="cs"/>
          <w:i w:val="0"/>
          <w:iCs w:val="0"/>
          <w:color w:val="auto"/>
          <w:sz w:val="22"/>
          <w:szCs w:val="22"/>
          <w:rtl/>
        </w:rPr>
        <w:t>الشكل 10: استخدام أدوات تعريف العناصر غير النصية في أوصاف البراءات</w:t>
      </w:r>
    </w:p>
    <w:p w14:paraId="6D5E23DA" w14:textId="05FFD886" w:rsidR="00134217" w:rsidRPr="00AB1B39" w:rsidRDefault="00134217" w:rsidP="00926158">
      <w:pPr>
        <w:pStyle w:val="Heading3"/>
        <w:rPr>
          <w:rtl/>
        </w:rPr>
      </w:pPr>
      <w:r w:rsidRPr="00AB1B39">
        <w:rPr>
          <w:rFonts w:hint="cs"/>
          <w:rtl/>
        </w:rPr>
        <w:t>تفاصيل الفقرة</w:t>
      </w:r>
    </w:p>
    <w:p w14:paraId="2177BB5F" w14:textId="5D7C3CD5" w:rsidR="00416EE6" w:rsidRPr="00AB1B39" w:rsidRDefault="00416EE6" w:rsidP="00135D84">
      <w:pPr>
        <w:pStyle w:val="ONUME"/>
        <w:bidi/>
        <w:rPr>
          <w:rFonts w:cs="Calibri"/>
          <w:szCs w:val="22"/>
          <w:rtl/>
        </w:rPr>
      </w:pPr>
      <w:r w:rsidRPr="00AB1B39">
        <w:rPr>
          <w:rFonts w:cs="Calibri" w:hint="cs"/>
          <w:szCs w:val="22"/>
          <w:rtl/>
        </w:rPr>
        <w:t>يستخدم 25 مجيبا (45.5 في المائة) ترقيم الفقرات، في حين أن الأغلبية (54.5 بالمائة) لا تنفذ هذه السمة.  في حال استخدام أرقام الفقرة، ينتجها أساسا المودع أو المخترع (17 مجيبا) وليس من قبل المكتب نفسه (4 مجيبين) أو ناشر خارجي (4 مجيبين)، مما يشير إلى أن ترقيم الفقرات يعامل عموما كجزء من مسؤولية الصياغة التي يتحملها المودع بدلا من التعامل مع معيار الشكل الذي يتحكم فيه المكتب.  وأشار العديد من المجيبين إلى أن الترقيم لا ينشأ تلقائيا من خلال أنظمة تكنولوجيا المعلومات أو أدوات تحويل الوثائق، مما يعكس اتجاها متزايدا نحو أتمتة هذه المهمة أثناء معالجة الوثائق بدلا من الاعتماد على الإدراج اليدوي.</w:t>
      </w:r>
    </w:p>
    <w:p w14:paraId="2C0B3C27" w14:textId="068AE7E4" w:rsidR="000F6EB9" w:rsidRPr="00AB1B39" w:rsidRDefault="00416EE6" w:rsidP="00135D84">
      <w:pPr>
        <w:pStyle w:val="ONUME"/>
        <w:bidi/>
        <w:rPr>
          <w:rFonts w:eastAsiaTheme="minorEastAsia" w:cs="Calibri"/>
          <w:szCs w:val="22"/>
          <w:rtl/>
        </w:rPr>
      </w:pPr>
      <w:r w:rsidRPr="00AB1B39">
        <w:rPr>
          <w:rFonts w:cs="Calibri" w:hint="cs"/>
          <w:szCs w:val="22"/>
          <w:rtl/>
        </w:rPr>
        <w:t xml:space="preserve">وتختلف أيضا عملية إعادة حساب أرقام الفقرة بعد التعديل اختلافا كبيرا بين المكاتب.  ويعاد 13 مجيبا إلى الفقرات على وجه التحديد عند إجراء التعديلات، في حين أعاد 9 مجيبين الترقيم تماما خلال عملية النشر نفسها.  ويسلط هذا الاختلاف الضوء على نقطتين مختلفتين من حيث الأساس: تعامل بعض المكاتب ترقيم الفقرات كسمة دينامية تحدث في جميع مراحل الملاحقة القضائية، بينما تطبق بعض المكاتب ذلك الترقيم بعد النشر الرسمي فقط.  وبالمثل، عند تناول كيفية التعامل مع الفقرات المعدلة، كانت الردود مجزأة إلى حد كبير، حيث أن إعادة ترقيم الفقرات اللاحقة (10 مجيبين) هي النهج الأكثر شيوعا، تليها أساليب أقل تنظيما مثل إدراج فقرات مرقمة (مثلا، </w:t>
      </w:r>
      <w:r w:rsidRPr="00AB1B39">
        <w:rPr>
          <w:rFonts w:cs="Calibri"/>
          <w:szCs w:val="22"/>
        </w:rPr>
        <w:t>0008A</w:t>
      </w:r>
      <w:r w:rsidRPr="00AB1B39">
        <w:rPr>
          <w:rFonts w:cs="Calibri" w:hint="cs"/>
          <w:szCs w:val="22"/>
          <w:rtl/>
        </w:rPr>
        <w:t>) أو إدراج نص معدل في الفقرات الحالية.</w:t>
      </w:r>
    </w:p>
    <w:p w14:paraId="095BE523" w14:textId="790F429C" w:rsidR="00416EE6" w:rsidRPr="00AB1B39" w:rsidRDefault="00416EE6" w:rsidP="00135D84">
      <w:pPr>
        <w:pStyle w:val="ONUME"/>
        <w:bidi/>
        <w:rPr>
          <w:rFonts w:cs="Calibri"/>
          <w:szCs w:val="22"/>
          <w:rtl/>
        </w:rPr>
      </w:pPr>
      <w:r w:rsidRPr="00AB1B39">
        <w:rPr>
          <w:rFonts w:cs="Calibri" w:hint="cs"/>
          <w:szCs w:val="22"/>
          <w:rtl/>
        </w:rPr>
        <w:t>قدم عدد كبير من المجيبين (12) ردود "أخرى" متميزة، مما يؤكد الافتقار إلى الممارسة الدولية المنسقة ويؤكد أن المسؤولية عن الحفاظ على اتساق الترقيم بعد التعديل تعود عادة إلى المودع، حيث تؤدي المكاتب دورا سلبيا أو إشرافيا إلى حد كبير.</w:t>
      </w:r>
    </w:p>
    <w:p w14:paraId="2101934A" w14:textId="6888C117" w:rsidR="00416EE6" w:rsidRPr="00AB1B39" w:rsidRDefault="00416EE6" w:rsidP="00135D84">
      <w:pPr>
        <w:pStyle w:val="ONUME"/>
        <w:bidi/>
        <w:rPr>
          <w:rFonts w:cs="Calibri"/>
          <w:szCs w:val="22"/>
          <w:rtl/>
        </w:rPr>
      </w:pPr>
      <w:r w:rsidRPr="00AB1B39">
        <w:rPr>
          <w:rFonts w:cs="Calibri" w:hint="cs"/>
          <w:szCs w:val="22"/>
          <w:rtl/>
        </w:rPr>
        <w:t xml:space="preserve">وفيما يتعلق بمعاملة الفقرات الطويلة، كان الرد شبه الإجماعي هو عدم تطبيق أي معاملة خاصة، مع تأكيد العديد من المستجيبين صراحة أنه لا يوجد أي قيد على طول الفقرة أو عدد الكلمات.  وكان الاستثناء الملحوظ الوحيد هو ممارسة أحد المكاتب لترقيم كل سطر خامس، وهو نهج يبدو أنه انحرافا معزولا عن الممارسة الدولية المتسقة من ناحية أخرى من المجيبين على الدراسة الاستقصائية.  ويشير هذا الاستنتاج إلى أن ترقيم الفقرات، على عكس الصفحة أو أدوات التعريف القائمة على الخط، يعامل على أنه سمة مرنة قائمة على المحتوى دون قيود زمنية رسمية، بما يتماشى مع المنشأ الذي يحركه مودع الطلب. </w:t>
      </w:r>
    </w:p>
    <w:p w14:paraId="25CD292D" w14:textId="74D1C67A" w:rsidR="00FA6CFE" w:rsidRPr="00AB1B39" w:rsidRDefault="00FA6CFE" w:rsidP="00926158">
      <w:pPr>
        <w:pStyle w:val="Heading3"/>
        <w:rPr>
          <w:rtl/>
        </w:rPr>
      </w:pPr>
      <w:r w:rsidRPr="00AB1B39">
        <w:rPr>
          <w:rFonts w:hint="cs"/>
          <w:rtl/>
        </w:rPr>
        <w:t xml:space="preserve">الاستشهاد بالوثائق بناء على الترجمات الآلية </w:t>
      </w:r>
    </w:p>
    <w:p w14:paraId="09506442" w14:textId="6F2989D8" w:rsidR="00341AF2" w:rsidRPr="00AB1B39" w:rsidRDefault="00DA5CDB" w:rsidP="00135D84">
      <w:pPr>
        <w:pStyle w:val="ONUME"/>
        <w:bidi/>
        <w:rPr>
          <w:rFonts w:eastAsia="Times New Roman" w:cs="Calibri"/>
          <w:color w:val="000000"/>
          <w:szCs w:val="22"/>
          <w:rtl/>
        </w:rPr>
      </w:pPr>
      <w:r w:rsidRPr="00AB1B39">
        <w:rPr>
          <w:rFonts w:cs="Calibri" w:hint="cs"/>
          <w:szCs w:val="22"/>
          <w:rtl/>
        </w:rPr>
        <w:t>أشار حوالي نصف المجيبين، 52.7 في المائة، إلى أنهم يسمحان حاليا بالاستشهاد بوثائق الترجمة الآلية في تقارير البحث أو الفحص، في حين أن 34.5 في المائة لا تسمح بهذه الممارسة، وفي الجزء المتبقي، 12.7 في المائة، وصفت الحلول الفردية، مثل الوثائق المترجمة آليا، بأنها مكملة للوثيقة الأصلية أو لا يمكن استخدامها إلا لغرض إعلامي يمكن أن يدعم الفهم ولكنه لا يعتبر مصادر قانونية موثوقة.</w:t>
      </w:r>
      <w:r w:rsidRPr="00AB1B39">
        <w:rPr>
          <w:rFonts w:cs="Calibri" w:hint="cs"/>
          <w:color w:val="000000"/>
          <w:szCs w:val="22"/>
          <w:rtl/>
        </w:rPr>
        <w:t xml:space="preserve">  </w:t>
      </w:r>
      <w:r w:rsidRPr="00AB1B39">
        <w:rPr>
          <w:rFonts w:cs="Calibri" w:hint="cs"/>
          <w:szCs w:val="22"/>
          <w:rtl/>
        </w:rPr>
        <w:t>يعرض الشكل 11 هذه النتائج.</w:t>
      </w:r>
    </w:p>
    <w:p w14:paraId="5F1D8A70" w14:textId="599AB4EF" w:rsidR="00A514E6" w:rsidRPr="00AB1B39" w:rsidRDefault="00A514E6" w:rsidP="00E81C97">
      <w:pPr>
        <w:pStyle w:val="Caption"/>
        <w:bidi/>
        <w:rPr>
          <w:rFonts w:cs="Calibri"/>
          <w:sz w:val="22"/>
          <w:szCs w:val="22"/>
          <w:rtl/>
        </w:rPr>
      </w:pPr>
      <w:r w:rsidRPr="00AB1B39">
        <w:rPr>
          <w:rFonts w:cs="Calibri" w:hint="cs"/>
          <w:noProof/>
          <w:sz w:val="22"/>
          <w:szCs w:val="22"/>
          <w:rtl/>
        </w:rPr>
        <w:drawing>
          <wp:inline distT="0" distB="0" distL="0" distR="0" wp14:anchorId="1F1C1BB4" wp14:editId="51399D5C">
            <wp:extent cx="5724000" cy="2520000"/>
            <wp:effectExtent l="0" t="0" r="0" b="0"/>
            <wp:docPr id="166752034"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56002F5" w14:textId="4EBEECD0" w:rsidR="002928D3" w:rsidRPr="00AB1B39" w:rsidRDefault="00D62EF2" w:rsidP="00E81C97">
      <w:pPr>
        <w:pStyle w:val="Caption"/>
        <w:bidi/>
        <w:rPr>
          <w:rStyle w:val="IntenseEmphasis"/>
          <w:rFonts w:cs="Calibri"/>
          <w:i w:val="0"/>
          <w:iCs w:val="0"/>
          <w:color w:val="auto"/>
          <w:sz w:val="22"/>
          <w:szCs w:val="22"/>
          <w:rtl/>
        </w:rPr>
      </w:pPr>
      <w:r w:rsidRPr="00AB1B39">
        <w:rPr>
          <w:rStyle w:val="IntenseEmphasis"/>
          <w:rFonts w:cs="Calibri" w:hint="cs"/>
          <w:i w:val="0"/>
          <w:iCs w:val="0"/>
          <w:color w:val="auto"/>
          <w:sz w:val="22"/>
          <w:szCs w:val="22"/>
          <w:rtl/>
        </w:rPr>
        <w:t>الشكل 11: الاستشهاد بوثائق الترجمة الآلية في تقارير البحث أو الفحص</w:t>
      </w:r>
    </w:p>
    <w:p w14:paraId="213DBC06" w14:textId="77777777" w:rsidR="00E81C97" w:rsidRPr="00AB1B39" w:rsidRDefault="00E81C97" w:rsidP="00E81C97">
      <w:pPr>
        <w:rPr>
          <w:rFonts w:cs="Calibri"/>
          <w:szCs w:val="22"/>
        </w:rPr>
      </w:pPr>
    </w:p>
    <w:p w14:paraId="6C22EA53" w14:textId="6F6B99C4" w:rsidR="00341AF2" w:rsidRPr="00AB1B39" w:rsidRDefault="00341AF2" w:rsidP="00135D84">
      <w:pPr>
        <w:pStyle w:val="ONUME"/>
        <w:bidi/>
        <w:rPr>
          <w:rFonts w:cs="Calibri"/>
          <w:szCs w:val="22"/>
          <w:rtl/>
        </w:rPr>
      </w:pPr>
      <w:r w:rsidRPr="00AB1B39">
        <w:rPr>
          <w:rFonts w:cs="Calibri" w:hint="cs"/>
          <w:szCs w:val="22"/>
          <w:rtl/>
        </w:rPr>
        <w:t>في حال الاستشهاد بوثيقة بدون ترقيم، كشفت الدراسة الاستقصائية عن مجموعة واسعة من النهج لتحديد المرور ذي الصلة داخل الترجمة الآلية، بما في ذلك الإشارة إلى أرقام الصفحات والخط، أو عناوين القسم أو القسم الفرعي، وأرقام الأرقام، وأرقام المطالبات، أو، في بعض الحالات، الاستشهاد بالوثيقة بأكملها دون الإشارة إلى مقطع محدد.  ووصف العديد من المجيبين الممارسة المتمثلة في السعي أولا إلى تحديد المرور ذي الصلة في وثيقة اللغة الأصلية والإشارة إلى الترجمة الآلية فقط كمساعدة تكميلية، مما يعكس تفضيلها للوثيقة الأصلية باعتبارها النقطة المرجعية ذات الحجية كلما أمكن ذلك.</w:t>
      </w:r>
    </w:p>
    <w:p w14:paraId="3D8A9C13" w14:textId="5333CC52" w:rsidR="00AA5327" w:rsidRPr="00AB1B39" w:rsidRDefault="00305F57" w:rsidP="00135D84">
      <w:pPr>
        <w:pStyle w:val="ONUME"/>
        <w:bidi/>
        <w:rPr>
          <w:rFonts w:eastAsia="Times New Roman" w:cs="Calibri"/>
          <w:color w:val="000000"/>
          <w:szCs w:val="22"/>
          <w:rtl/>
        </w:rPr>
      </w:pPr>
      <w:r w:rsidRPr="00AB1B39">
        <w:rPr>
          <w:rFonts w:cs="Calibri" w:hint="cs"/>
          <w:szCs w:val="22"/>
          <w:rtl/>
        </w:rPr>
        <w:t>وفيما يتعلق بالنفاذ إلى الوثائق المترجمة آليا، أشار 10 مجيبين إلى أن الترجمة الآلية المستشهد بها ترسل مباشرة إلى المودع، وأشار اثنان من المجيبين إلى أنه تم تحميله على ملف إلكتروني يمكن النفاذ إليه من خلال سجل إلكتروني.  ومع ذلك، أشار 7 مستجيبا إلى أن الترجمة الآلية الدقيقة المستخدمة ليست مشتركة حاليا مع مودع الطلب على الإطلاق، ووصف 18 مجيبا آخر الترتيبات الأخرى الأكثر محدودية، مثل تقاسم الترجمة بناء على الطلب أو الاعتماد على قدرة المودع على النفاذ بشكل مستقل إلى أداة الترجمة ذاتها التي يستخدمها الفاحص (على سبيل المثال، عندما يعتمد كلاهما على نفس منصة البحث المتاحة للجمهور).  يعرض الشكل 12 هذه النتائج.</w:t>
      </w:r>
    </w:p>
    <w:p w14:paraId="292E7CDF" w14:textId="33E4C408" w:rsidR="00AA5327" w:rsidRPr="00AB1B39" w:rsidRDefault="00AA5327" w:rsidP="00E81C97">
      <w:pPr>
        <w:pStyle w:val="Caption"/>
        <w:bidi/>
        <w:rPr>
          <w:rFonts w:cs="Calibri"/>
          <w:sz w:val="22"/>
          <w:szCs w:val="22"/>
          <w:rtl/>
        </w:rPr>
      </w:pPr>
      <w:r w:rsidRPr="00AB1B39">
        <w:rPr>
          <w:rFonts w:cs="Calibri" w:hint="cs"/>
          <w:noProof/>
          <w:sz w:val="22"/>
          <w:szCs w:val="22"/>
          <w:rtl/>
        </w:rPr>
        <w:drawing>
          <wp:inline distT="0" distB="0" distL="0" distR="0" wp14:anchorId="6A413C3F" wp14:editId="7A15CE4F">
            <wp:extent cx="5724000" cy="2702560"/>
            <wp:effectExtent l="0" t="0" r="0" b="2540"/>
            <wp:docPr id="89433340"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7DB1F0D" w14:textId="77777777" w:rsidR="002928D3" w:rsidRPr="00AB1B39" w:rsidRDefault="006D42A3" w:rsidP="00E81C97">
      <w:pPr>
        <w:pStyle w:val="Caption"/>
        <w:bidi/>
        <w:rPr>
          <w:rStyle w:val="IntenseEmphasis"/>
          <w:rFonts w:cs="Calibri"/>
          <w:i w:val="0"/>
          <w:iCs w:val="0"/>
          <w:color w:val="auto"/>
          <w:sz w:val="22"/>
          <w:szCs w:val="22"/>
          <w:rtl/>
        </w:rPr>
      </w:pPr>
      <w:r w:rsidRPr="00AB1B39">
        <w:rPr>
          <w:rStyle w:val="IntenseEmphasis"/>
          <w:rFonts w:cs="Calibri" w:hint="cs"/>
          <w:i w:val="0"/>
          <w:iCs w:val="0"/>
          <w:color w:val="auto"/>
          <w:sz w:val="22"/>
          <w:szCs w:val="22"/>
          <w:rtl/>
        </w:rPr>
        <w:t>الشكل 12: نفاذ مودع الطلب إلى الوثائق المستشهد بها المترجمة آليا</w:t>
      </w:r>
    </w:p>
    <w:p w14:paraId="584EA374" w14:textId="77777777" w:rsidR="00E81C97" w:rsidRPr="00AB1B39" w:rsidRDefault="00E81C97" w:rsidP="00E81C97">
      <w:pPr>
        <w:rPr>
          <w:rFonts w:cs="Calibri"/>
          <w:szCs w:val="22"/>
        </w:rPr>
      </w:pPr>
    </w:p>
    <w:p w14:paraId="7857CBD6" w14:textId="5C78F1C2" w:rsidR="00EC583A" w:rsidRPr="00AB1B39" w:rsidRDefault="00EC583A" w:rsidP="00135D84">
      <w:pPr>
        <w:pStyle w:val="ONUME"/>
        <w:bidi/>
        <w:rPr>
          <w:rFonts w:cs="Calibri"/>
          <w:szCs w:val="22"/>
          <w:rtl/>
        </w:rPr>
      </w:pPr>
      <w:r w:rsidRPr="00AB1B39">
        <w:rPr>
          <w:rFonts w:cs="Calibri" w:hint="cs"/>
          <w:szCs w:val="22"/>
          <w:rtl/>
        </w:rPr>
        <w:t xml:space="preserve">فيما يتعلق بتخزين الوثائق المترجمة آليا التي يستخدمها الفاحصون، أكدت غالبية المجيبين (28 من 36 و77.8 في المائة) أنهم يحتفظون بهذه الترجمات في شكل ما، رغم أن الممارسات تختلف كثيرا عن إمكانية النفاذ.  فإن عددا قليلا فقط من المكاتب يجعل هذه الترجمات متاحة للجمهور، في حين أن الغالبية تقييد النفاذ إلى الاستخدام الداخلي فقط.  لم يبلغ عدد أقل من المستجوبين عن تسجيل الترجمات الآلية على الإطلاق.  ويشير هذا النمط إلى أنه على الرغم من أن معظم المكاتب تقر بالحاجة إلى الحفاظ على الترجمة الآلية الدقيقة المستشهد بها أثناء الفحص، لا يزال هناك تردد كبير في إتاحة هذه الترجمة للجمهور.  ومن المرجح أن يعزى ذلك إلى الشواغل المتعلقة بجودة الترجمة أو المسؤولية أو الوضع غير الرسمي للترجمات الآلية كأداة بحث وليس وثيقة رسمية. </w:t>
      </w:r>
    </w:p>
    <w:p w14:paraId="2D0969AA" w14:textId="26DF8801" w:rsidR="005A3223" w:rsidRPr="00AB1B39" w:rsidRDefault="00EC583A" w:rsidP="00135D84">
      <w:pPr>
        <w:pStyle w:val="ONUME"/>
        <w:bidi/>
        <w:rPr>
          <w:rFonts w:eastAsia="Times New Roman" w:cs="Calibri"/>
          <w:color w:val="000000"/>
          <w:szCs w:val="22"/>
          <w:rtl/>
        </w:rPr>
      </w:pPr>
      <w:r w:rsidRPr="00AB1B39">
        <w:rPr>
          <w:rFonts w:cs="Calibri" w:hint="cs"/>
          <w:szCs w:val="22"/>
          <w:rtl/>
        </w:rPr>
        <w:t>وفيما يتعلق بمسألة نسق الاستشهاد، أفاد الغالبية العظمى من المجيبين (27 من 36، و75 في المائة) بعدم وجود نسق تفضيلي للإشارة إلى الترجمات الآلية في تقارير البحث أو الفحص، مما يشير إلى أن هذا لا يزال مجالا غير موحد إلى حد كبير من الممارسة.  من بين العدد الأصغر من المكاتب التي تتبع نهجا مفضلا، تختلف الأساليب من معايير الاستشهاد الرسمية المتوائمة مع اتفاقيات الويبو القائمة، إلى ملاحظات سياقية بسيطة مثل "انظر الترجمة الآلية"، إلى الإحالات المرجعية المستندة إلى الفقرة المنقولة إلى ترقيم الوثيقة الأصلية.  وعلى وجه الخصوص، أشار أحد المستجوبين إلى أنه ينظر في تحول نحو الاستشهاد بالنص المترجم إلى الآلة مباشرة بدلا من الإشارة إلى هيكل الوثيقة الأصلية، مما قد يشير إلى اتجاه ناشئ نحو مزيد من الشفافية في كيفية تقديم الأدلة المترجمة آليا إلى المودعين.  يعرض الشكل 13 هذه النتائج.</w:t>
      </w:r>
    </w:p>
    <w:p w14:paraId="56073C22" w14:textId="00D9C7BA" w:rsidR="0023297F" w:rsidRPr="00AB1B39" w:rsidRDefault="0023297F" w:rsidP="00E81C97">
      <w:pPr>
        <w:pStyle w:val="Caption"/>
        <w:bidi/>
        <w:rPr>
          <w:rFonts w:cs="Calibri"/>
          <w:sz w:val="22"/>
          <w:szCs w:val="22"/>
          <w:rtl/>
        </w:rPr>
      </w:pPr>
      <w:r w:rsidRPr="00AB1B39">
        <w:rPr>
          <w:rFonts w:cs="Calibri" w:hint="cs"/>
          <w:noProof/>
          <w:sz w:val="22"/>
          <w:szCs w:val="22"/>
          <w:rtl/>
        </w:rPr>
        <w:drawing>
          <wp:inline distT="0" distB="0" distL="0" distR="0" wp14:anchorId="3DCFE816" wp14:editId="54E66390">
            <wp:extent cx="5724000" cy="1440000"/>
            <wp:effectExtent l="0" t="0" r="0" b="8255"/>
            <wp:docPr id="1386637664"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F6103EB" w14:textId="77777777" w:rsidR="002928D3" w:rsidRPr="00AB1B39" w:rsidRDefault="005A3223" w:rsidP="00E81C97">
      <w:pPr>
        <w:pStyle w:val="Caption"/>
        <w:bidi/>
        <w:rPr>
          <w:rStyle w:val="IntenseEmphasis"/>
          <w:rFonts w:cs="Calibri"/>
          <w:i w:val="0"/>
          <w:iCs w:val="0"/>
          <w:color w:val="auto"/>
          <w:sz w:val="22"/>
          <w:szCs w:val="22"/>
          <w:rtl/>
        </w:rPr>
      </w:pPr>
      <w:r w:rsidRPr="00AB1B39">
        <w:rPr>
          <w:rStyle w:val="IntenseEmphasis"/>
          <w:rFonts w:cs="Calibri" w:hint="cs"/>
          <w:i w:val="0"/>
          <w:iCs w:val="0"/>
          <w:color w:val="auto"/>
          <w:sz w:val="22"/>
          <w:szCs w:val="22"/>
          <w:rtl/>
        </w:rPr>
        <w:t>الشكل 13: نماذج الاستشهاد المفضلة للوثائق المترجمة آليا</w:t>
      </w:r>
    </w:p>
    <w:p w14:paraId="030A944D" w14:textId="77777777" w:rsidR="00E81C97" w:rsidRPr="00AB1B39" w:rsidRDefault="00E81C97" w:rsidP="00E81C97">
      <w:pPr>
        <w:rPr>
          <w:rFonts w:cs="Calibri"/>
          <w:szCs w:val="22"/>
        </w:rPr>
      </w:pPr>
    </w:p>
    <w:p w14:paraId="6F596BC6" w14:textId="069D9E98" w:rsidR="00EC583A" w:rsidRPr="00AB1B39" w:rsidRDefault="00EC583A" w:rsidP="00135D84">
      <w:pPr>
        <w:pStyle w:val="ONUME"/>
        <w:bidi/>
        <w:rPr>
          <w:rFonts w:cs="Calibri"/>
          <w:szCs w:val="22"/>
          <w:rtl/>
        </w:rPr>
      </w:pPr>
      <w:r w:rsidRPr="00AB1B39">
        <w:rPr>
          <w:rFonts w:cs="Calibri" w:hint="cs"/>
          <w:szCs w:val="22"/>
          <w:rtl/>
        </w:rPr>
        <w:t>يبدو أن المنازعات المتعلقة بأهمية الاستشهادات المستندة إلى الترجمة الآلية نادرة، حيث بلغ عدد المجيبين الذين يبلغون عن هذه الحالات 4 مجيبين فقط، في حين لم تواجه الأغلبية الساحقة أي منها.  وفي الحالات التي تنشأ فيها منازعات، فإنها تركز عادة على دقة الترجمة وإمكانية التأثير على التقييم الموضوعي لطلب البراءة.</w:t>
      </w:r>
    </w:p>
    <w:p w14:paraId="5BF1BC38" w14:textId="375BE9A3" w:rsidR="00597404" w:rsidRPr="00AB1B39" w:rsidRDefault="00597404" w:rsidP="00135D84">
      <w:pPr>
        <w:pStyle w:val="ONUME"/>
        <w:bidi/>
        <w:rPr>
          <w:rFonts w:cs="Calibri"/>
          <w:szCs w:val="22"/>
          <w:rtl/>
        </w:rPr>
      </w:pPr>
      <w:r w:rsidRPr="00AB1B39">
        <w:rPr>
          <w:rFonts w:cs="Calibri" w:hint="cs"/>
          <w:szCs w:val="22"/>
          <w:rtl/>
        </w:rPr>
        <w:t xml:space="preserve">وبناء على الآراء المقسمة بشأن ممارسات الاستشهاد، أيد أغلبية المجيبين (22 من أصل 36، 61.1 في المائة) استحداث طريقة موحدة للإحالة إلى محرك الترجمة الآلية وتاريخ الترجمة في تقارير البحث الدولي.  وعارضت أقلية بارزة (12 مجيبا، ثلث المجيبين) هذا التوحيد. </w:t>
      </w:r>
    </w:p>
    <w:p w14:paraId="043EEAAC" w14:textId="445AD526" w:rsidR="007132D0" w:rsidRPr="00AB1B39" w:rsidRDefault="00AD327F" w:rsidP="003A6BF8">
      <w:pPr>
        <w:pStyle w:val="ONUME"/>
        <w:bidi/>
        <w:rPr>
          <w:rFonts w:cs="Calibri"/>
          <w:szCs w:val="22"/>
          <w:rtl/>
        </w:rPr>
      </w:pPr>
      <w:r w:rsidRPr="00AB1B39">
        <w:rPr>
          <w:rFonts w:cs="Calibri" w:hint="cs"/>
          <w:szCs w:val="22"/>
          <w:rtl/>
        </w:rPr>
        <w:t xml:space="preserve">وفي مسألة ذات صلة، كان الدعم المقدم لمراجعة معيار الويبو </w:t>
      </w:r>
      <w:r w:rsidRPr="00AB1B39">
        <w:rPr>
          <w:rFonts w:cs="Calibri"/>
          <w:szCs w:val="22"/>
        </w:rPr>
        <w:t>ST.14</w:t>
      </w:r>
      <w:r w:rsidRPr="00AB1B39">
        <w:rPr>
          <w:rFonts w:cs="Calibri" w:hint="cs"/>
          <w:szCs w:val="22"/>
          <w:rtl/>
        </w:rPr>
        <w:t xml:space="preserve"> على وجه التحديد لمعالجة الاستشهاد بالترجمة الآلية استجابة أقوى، حيث وافق ثلثا المجيبين (24 من أصل 36) على هذا التنقيح، في حين عارض 10 مجيبين هذا التنقيح، وقدم 2 ردا مشروطا.  ويشير المستوى العالي من الدعم لمراجعة معيار الويبو </w:t>
      </w:r>
      <w:r w:rsidRPr="00AB1B39">
        <w:rPr>
          <w:rFonts w:cs="Calibri"/>
          <w:szCs w:val="22"/>
        </w:rPr>
        <w:t>ST.14</w:t>
      </w:r>
      <w:r w:rsidRPr="00AB1B39">
        <w:rPr>
          <w:rFonts w:cs="Calibri" w:hint="cs"/>
          <w:szCs w:val="22"/>
          <w:rtl/>
        </w:rPr>
        <w:t xml:space="preserve"> إلى أن المكاتب قد تكون أكثر راحة إزاء إضفاء الطابع الرسمي على إرشادات الاستشهاد من خلال معيار الويبو القائم والمعترف به بدلا من استحداث شرط جديد تماما.  ولا سيما اقتراح المدعى عليه بأن تأخذ أي مراجعة شكل توصيات غير ملزمة مع أمثلة توضيحية، بدلا من أن تكون قاعدة إلزامية.  يعرض الشكل 14 هذه النتائج.</w:t>
      </w:r>
    </w:p>
    <w:p w14:paraId="63AC46C0" w14:textId="43988006" w:rsidR="007132D0" w:rsidRPr="00AB1B39" w:rsidRDefault="007132D0" w:rsidP="00E81C97">
      <w:pPr>
        <w:pStyle w:val="Caption"/>
        <w:bidi/>
        <w:rPr>
          <w:rFonts w:cs="Calibri"/>
          <w:sz w:val="22"/>
          <w:szCs w:val="22"/>
          <w:rtl/>
        </w:rPr>
      </w:pPr>
      <w:r w:rsidRPr="00AB1B39">
        <w:rPr>
          <w:rFonts w:cs="Calibri" w:hint="cs"/>
          <w:noProof/>
          <w:sz w:val="22"/>
          <w:szCs w:val="22"/>
          <w:rtl/>
        </w:rPr>
        <w:drawing>
          <wp:inline distT="0" distB="0" distL="0" distR="0" wp14:anchorId="4C744ABC" wp14:editId="308A1357">
            <wp:extent cx="5724000" cy="1672542"/>
            <wp:effectExtent l="0" t="0" r="0" b="4445"/>
            <wp:docPr id="1284991603"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2D3B2A3" w14:textId="5821ECF4" w:rsidR="002928D3" w:rsidRPr="00AB1B39" w:rsidRDefault="004A7142" w:rsidP="00E81C97">
      <w:pPr>
        <w:pStyle w:val="Caption"/>
        <w:bidi/>
        <w:rPr>
          <w:rFonts w:cs="Calibri"/>
          <w:sz w:val="22"/>
          <w:szCs w:val="22"/>
          <w:rtl/>
        </w:rPr>
      </w:pPr>
      <w:r w:rsidRPr="00AB1B39">
        <w:rPr>
          <w:rStyle w:val="IntenseEmphasis"/>
          <w:rFonts w:cs="Calibri" w:hint="cs"/>
          <w:i w:val="0"/>
          <w:iCs w:val="0"/>
          <w:color w:val="auto"/>
          <w:sz w:val="22"/>
          <w:szCs w:val="22"/>
          <w:rtl/>
        </w:rPr>
        <w:t xml:space="preserve">الشكل 14:  مراجعة معيار الويبو </w:t>
      </w:r>
      <w:r w:rsidRPr="00AB1B39">
        <w:rPr>
          <w:rStyle w:val="IntenseEmphasis"/>
          <w:rFonts w:cs="Calibri"/>
          <w:i w:val="0"/>
          <w:iCs w:val="0"/>
          <w:color w:val="auto"/>
          <w:sz w:val="22"/>
          <w:szCs w:val="22"/>
        </w:rPr>
        <w:t>ST.14</w:t>
      </w:r>
    </w:p>
    <w:p w14:paraId="0AC4AF69" w14:textId="24B7E933" w:rsidR="00341AF2" w:rsidRPr="00AB1B39" w:rsidRDefault="00CD27C2" w:rsidP="00926158">
      <w:pPr>
        <w:pStyle w:val="Heading2"/>
        <w:rPr>
          <w:sz w:val="22"/>
          <w:szCs w:val="22"/>
          <w:rtl/>
        </w:rPr>
      </w:pPr>
      <w:r w:rsidRPr="00AB1B39">
        <w:rPr>
          <w:rFonts w:hint="cs"/>
          <w:sz w:val="22"/>
          <w:szCs w:val="22"/>
          <w:rtl/>
        </w:rPr>
        <w:t>الخطوات المقبلة المقترحة</w:t>
      </w:r>
    </w:p>
    <w:p w14:paraId="294A0A14" w14:textId="10C086D5" w:rsidR="0060488E" w:rsidRPr="00AB1B39" w:rsidRDefault="00D41C8E" w:rsidP="00135D84">
      <w:pPr>
        <w:pStyle w:val="ONUME"/>
        <w:bidi/>
        <w:rPr>
          <w:rFonts w:cs="Calibri"/>
          <w:kern w:val="2"/>
          <w:szCs w:val="22"/>
          <w:rtl/>
          <w14:ligatures w14:val="standardContextual"/>
        </w:rPr>
      </w:pPr>
      <w:r w:rsidRPr="00AB1B39">
        <w:rPr>
          <w:rFonts w:cs="Calibri" w:hint="cs"/>
          <w:szCs w:val="22"/>
          <w:rtl/>
        </w:rPr>
        <w:t>يشير تحليل الدراسة الاستقصائية إلى أنه على الرغم من أن البيانات المرجعية للاستشهاد تنشأ على نطاق واسع أثناء عمليات الفحص، فإنها لا تزال غير منظمة إلى حد كبير ولا مركزية ولا يمكن البحث فيها علنا في شكل مقروء آليا في معظم المكاتب المجيبة.  ولذلك تقترح الأمانة المزيد من العمل لتعزيز استخدام أنساق بيانات الاستشهاد المنظمة واستكشاف جدوى توسيع نطاق إمكانية البحث العام في مراجع الاستشهاد.</w:t>
      </w:r>
    </w:p>
    <w:p w14:paraId="3031A797" w14:textId="5D86C3E2" w:rsidR="0060488E" w:rsidRPr="00AB1B39" w:rsidRDefault="00F5778A" w:rsidP="00135D84">
      <w:pPr>
        <w:pStyle w:val="ONUME"/>
        <w:bidi/>
        <w:rPr>
          <w:rFonts w:cs="Calibri"/>
          <w:kern w:val="2"/>
          <w:szCs w:val="22"/>
          <w:rtl/>
          <w14:ligatures w14:val="standardContextual"/>
        </w:rPr>
      </w:pPr>
      <w:r w:rsidRPr="00AB1B39">
        <w:rPr>
          <w:rFonts w:cs="Calibri" w:hint="cs"/>
          <w:szCs w:val="22"/>
          <w:rtl/>
        </w:rPr>
        <w:t xml:space="preserve">وبالنظر إلى الغالبية العظمى من المكاتب المجيبة التي تؤيد مراجعة معيار الويبو </w:t>
      </w:r>
      <w:r w:rsidRPr="00AB1B39">
        <w:rPr>
          <w:rFonts w:cs="Calibri"/>
          <w:szCs w:val="22"/>
        </w:rPr>
        <w:t>ST.14</w:t>
      </w:r>
      <w:r w:rsidRPr="00AB1B39">
        <w:rPr>
          <w:rFonts w:cs="Calibri" w:hint="cs"/>
          <w:szCs w:val="22"/>
          <w:rtl/>
        </w:rPr>
        <w:t xml:space="preserve"> لتشمل توصيات بشأن الاستشهاد بالوثائق المترجمة آليا، والأغلبية التي تدعم اتباع نهج موحد لتحديد محرك الترجمة الآلية وتاريخ الترجمة في تقارير البحث الدولي، تقترح الأمانة إعطاء الأولوية لهذه المسألة في مراجعة معيار الويبو </w:t>
      </w:r>
      <w:r w:rsidRPr="00AB1B39">
        <w:rPr>
          <w:rFonts w:cs="Calibri"/>
          <w:szCs w:val="22"/>
        </w:rPr>
        <w:t>ST.14</w:t>
      </w:r>
      <w:r w:rsidRPr="00AB1B39">
        <w:rPr>
          <w:rFonts w:cs="Calibri" w:hint="cs"/>
          <w:szCs w:val="22"/>
          <w:rtl/>
        </w:rPr>
        <w:t>.</w:t>
      </w:r>
    </w:p>
    <w:p w14:paraId="2086EDC3" w14:textId="3142F0D2" w:rsidR="0060488E" w:rsidRPr="00AB1B39" w:rsidRDefault="005F2CEA" w:rsidP="00135D84">
      <w:pPr>
        <w:pStyle w:val="ONUME"/>
        <w:bidi/>
        <w:rPr>
          <w:rFonts w:cs="Calibri"/>
          <w:kern w:val="2"/>
          <w:szCs w:val="22"/>
          <w:rtl/>
          <w14:ligatures w14:val="standardContextual"/>
        </w:rPr>
      </w:pPr>
      <w:r w:rsidRPr="00AB1B39">
        <w:rPr>
          <w:rFonts w:cs="Calibri" w:hint="cs"/>
          <w:szCs w:val="22"/>
          <w:rtl/>
        </w:rPr>
        <w:t>من أجل تحقيق هذا الهدف، تقترح الأمانة إضافة مهمة جديدة، أي المهمة رقم 68، إلى برنامج عمل لجنة المعايير، مع الوصف التالي:</w:t>
      </w:r>
    </w:p>
    <w:p w14:paraId="4D20B50E" w14:textId="6B2A49F3" w:rsidR="002928D3" w:rsidRPr="00AB1B39" w:rsidRDefault="00074870" w:rsidP="00135D84">
      <w:pPr>
        <w:pStyle w:val="ONUME"/>
        <w:numPr>
          <w:ilvl w:val="0"/>
          <w:numId w:val="0"/>
        </w:numPr>
        <w:bidi/>
        <w:ind w:firstLine="567"/>
        <w:rPr>
          <w:rFonts w:cs="Calibri"/>
          <w:i/>
          <w:iCs/>
          <w:szCs w:val="22"/>
          <w:rtl/>
        </w:rPr>
      </w:pPr>
      <w:r w:rsidRPr="00AB1B39">
        <w:rPr>
          <w:rFonts w:cs="Calibri" w:hint="cs"/>
          <w:i/>
          <w:iCs/>
          <w:szCs w:val="22"/>
          <w:rtl/>
        </w:rPr>
        <w:t xml:space="preserve">"ضمان إجراء التعديلات والتحديثات اللازمة على معيار الويبو </w:t>
      </w:r>
      <w:r w:rsidRPr="00AB1B39">
        <w:rPr>
          <w:rFonts w:cs="Calibri"/>
          <w:i/>
          <w:iCs/>
          <w:szCs w:val="22"/>
        </w:rPr>
        <w:t>ST.14</w:t>
      </w:r>
      <w:r w:rsidRPr="00AB1B39">
        <w:rPr>
          <w:rFonts w:cs="Calibri" w:hint="cs"/>
          <w:i/>
          <w:iCs/>
          <w:szCs w:val="22"/>
          <w:rtl/>
        </w:rPr>
        <w:t xml:space="preserve"> ودعم تنفيذ هذا المعيار."</w:t>
      </w:r>
    </w:p>
    <w:p w14:paraId="3B39B041" w14:textId="0CEA1958" w:rsidR="0060488E" w:rsidRPr="00AB1B39" w:rsidRDefault="00871EE0" w:rsidP="00135D84">
      <w:pPr>
        <w:pStyle w:val="ONUME"/>
        <w:bidi/>
        <w:rPr>
          <w:rFonts w:cs="Calibri"/>
          <w:kern w:val="2"/>
          <w:szCs w:val="22"/>
          <w:rtl/>
          <w14:ligatures w14:val="standardContextual"/>
        </w:rPr>
      </w:pPr>
      <w:r w:rsidRPr="00AB1B39">
        <w:rPr>
          <w:rFonts w:cs="Calibri" w:hint="cs"/>
          <w:szCs w:val="22"/>
          <w:rtl/>
        </w:rPr>
        <w:t xml:space="preserve">تقترح الأمانة إعادة تنشيط فرقة العمل المعنية بالمعيار </w:t>
      </w:r>
      <w:r w:rsidRPr="00AB1B39">
        <w:rPr>
          <w:rFonts w:cs="Calibri"/>
          <w:szCs w:val="22"/>
        </w:rPr>
        <w:t>ST.14</w:t>
      </w:r>
      <w:r w:rsidRPr="00AB1B39">
        <w:rPr>
          <w:rFonts w:cs="Calibri" w:hint="cs"/>
          <w:szCs w:val="22"/>
          <w:rtl/>
        </w:rPr>
        <w:t xml:space="preserve"> للتعامل مع المهمة رقم 68.  توقفت فرقة العمل المعنية بالمعيار </w:t>
      </w:r>
      <w:r w:rsidRPr="00AB1B39">
        <w:rPr>
          <w:rFonts w:cs="Calibri"/>
          <w:szCs w:val="22"/>
        </w:rPr>
        <w:t>ST.14</w:t>
      </w:r>
      <w:r w:rsidRPr="00AB1B39">
        <w:rPr>
          <w:rFonts w:cs="Calibri" w:hint="cs"/>
          <w:szCs w:val="22"/>
          <w:rtl/>
        </w:rPr>
        <w:t xml:space="preserve"> في الدورة الرابعة المجتمعة مجددا للجنة المعايير في عام 2016، حيث تمت الموافقة على مراجعة معيار الويبو </w:t>
      </w:r>
      <w:r w:rsidRPr="00AB1B39">
        <w:rPr>
          <w:rFonts w:cs="Calibri"/>
          <w:szCs w:val="22"/>
        </w:rPr>
        <w:t>ST.14</w:t>
      </w:r>
      <w:r w:rsidRPr="00AB1B39">
        <w:rPr>
          <w:rFonts w:cs="Calibri" w:hint="cs"/>
          <w:szCs w:val="22"/>
          <w:rtl/>
        </w:rPr>
        <w:t xml:space="preserve"> في الدورة نفسها (انظر الفقرة 44 من الوثيقة </w:t>
      </w:r>
      <w:hyperlink r:id="rId33" w:history="1">
        <w:r w:rsidRPr="00AB1B39">
          <w:rPr>
            <w:rStyle w:val="Hyperlink"/>
            <w:rFonts w:cs="Calibri"/>
            <w:szCs w:val="22"/>
          </w:rPr>
          <w:t>CWS/4BIS/16</w:t>
        </w:r>
      </w:hyperlink>
      <w:r w:rsidRPr="00AB1B39">
        <w:rPr>
          <w:rFonts w:cs="Calibri" w:hint="cs"/>
          <w:szCs w:val="22"/>
          <w:rtl/>
        </w:rPr>
        <w:t>).</w:t>
      </w:r>
    </w:p>
    <w:p w14:paraId="7E25F950" w14:textId="6414A6E4" w:rsidR="0060488E" w:rsidRPr="00AB1B39" w:rsidRDefault="00441363" w:rsidP="00135D84">
      <w:pPr>
        <w:pStyle w:val="ONUME"/>
        <w:bidi/>
        <w:rPr>
          <w:rFonts w:cs="Calibri"/>
          <w:kern w:val="2"/>
          <w:szCs w:val="22"/>
          <w:rtl/>
          <w14:ligatures w14:val="standardContextual"/>
        </w:rPr>
      </w:pPr>
      <w:r w:rsidRPr="00AB1B39">
        <w:rPr>
          <w:rFonts w:cs="Calibri" w:hint="cs"/>
          <w:szCs w:val="22"/>
          <w:rtl/>
        </w:rPr>
        <w:t>ووفقا للشؤون التنظيمية والنظام الداخلي الخاص للجنة المعايير، يرد في مرفق هذه الوثيقة موجز للمشروع يبين الخلفية والأهداف والفوائد المتوقعة.</w:t>
      </w:r>
    </w:p>
    <w:p w14:paraId="7AF7F746" w14:textId="23BF4E79" w:rsidR="0060488E" w:rsidRPr="00AB1B39" w:rsidRDefault="00CE008C" w:rsidP="00135D84">
      <w:pPr>
        <w:pStyle w:val="ONUME"/>
        <w:bidi/>
        <w:rPr>
          <w:rFonts w:cs="Calibri"/>
          <w:kern w:val="2"/>
          <w:szCs w:val="22"/>
          <w:rtl/>
          <w14:ligatures w14:val="standardContextual"/>
        </w:rPr>
      </w:pPr>
      <w:r w:rsidRPr="00AB1B39">
        <w:rPr>
          <w:rFonts w:cs="Calibri" w:hint="cs"/>
          <w:szCs w:val="22"/>
          <w:rtl/>
        </w:rPr>
        <w:t xml:space="preserve">وإذا وافقت لجنة المعايير على إعادة تنشيط فرقة العمل المعنية بالمعيار </w:t>
      </w:r>
      <w:r w:rsidRPr="00AB1B39">
        <w:rPr>
          <w:rFonts w:cs="Calibri"/>
          <w:szCs w:val="22"/>
        </w:rPr>
        <w:t>ST.14</w:t>
      </w:r>
      <w:r w:rsidRPr="00AB1B39">
        <w:rPr>
          <w:rFonts w:cs="Calibri" w:hint="cs"/>
          <w:szCs w:val="22"/>
          <w:rtl/>
        </w:rPr>
        <w:t xml:space="preserve">، فإنها تدعى إلى ترشيح المشرف على فرقة العمل ومطالبة فرقة العمل بتقديم اقتراح لمراجعة معيار الويبو </w:t>
      </w:r>
      <w:r w:rsidRPr="00AB1B39">
        <w:rPr>
          <w:rFonts w:cs="Calibri"/>
          <w:szCs w:val="22"/>
        </w:rPr>
        <w:t>ST.14</w:t>
      </w:r>
      <w:r w:rsidRPr="00AB1B39">
        <w:rPr>
          <w:rFonts w:cs="Calibri" w:hint="cs"/>
          <w:szCs w:val="22"/>
          <w:rtl/>
        </w:rPr>
        <w:t xml:space="preserve"> في دورتها الخامسة عشرة.  ومن ثم، يقترح أن تطلب لجنة المعايير من الأمانة إصدار تعميم يدعو أعضاءها ومراقبيها إلى ترشيح خبراء متخصصين، ويفضل أن يكون لديهم خبرة في فحص البراءات.</w:t>
      </w:r>
    </w:p>
    <w:p w14:paraId="5276B1C3" w14:textId="4E0CFBF5" w:rsidR="00242D4D" w:rsidRPr="00AB1B39" w:rsidRDefault="00242D4D" w:rsidP="00135D84">
      <w:pPr>
        <w:pStyle w:val="ONUME"/>
        <w:bidi/>
        <w:ind w:left="5533"/>
        <w:rPr>
          <w:rFonts w:cs="Calibri"/>
          <w:i/>
          <w:iCs/>
          <w:szCs w:val="22"/>
          <w:rtl/>
        </w:rPr>
      </w:pPr>
      <w:r w:rsidRPr="00AB1B39">
        <w:rPr>
          <w:rFonts w:cs="Calibri" w:hint="cs"/>
          <w:i/>
          <w:iCs/>
          <w:szCs w:val="22"/>
          <w:rtl/>
        </w:rPr>
        <w:t>وإنّ لجنة المعايير مدعوة إلى:</w:t>
      </w:r>
    </w:p>
    <w:p w14:paraId="2A40C21F" w14:textId="04B4B5D7" w:rsidR="00242D4D" w:rsidRPr="00AB1B39" w:rsidRDefault="00242D4D" w:rsidP="00135D84">
      <w:pPr>
        <w:pStyle w:val="ONUME"/>
        <w:numPr>
          <w:ilvl w:val="1"/>
          <w:numId w:val="5"/>
        </w:numPr>
        <w:bidi/>
        <w:ind w:left="5533" w:firstLine="704"/>
        <w:rPr>
          <w:rFonts w:cs="Calibri"/>
          <w:i/>
          <w:iCs/>
          <w:szCs w:val="22"/>
          <w:rtl/>
        </w:rPr>
      </w:pPr>
      <w:r w:rsidRPr="00AB1B39">
        <w:rPr>
          <w:rFonts w:cs="Calibri" w:hint="cs"/>
          <w:i/>
          <w:iCs/>
          <w:szCs w:val="22"/>
          <w:rtl/>
        </w:rPr>
        <w:t>الإحاطة علماً بمضمون هذه الوثيقة؛</w:t>
      </w:r>
    </w:p>
    <w:p w14:paraId="54A54107" w14:textId="1FFEDC4D" w:rsidR="0028694E" w:rsidRPr="00AB1B39" w:rsidRDefault="0094671E" w:rsidP="00135D84">
      <w:pPr>
        <w:pStyle w:val="ONUME"/>
        <w:numPr>
          <w:ilvl w:val="1"/>
          <w:numId w:val="5"/>
        </w:numPr>
        <w:bidi/>
        <w:ind w:left="5533" w:firstLine="704"/>
        <w:rPr>
          <w:rFonts w:cs="Calibri"/>
          <w:i/>
          <w:iCs/>
          <w:szCs w:val="22"/>
          <w:rtl/>
        </w:rPr>
      </w:pPr>
      <w:r>
        <w:rPr>
          <w:rFonts w:cs="Calibri" w:hint="cs"/>
          <w:i/>
          <w:iCs/>
          <w:szCs w:val="22"/>
          <w:rtl/>
        </w:rPr>
        <w:t>و</w:t>
      </w:r>
      <w:r w:rsidR="00242D4D" w:rsidRPr="00AB1B39">
        <w:rPr>
          <w:rFonts w:cs="Calibri" w:hint="cs"/>
          <w:i/>
          <w:iCs/>
          <w:szCs w:val="22"/>
          <w:rtl/>
        </w:rPr>
        <w:t>النظر في تحليل الدراسة الاستقصائية الوارد في الفقرات من 7 إلى 40 والموافقة عليه والموافقة على نشرها في دليل الويبو؛</w:t>
      </w:r>
    </w:p>
    <w:p w14:paraId="4247DBC1" w14:textId="0F56337E" w:rsidR="006C1714" w:rsidRPr="00AB1B39" w:rsidRDefault="0094671E" w:rsidP="00135D84">
      <w:pPr>
        <w:pStyle w:val="ONUME"/>
        <w:numPr>
          <w:ilvl w:val="1"/>
          <w:numId w:val="5"/>
        </w:numPr>
        <w:bidi/>
        <w:ind w:left="5533" w:firstLine="704"/>
        <w:rPr>
          <w:rFonts w:cs="Calibri"/>
          <w:i/>
          <w:iCs/>
          <w:szCs w:val="22"/>
          <w:rtl/>
        </w:rPr>
      </w:pPr>
      <w:r>
        <w:rPr>
          <w:rFonts w:cs="Calibri" w:hint="cs"/>
          <w:i/>
          <w:iCs/>
          <w:szCs w:val="22"/>
          <w:rtl/>
        </w:rPr>
        <w:t>و</w:t>
      </w:r>
      <w:r w:rsidR="00665D3C" w:rsidRPr="00AB1B39">
        <w:rPr>
          <w:rFonts w:cs="Calibri" w:hint="cs"/>
          <w:i/>
          <w:iCs/>
          <w:szCs w:val="22"/>
          <w:rtl/>
        </w:rPr>
        <w:t>النظر في إنشاء المهمة رقم 68 في برنامج عمل لجنة المعايير والموافقة عليه، على النحو المشار إليه في الفقرة 43 أعلاه؛</w:t>
      </w:r>
    </w:p>
    <w:p w14:paraId="108B47CB" w14:textId="6851FB23" w:rsidR="006C1714" w:rsidRPr="00AB1B39" w:rsidRDefault="00B650F4" w:rsidP="00135D84">
      <w:pPr>
        <w:pStyle w:val="ONUME"/>
        <w:numPr>
          <w:ilvl w:val="1"/>
          <w:numId w:val="5"/>
        </w:numPr>
        <w:bidi/>
        <w:ind w:left="5533" w:firstLine="704"/>
        <w:rPr>
          <w:rFonts w:cs="Calibri"/>
          <w:i/>
          <w:iCs/>
          <w:szCs w:val="22"/>
          <w:rtl/>
        </w:rPr>
      </w:pPr>
      <w:r w:rsidRPr="00AB1B39">
        <w:rPr>
          <w:rFonts w:cs="Calibri" w:hint="cs"/>
          <w:i/>
          <w:iCs/>
          <w:szCs w:val="22"/>
          <w:rtl/>
        </w:rPr>
        <w:t>والنظر في الوصف المقترح للمهمة رقم 68 والموافقة عليه، على النحو المبيّن في الفقرة 43 أعلاه؛</w:t>
      </w:r>
    </w:p>
    <w:p w14:paraId="1A22123F" w14:textId="19368A29" w:rsidR="006C1714" w:rsidRPr="00AB1B39" w:rsidRDefault="0094671E" w:rsidP="00135D84">
      <w:pPr>
        <w:pStyle w:val="ONUME"/>
        <w:numPr>
          <w:ilvl w:val="1"/>
          <w:numId w:val="5"/>
        </w:numPr>
        <w:bidi/>
        <w:ind w:left="5533" w:firstLine="704"/>
        <w:rPr>
          <w:rFonts w:cs="Calibri"/>
          <w:i/>
          <w:iCs/>
          <w:szCs w:val="22"/>
          <w:rtl/>
        </w:rPr>
      </w:pPr>
      <w:r>
        <w:rPr>
          <w:rFonts w:cs="Calibri" w:hint="cs"/>
          <w:i/>
          <w:iCs/>
          <w:szCs w:val="22"/>
          <w:rtl/>
        </w:rPr>
        <w:t>و</w:t>
      </w:r>
      <w:r w:rsidR="00B650F4" w:rsidRPr="00AB1B39">
        <w:rPr>
          <w:rFonts w:cs="Calibri" w:hint="cs"/>
          <w:i/>
          <w:iCs/>
          <w:szCs w:val="22"/>
          <w:rtl/>
        </w:rPr>
        <w:t xml:space="preserve">النظر في إعادة تفعيل فرقة العمل المعنية بالمعيار </w:t>
      </w:r>
      <w:r w:rsidR="00B650F4" w:rsidRPr="00AB1B39">
        <w:rPr>
          <w:rFonts w:cs="Calibri"/>
          <w:i/>
          <w:iCs/>
          <w:szCs w:val="22"/>
        </w:rPr>
        <w:t>ST.14</w:t>
      </w:r>
      <w:r w:rsidR="00B650F4" w:rsidRPr="00AB1B39">
        <w:rPr>
          <w:rFonts w:cs="Calibri" w:hint="cs"/>
          <w:i/>
          <w:iCs/>
          <w:szCs w:val="22"/>
          <w:rtl/>
        </w:rPr>
        <w:t xml:space="preserve"> والموافقة عليها، وترشيح المشرف على فرقة العمل، وإسناد المهمة رقم 68 إليه، على النحو المشار إليه في الفقرتين 44 و46 أعلاه؛</w:t>
      </w:r>
    </w:p>
    <w:p w14:paraId="449D8080" w14:textId="04056984" w:rsidR="002928D3" w:rsidRPr="00AB1B39" w:rsidRDefault="008B10DD" w:rsidP="00135D84">
      <w:pPr>
        <w:pStyle w:val="ONUME"/>
        <w:numPr>
          <w:ilvl w:val="1"/>
          <w:numId w:val="5"/>
        </w:numPr>
        <w:bidi/>
        <w:ind w:left="5533" w:firstLine="704"/>
        <w:rPr>
          <w:rFonts w:cs="Calibri"/>
          <w:i/>
          <w:iCs/>
          <w:szCs w:val="22"/>
          <w:rtl/>
        </w:rPr>
      </w:pPr>
      <w:r w:rsidRPr="00AB1B39">
        <w:rPr>
          <w:rFonts w:cs="Calibri" w:hint="cs"/>
          <w:i/>
          <w:iCs/>
          <w:szCs w:val="22"/>
          <w:rtl/>
        </w:rPr>
        <w:t xml:space="preserve">والطلب من الأمانة أن ترسل تعميما يدعو فيه الأعضاء والمراقبين إلى ترشيح خبراء متخصصين للانضمام إلى فرقة العمل المعنية بالمعيار </w:t>
      </w:r>
      <w:r w:rsidRPr="00AB1B39">
        <w:rPr>
          <w:rFonts w:cs="Calibri"/>
          <w:i/>
          <w:iCs/>
          <w:szCs w:val="22"/>
        </w:rPr>
        <w:t>ST.14</w:t>
      </w:r>
      <w:r w:rsidRPr="00AB1B39">
        <w:rPr>
          <w:rFonts w:cs="Calibri" w:hint="cs"/>
          <w:i/>
          <w:iCs/>
          <w:szCs w:val="22"/>
          <w:rtl/>
        </w:rPr>
        <w:t>، على النحو المشار إليه في الفقرة 46 أعلاه.</w:t>
      </w:r>
    </w:p>
    <w:p w14:paraId="113AE865" w14:textId="77777777" w:rsidR="007B2BA9" w:rsidRPr="00AB1B39" w:rsidRDefault="007B2BA9" w:rsidP="008401F9">
      <w:pPr>
        <w:pStyle w:val="Endofdocument-Annex"/>
        <w:rPr>
          <w:rFonts w:cs="Calibri"/>
          <w:szCs w:val="22"/>
        </w:rPr>
      </w:pPr>
    </w:p>
    <w:p w14:paraId="273B18A3" w14:textId="77777777" w:rsidR="009669AB" w:rsidRPr="00AB1B39" w:rsidRDefault="009669AB" w:rsidP="008401F9">
      <w:pPr>
        <w:pStyle w:val="Endofdocument-Annex"/>
        <w:rPr>
          <w:rFonts w:cs="Calibri"/>
          <w:szCs w:val="22"/>
        </w:rPr>
      </w:pPr>
    </w:p>
    <w:p w14:paraId="285F3A15" w14:textId="77777777" w:rsidR="009669AB" w:rsidRPr="00AB1B39" w:rsidRDefault="009669AB" w:rsidP="008401F9">
      <w:pPr>
        <w:pStyle w:val="Endofdocument-Annex"/>
        <w:rPr>
          <w:rFonts w:cs="Calibri"/>
          <w:szCs w:val="22"/>
        </w:rPr>
      </w:pPr>
    </w:p>
    <w:p w14:paraId="56E667DD" w14:textId="11F870A1" w:rsidR="002928D3" w:rsidRPr="00AB1B39" w:rsidRDefault="007B2BA9" w:rsidP="00830AB3">
      <w:pPr>
        <w:pStyle w:val="Endofdocument-Annex"/>
        <w:bidi/>
        <w:rPr>
          <w:rFonts w:cs="Calibri"/>
          <w:szCs w:val="22"/>
          <w:rtl/>
        </w:rPr>
      </w:pPr>
      <w:r w:rsidRPr="00AB1B39">
        <w:rPr>
          <w:rFonts w:cs="Calibri" w:hint="cs"/>
          <w:szCs w:val="22"/>
          <w:rtl/>
        </w:rPr>
        <w:t>[يلي ذلك المرفق]</w:t>
      </w:r>
    </w:p>
    <w:sectPr w:rsidR="002928D3" w:rsidRPr="00AB1B39" w:rsidSect="00341AF2">
      <w:headerReference w:type="default" r:id="rId34"/>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251DF" w14:textId="77777777" w:rsidR="00AA0F77" w:rsidRDefault="00AA0F77">
      <w:r>
        <w:separator/>
      </w:r>
    </w:p>
  </w:endnote>
  <w:endnote w:type="continuationSeparator" w:id="0">
    <w:p w14:paraId="5E338DCF" w14:textId="77777777" w:rsidR="00AA0F77" w:rsidRDefault="00AA0F77" w:rsidP="003B38C1">
      <w:r>
        <w:separator/>
      </w:r>
    </w:p>
    <w:p w14:paraId="7AD431D9" w14:textId="77777777" w:rsidR="00AA0F77" w:rsidRPr="003B38C1" w:rsidRDefault="00AA0F77" w:rsidP="003B38C1">
      <w:pPr>
        <w:spacing w:after="60"/>
        <w:rPr>
          <w:sz w:val="17"/>
        </w:rPr>
      </w:pPr>
      <w:r>
        <w:rPr>
          <w:sz w:val="17"/>
        </w:rPr>
        <w:t>[Endnote continued from previous page]</w:t>
      </w:r>
    </w:p>
  </w:endnote>
  <w:endnote w:type="continuationNotice" w:id="1">
    <w:p w14:paraId="6350DE1F" w14:textId="77777777" w:rsidR="00AA0F77" w:rsidRPr="003B38C1" w:rsidRDefault="00AA0F77"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F1FF8" w14:textId="77777777" w:rsidR="00AA0F77" w:rsidRDefault="00AA0F77">
      <w:r>
        <w:separator/>
      </w:r>
    </w:p>
  </w:footnote>
  <w:footnote w:type="continuationSeparator" w:id="0">
    <w:p w14:paraId="11EA1698" w14:textId="77777777" w:rsidR="00AA0F77" w:rsidRDefault="00AA0F77" w:rsidP="008B60B2">
      <w:r>
        <w:separator/>
      </w:r>
    </w:p>
    <w:p w14:paraId="5C7180C9" w14:textId="77777777" w:rsidR="00AA0F77" w:rsidRPr="00ED77FB" w:rsidRDefault="00AA0F77" w:rsidP="008B60B2">
      <w:pPr>
        <w:spacing w:after="60"/>
        <w:rPr>
          <w:sz w:val="17"/>
          <w:szCs w:val="17"/>
        </w:rPr>
      </w:pPr>
      <w:r w:rsidRPr="00ED77FB">
        <w:rPr>
          <w:sz w:val="17"/>
          <w:szCs w:val="17"/>
        </w:rPr>
        <w:t>[Footnote continued from previous page]</w:t>
      </w:r>
    </w:p>
  </w:footnote>
  <w:footnote w:type="continuationNotice" w:id="1">
    <w:p w14:paraId="3D8A66D3" w14:textId="77777777" w:rsidR="00AA0F77" w:rsidRPr="00ED77FB" w:rsidRDefault="00AA0F77"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E4E54" w14:textId="5A4A7A48" w:rsidR="00EC4E49" w:rsidRDefault="00341AF2" w:rsidP="00477D6B">
    <w:pPr>
      <w:bidi/>
      <w:jc w:val="right"/>
      <w:rPr>
        <w:rtl/>
      </w:rPr>
    </w:pPr>
    <w:bookmarkStart w:id="3" w:name="Code2"/>
    <w:bookmarkEnd w:id="3"/>
    <w:r>
      <w:t>CWS/14/20</w:t>
    </w:r>
  </w:p>
  <w:p w14:paraId="571FADDA" w14:textId="29E786E9" w:rsidR="00EC4E49" w:rsidRDefault="00EC4E49" w:rsidP="00477D6B">
    <w:pPr>
      <w:bidi/>
      <w:jc w:val="right"/>
      <w:rPr>
        <w:rtl/>
      </w:rPr>
    </w:pPr>
    <w:r>
      <w:fldChar w:fldCharType="begin"/>
    </w:r>
    <w:r>
      <w:rPr>
        <w:rtl/>
      </w:rPr>
      <w:instrText xml:space="preserve"> </w:instrText>
    </w:r>
    <w:r>
      <w:instrText xml:space="preserve">PAGE  \* MERGEFORMAT </w:instrText>
    </w:r>
    <w:r>
      <w:fldChar w:fldCharType="separate"/>
    </w:r>
    <w:r w:rsidR="00E671A6">
      <w:rPr>
        <w:rFonts w:hint="cs"/>
        <w:rtl/>
      </w:rPr>
      <w:t>2</w:t>
    </w:r>
    <w:r>
      <w:fldChar w:fldCharType="end"/>
    </w:r>
  </w:p>
  <w:p w14:paraId="755D6D05" w14:textId="77777777" w:rsidR="00EC4E49" w:rsidRDefault="00EC4E49" w:rsidP="00477D6B">
    <w:pPr>
      <w:jc w:val="right"/>
    </w:pPr>
  </w:p>
  <w:p w14:paraId="1C2C4577"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30C202B"/>
    <w:multiLevelType w:val="multilevel"/>
    <w:tmpl w:val="AF781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D29E3"/>
    <w:multiLevelType w:val="multilevel"/>
    <w:tmpl w:val="E7DA2BBE"/>
    <w:lvl w:ilvl="0">
      <w:start w:val="1"/>
      <w:numFmt w:val="decimal"/>
      <w:lvlRestart w:val="0"/>
      <w:pStyle w:val="ONUME"/>
      <w:lvlText w:val="%1."/>
      <w:lvlJc w:val="left"/>
      <w:pPr>
        <w:tabs>
          <w:tab w:val="num" w:pos="567"/>
        </w:tabs>
        <w:ind w:left="0" w:firstLine="0"/>
      </w:pPr>
      <w:rPr>
        <w:rFonts w:hint="default"/>
      </w:rPr>
    </w:lvl>
    <w:lvl w:ilvl="1">
      <w:start w:val="1"/>
      <w:numFmt w:val="arabicAbjad"/>
      <w:lvlText w:val="(%2)"/>
      <w:lvlJc w:val="left"/>
      <w:pPr>
        <w:ind w:left="927" w:hanging="36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0A0C2EF4"/>
    <w:multiLevelType w:val="multilevel"/>
    <w:tmpl w:val="FEFCD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D6C23"/>
    <w:multiLevelType w:val="multilevel"/>
    <w:tmpl w:val="7AFED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3895765B"/>
    <w:multiLevelType w:val="multilevel"/>
    <w:tmpl w:val="9FF28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C93A5B"/>
    <w:multiLevelType w:val="multilevel"/>
    <w:tmpl w:val="E09C739E"/>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5AA44FD"/>
    <w:multiLevelType w:val="multilevel"/>
    <w:tmpl w:val="D0DAE11E"/>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025F59"/>
    <w:multiLevelType w:val="multilevel"/>
    <w:tmpl w:val="45A2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1AD2632"/>
    <w:multiLevelType w:val="hybridMultilevel"/>
    <w:tmpl w:val="8652959E"/>
    <w:lvl w:ilvl="0" w:tplc="7D26AF90">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3F2A36"/>
    <w:multiLevelType w:val="multilevel"/>
    <w:tmpl w:val="1074A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4F0FE2"/>
    <w:multiLevelType w:val="multilevel"/>
    <w:tmpl w:val="1EAC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9242770">
    <w:abstractNumId w:val="5"/>
  </w:num>
  <w:num w:numId="2" w16cid:durableId="1707562677">
    <w:abstractNumId w:val="9"/>
  </w:num>
  <w:num w:numId="3" w16cid:durableId="488402972">
    <w:abstractNumId w:val="0"/>
  </w:num>
  <w:num w:numId="4" w16cid:durableId="1646352287">
    <w:abstractNumId w:val="12"/>
  </w:num>
  <w:num w:numId="5" w16cid:durableId="656806783">
    <w:abstractNumId w:val="2"/>
  </w:num>
  <w:num w:numId="6" w16cid:durableId="222833342">
    <w:abstractNumId w:val="6"/>
  </w:num>
  <w:num w:numId="7" w16cid:durableId="707880612">
    <w:abstractNumId w:val="13"/>
  </w:num>
  <w:num w:numId="8" w16cid:durableId="1939752521">
    <w:abstractNumId w:val="10"/>
  </w:num>
  <w:num w:numId="9" w16cid:durableId="2090496546">
    <w:abstractNumId w:val="8"/>
  </w:num>
  <w:num w:numId="10" w16cid:durableId="609892997">
    <w:abstractNumId w:val="14"/>
  </w:num>
  <w:num w:numId="11" w16cid:durableId="1796022730">
    <w:abstractNumId w:val="7"/>
  </w:num>
  <w:num w:numId="12" w16cid:durableId="921141038">
    <w:abstractNumId w:val="3"/>
  </w:num>
  <w:num w:numId="13" w16cid:durableId="14968846">
    <w:abstractNumId w:val="1"/>
  </w:num>
  <w:num w:numId="14" w16cid:durableId="1474904797">
    <w:abstractNumId w:val="11"/>
  </w:num>
  <w:num w:numId="15" w16cid:durableId="165629872">
    <w:abstractNumId w:val="4"/>
  </w:num>
  <w:num w:numId="16" w16cid:durableId="67319105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AF2"/>
    <w:rsid w:val="0000017A"/>
    <w:rsid w:val="0000134D"/>
    <w:rsid w:val="00001F6A"/>
    <w:rsid w:val="000035DD"/>
    <w:rsid w:val="00003F34"/>
    <w:rsid w:val="000040B0"/>
    <w:rsid w:val="0000418B"/>
    <w:rsid w:val="000053CE"/>
    <w:rsid w:val="00005656"/>
    <w:rsid w:val="00007563"/>
    <w:rsid w:val="0001043D"/>
    <w:rsid w:val="0001093C"/>
    <w:rsid w:val="00010C84"/>
    <w:rsid w:val="000112B6"/>
    <w:rsid w:val="000127A8"/>
    <w:rsid w:val="0001302E"/>
    <w:rsid w:val="000131B1"/>
    <w:rsid w:val="0001430D"/>
    <w:rsid w:val="00015753"/>
    <w:rsid w:val="0001647B"/>
    <w:rsid w:val="00016B5D"/>
    <w:rsid w:val="00017663"/>
    <w:rsid w:val="00020053"/>
    <w:rsid w:val="0002128D"/>
    <w:rsid w:val="00022AC1"/>
    <w:rsid w:val="0002316B"/>
    <w:rsid w:val="00026771"/>
    <w:rsid w:val="00026DCA"/>
    <w:rsid w:val="00027CAA"/>
    <w:rsid w:val="000306E0"/>
    <w:rsid w:val="00030D50"/>
    <w:rsid w:val="0003218D"/>
    <w:rsid w:val="000340D9"/>
    <w:rsid w:val="00034D6F"/>
    <w:rsid w:val="0003511D"/>
    <w:rsid w:val="0003521B"/>
    <w:rsid w:val="00035ABC"/>
    <w:rsid w:val="00035E91"/>
    <w:rsid w:val="000369A9"/>
    <w:rsid w:val="0003764C"/>
    <w:rsid w:val="00037948"/>
    <w:rsid w:val="000402E8"/>
    <w:rsid w:val="00040418"/>
    <w:rsid w:val="000414FB"/>
    <w:rsid w:val="00041666"/>
    <w:rsid w:val="00041839"/>
    <w:rsid w:val="00043CAA"/>
    <w:rsid w:val="00044373"/>
    <w:rsid w:val="00045A00"/>
    <w:rsid w:val="00045E6B"/>
    <w:rsid w:val="0004654C"/>
    <w:rsid w:val="00046A29"/>
    <w:rsid w:val="00050441"/>
    <w:rsid w:val="000506D7"/>
    <w:rsid w:val="000513F1"/>
    <w:rsid w:val="000527EC"/>
    <w:rsid w:val="00052E30"/>
    <w:rsid w:val="00052EFB"/>
    <w:rsid w:val="000532E7"/>
    <w:rsid w:val="000536FF"/>
    <w:rsid w:val="00053B16"/>
    <w:rsid w:val="0005446D"/>
    <w:rsid w:val="0005482B"/>
    <w:rsid w:val="0005494A"/>
    <w:rsid w:val="00054FA5"/>
    <w:rsid w:val="00057331"/>
    <w:rsid w:val="000574EA"/>
    <w:rsid w:val="000602FF"/>
    <w:rsid w:val="00064A09"/>
    <w:rsid w:val="00066B7C"/>
    <w:rsid w:val="0006714C"/>
    <w:rsid w:val="00067EF5"/>
    <w:rsid w:val="00070D4D"/>
    <w:rsid w:val="000721AF"/>
    <w:rsid w:val="0007293F"/>
    <w:rsid w:val="00074561"/>
    <w:rsid w:val="00074870"/>
    <w:rsid w:val="000749ED"/>
    <w:rsid w:val="000752D0"/>
    <w:rsid w:val="00075432"/>
    <w:rsid w:val="000765CA"/>
    <w:rsid w:val="00077CAB"/>
    <w:rsid w:val="000817DB"/>
    <w:rsid w:val="00082715"/>
    <w:rsid w:val="00084215"/>
    <w:rsid w:val="00084FFC"/>
    <w:rsid w:val="000857E4"/>
    <w:rsid w:val="00086ED4"/>
    <w:rsid w:val="00087D5C"/>
    <w:rsid w:val="00090397"/>
    <w:rsid w:val="00090E49"/>
    <w:rsid w:val="00090EA9"/>
    <w:rsid w:val="0009319D"/>
    <w:rsid w:val="000936D0"/>
    <w:rsid w:val="00093FF2"/>
    <w:rsid w:val="00094420"/>
    <w:rsid w:val="000945CB"/>
    <w:rsid w:val="000968ED"/>
    <w:rsid w:val="000976D4"/>
    <w:rsid w:val="000A1848"/>
    <w:rsid w:val="000A1A8E"/>
    <w:rsid w:val="000A1C3D"/>
    <w:rsid w:val="000A2386"/>
    <w:rsid w:val="000A2B14"/>
    <w:rsid w:val="000A2CB0"/>
    <w:rsid w:val="000A3060"/>
    <w:rsid w:val="000A3D2F"/>
    <w:rsid w:val="000A4055"/>
    <w:rsid w:val="000A4BBA"/>
    <w:rsid w:val="000A4D4F"/>
    <w:rsid w:val="000A56AF"/>
    <w:rsid w:val="000A5AB8"/>
    <w:rsid w:val="000A628A"/>
    <w:rsid w:val="000B0179"/>
    <w:rsid w:val="000B06BF"/>
    <w:rsid w:val="000B1061"/>
    <w:rsid w:val="000B1893"/>
    <w:rsid w:val="000B4155"/>
    <w:rsid w:val="000B4ECF"/>
    <w:rsid w:val="000B5297"/>
    <w:rsid w:val="000B67F6"/>
    <w:rsid w:val="000B6D1E"/>
    <w:rsid w:val="000B76C3"/>
    <w:rsid w:val="000C0A57"/>
    <w:rsid w:val="000C0F24"/>
    <w:rsid w:val="000C2A0F"/>
    <w:rsid w:val="000C2B55"/>
    <w:rsid w:val="000C4781"/>
    <w:rsid w:val="000C4DE2"/>
    <w:rsid w:val="000C5E4C"/>
    <w:rsid w:val="000D0463"/>
    <w:rsid w:val="000D0C91"/>
    <w:rsid w:val="000D0E78"/>
    <w:rsid w:val="000D1A8F"/>
    <w:rsid w:val="000D1DC1"/>
    <w:rsid w:val="000D270A"/>
    <w:rsid w:val="000D40EE"/>
    <w:rsid w:val="000D425F"/>
    <w:rsid w:val="000D568F"/>
    <w:rsid w:val="000D5FAD"/>
    <w:rsid w:val="000D6962"/>
    <w:rsid w:val="000D7188"/>
    <w:rsid w:val="000D7CF7"/>
    <w:rsid w:val="000E1433"/>
    <w:rsid w:val="000E30BF"/>
    <w:rsid w:val="000E3751"/>
    <w:rsid w:val="000E5982"/>
    <w:rsid w:val="000E5B54"/>
    <w:rsid w:val="000E7AB9"/>
    <w:rsid w:val="000F04DD"/>
    <w:rsid w:val="000F1E72"/>
    <w:rsid w:val="000F238D"/>
    <w:rsid w:val="000F27D3"/>
    <w:rsid w:val="000F30F8"/>
    <w:rsid w:val="000F3558"/>
    <w:rsid w:val="000F3A66"/>
    <w:rsid w:val="000F3B34"/>
    <w:rsid w:val="000F48BB"/>
    <w:rsid w:val="000F493D"/>
    <w:rsid w:val="000F4C97"/>
    <w:rsid w:val="000F52C4"/>
    <w:rsid w:val="000F584D"/>
    <w:rsid w:val="000F5E56"/>
    <w:rsid w:val="000F63F3"/>
    <w:rsid w:val="000F6EB9"/>
    <w:rsid w:val="000F6F02"/>
    <w:rsid w:val="000F73F1"/>
    <w:rsid w:val="000F7E47"/>
    <w:rsid w:val="0010056B"/>
    <w:rsid w:val="001024FE"/>
    <w:rsid w:val="00102E74"/>
    <w:rsid w:val="00103399"/>
    <w:rsid w:val="00104874"/>
    <w:rsid w:val="00104EF2"/>
    <w:rsid w:val="0010500D"/>
    <w:rsid w:val="00105852"/>
    <w:rsid w:val="001079C6"/>
    <w:rsid w:val="00110714"/>
    <w:rsid w:val="00110C54"/>
    <w:rsid w:val="0011200D"/>
    <w:rsid w:val="0011239B"/>
    <w:rsid w:val="00112E04"/>
    <w:rsid w:val="001134EF"/>
    <w:rsid w:val="00113873"/>
    <w:rsid w:val="001141CB"/>
    <w:rsid w:val="001144C4"/>
    <w:rsid w:val="00115545"/>
    <w:rsid w:val="001174C9"/>
    <w:rsid w:val="00120901"/>
    <w:rsid w:val="00122307"/>
    <w:rsid w:val="0012377D"/>
    <w:rsid w:val="00124AE4"/>
    <w:rsid w:val="0012690A"/>
    <w:rsid w:val="00126F75"/>
    <w:rsid w:val="0013046C"/>
    <w:rsid w:val="001308AD"/>
    <w:rsid w:val="00130A5E"/>
    <w:rsid w:val="00131397"/>
    <w:rsid w:val="0013172E"/>
    <w:rsid w:val="00132265"/>
    <w:rsid w:val="0013236F"/>
    <w:rsid w:val="00132CA5"/>
    <w:rsid w:val="00132EE9"/>
    <w:rsid w:val="00133937"/>
    <w:rsid w:val="00134217"/>
    <w:rsid w:val="00135401"/>
    <w:rsid w:val="00135805"/>
    <w:rsid w:val="00135D84"/>
    <w:rsid w:val="0013605F"/>
    <w:rsid w:val="001362EE"/>
    <w:rsid w:val="00136330"/>
    <w:rsid w:val="001406E2"/>
    <w:rsid w:val="00141A20"/>
    <w:rsid w:val="00141C94"/>
    <w:rsid w:val="00142180"/>
    <w:rsid w:val="00142868"/>
    <w:rsid w:val="00143361"/>
    <w:rsid w:val="00143408"/>
    <w:rsid w:val="00144070"/>
    <w:rsid w:val="0014492F"/>
    <w:rsid w:val="00144BE3"/>
    <w:rsid w:val="00144E7B"/>
    <w:rsid w:val="00145410"/>
    <w:rsid w:val="00145EF9"/>
    <w:rsid w:val="0014621F"/>
    <w:rsid w:val="00146C4C"/>
    <w:rsid w:val="00153138"/>
    <w:rsid w:val="00153524"/>
    <w:rsid w:val="00153C92"/>
    <w:rsid w:val="00154977"/>
    <w:rsid w:val="00155BAF"/>
    <w:rsid w:val="001573F3"/>
    <w:rsid w:val="00160457"/>
    <w:rsid w:val="00160461"/>
    <w:rsid w:val="00160B85"/>
    <w:rsid w:val="00160F87"/>
    <w:rsid w:val="001617A0"/>
    <w:rsid w:val="001627DB"/>
    <w:rsid w:val="00162B74"/>
    <w:rsid w:val="00162CF3"/>
    <w:rsid w:val="00164AEE"/>
    <w:rsid w:val="00167871"/>
    <w:rsid w:val="00167C89"/>
    <w:rsid w:val="0017068F"/>
    <w:rsid w:val="00170C5C"/>
    <w:rsid w:val="00170EF9"/>
    <w:rsid w:val="00171C08"/>
    <w:rsid w:val="00171E10"/>
    <w:rsid w:val="0017311A"/>
    <w:rsid w:val="00173C9F"/>
    <w:rsid w:val="00174268"/>
    <w:rsid w:val="001747E9"/>
    <w:rsid w:val="00176498"/>
    <w:rsid w:val="00176FF0"/>
    <w:rsid w:val="00177AD7"/>
    <w:rsid w:val="00177E7F"/>
    <w:rsid w:val="00180A71"/>
    <w:rsid w:val="00180C8B"/>
    <w:rsid w:val="00181312"/>
    <w:rsid w:val="00181725"/>
    <w:rsid w:val="00181E44"/>
    <w:rsid w:val="001822ED"/>
    <w:rsid w:val="0018278A"/>
    <w:rsid w:val="001828A3"/>
    <w:rsid w:val="001832A6"/>
    <w:rsid w:val="0018338E"/>
    <w:rsid w:val="00183EBE"/>
    <w:rsid w:val="00184A8F"/>
    <w:rsid w:val="001854B9"/>
    <w:rsid w:val="0018612A"/>
    <w:rsid w:val="00186608"/>
    <w:rsid w:val="00186770"/>
    <w:rsid w:val="00186FB3"/>
    <w:rsid w:val="0019079B"/>
    <w:rsid w:val="001923CB"/>
    <w:rsid w:val="001925D2"/>
    <w:rsid w:val="0019309C"/>
    <w:rsid w:val="0019389D"/>
    <w:rsid w:val="001956DA"/>
    <w:rsid w:val="00195923"/>
    <w:rsid w:val="001960B9"/>
    <w:rsid w:val="001979B8"/>
    <w:rsid w:val="001A0340"/>
    <w:rsid w:val="001A093D"/>
    <w:rsid w:val="001A2200"/>
    <w:rsid w:val="001A3201"/>
    <w:rsid w:val="001A39C0"/>
    <w:rsid w:val="001A446F"/>
    <w:rsid w:val="001A4EF3"/>
    <w:rsid w:val="001A593C"/>
    <w:rsid w:val="001A5EC7"/>
    <w:rsid w:val="001A6288"/>
    <w:rsid w:val="001A64FF"/>
    <w:rsid w:val="001A6BDE"/>
    <w:rsid w:val="001A708C"/>
    <w:rsid w:val="001B07B0"/>
    <w:rsid w:val="001B0A6A"/>
    <w:rsid w:val="001B4891"/>
    <w:rsid w:val="001B4AEF"/>
    <w:rsid w:val="001B4D53"/>
    <w:rsid w:val="001B4E8C"/>
    <w:rsid w:val="001B5C91"/>
    <w:rsid w:val="001B6A8C"/>
    <w:rsid w:val="001B72E2"/>
    <w:rsid w:val="001B77DC"/>
    <w:rsid w:val="001C1089"/>
    <w:rsid w:val="001C4EB1"/>
    <w:rsid w:val="001C560D"/>
    <w:rsid w:val="001C6808"/>
    <w:rsid w:val="001C6C93"/>
    <w:rsid w:val="001C6CBB"/>
    <w:rsid w:val="001D0E3B"/>
    <w:rsid w:val="001D122C"/>
    <w:rsid w:val="001D1808"/>
    <w:rsid w:val="001D2718"/>
    <w:rsid w:val="001D5EDB"/>
    <w:rsid w:val="001D66B0"/>
    <w:rsid w:val="001D77B1"/>
    <w:rsid w:val="001E0ABE"/>
    <w:rsid w:val="001E0DC8"/>
    <w:rsid w:val="001E0FFC"/>
    <w:rsid w:val="001E1941"/>
    <w:rsid w:val="001E1DFB"/>
    <w:rsid w:val="001E21F9"/>
    <w:rsid w:val="001E256F"/>
    <w:rsid w:val="001E4001"/>
    <w:rsid w:val="001E5BC9"/>
    <w:rsid w:val="001E76BA"/>
    <w:rsid w:val="001F0710"/>
    <w:rsid w:val="001F0CEE"/>
    <w:rsid w:val="001F1084"/>
    <w:rsid w:val="001F1672"/>
    <w:rsid w:val="001F27C5"/>
    <w:rsid w:val="001F29E7"/>
    <w:rsid w:val="001F3653"/>
    <w:rsid w:val="001F37C8"/>
    <w:rsid w:val="001F5F80"/>
    <w:rsid w:val="001F618F"/>
    <w:rsid w:val="001F63EE"/>
    <w:rsid w:val="001F6AB8"/>
    <w:rsid w:val="001F6FB3"/>
    <w:rsid w:val="001F70B4"/>
    <w:rsid w:val="00200A2E"/>
    <w:rsid w:val="00200CF3"/>
    <w:rsid w:val="00200D63"/>
    <w:rsid w:val="00201837"/>
    <w:rsid w:val="00201AEF"/>
    <w:rsid w:val="00203BFA"/>
    <w:rsid w:val="00204640"/>
    <w:rsid w:val="00205568"/>
    <w:rsid w:val="00205D5D"/>
    <w:rsid w:val="00206A10"/>
    <w:rsid w:val="00206AEF"/>
    <w:rsid w:val="00207EE9"/>
    <w:rsid w:val="00210BB0"/>
    <w:rsid w:val="002121FA"/>
    <w:rsid w:val="002127BC"/>
    <w:rsid w:val="002127BE"/>
    <w:rsid w:val="00212F8E"/>
    <w:rsid w:val="00213E0D"/>
    <w:rsid w:val="00215AFD"/>
    <w:rsid w:val="00215BC0"/>
    <w:rsid w:val="002169A5"/>
    <w:rsid w:val="00216B52"/>
    <w:rsid w:val="0021786C"/>
    <w:rsid w:val="00217AC3"/>
    <w:rsid w:val="00217FEB"/>
    <w:rsid w:val="00220333"/>
    <w:rsid w:val="00220C25"/>
    <w:rsid w:val="00220E59"/>
    <w:rsid w:val="002211FB"/>
    <w:rsid w:val="00221EA9"/>
    <w:rsid w:val="0022221D"/>
    <w:rsid w:val="00222E73"/>
    <w:rsid w:val="00224859"/>
    <w:rsid w:val="00224BA8"/>
    <w:rsid w:val="0022576E"/>
    <w:rsid w:val="00230F11"/>
    <w:rsid w:val="00231C52"/>
    <w:rsid w:val="002320C4"/>
    <w:rsid w:val="0023297F"/>
    <w:rsid w:val="00233A42"/>
    <w:rsid w:val="002343ED"/>
    <w:rsid w:val="00235924"/>
    <w:rsid w:val="00235A40"/>
    <w:rsid w:val="002364CF"/>
    <w:rsid w:val="00237AFD"/>
    <w:rsid w:val="00241DD7"/>
    <w:rsid w:val="00242737"/>
    <w:rsid w:val="00242D4D"/>
    <w:rsid w:val="0024314C"/>
    <w:rsid w:val="0024348D"/>
    <w:rsid w:val="002440D7"/>
    <w:rsid w:val="0024442E"/>
    <w:rsid w:val="00245670"/>
    <w:rsid w:val="00245C8C"/>
    <w:rsid w:val="0024614C"/>
    <w:rsid w:val="00250470"/>
    <w:rsid w:val="002511D0"/>
    <w:rsid w:val="002525ED"/>
    <w:rsid w:val="002531BC"/>
    <w:rsid w:val="00253C63"/>
    <w:rsid w:val="002550AA"/>
    <w:rsid w:val="00255797"/>
    <w:rsid w:val="002558C2"/>
    <w:rsid w:val="002569E7"/>
    <w:rsid w:val="00260669"/>
    <w:rsid w:val="00260CDF"/>
    <w:rsid w:val="0026208B"/>
    <w:rsid w:val="002634C4"/>
    <w:rsid w:val="00263ECF"/>
    <w:rsid w:val="0026510F"/>
    <w:rsid w:val="002668BE"/>
    <w:rsid w:val="0026760B"/>
    <w:rsid w:val="002705DF"/>
    <w:rsid w:val="002709A0"/>
    <w:rsid w:val="00271C66"/>
    <w:rsid w:val="00272294"/>
    <w:rsid w:val="00272597"/>
    <w:rsid w:val="0027272D"/>
    <w:rsid w:val="00273683"/>
    <w:rsid w:val="00274691"/>
    <w:rsid w:val="00275D1C"/>
    <w:rsid w:val="00276214"/>
    <w:rsid w:val="00276D1B"/>
    <w:rsid w:val="00277368"/>
    <w:rsid w:val="0027784A"/>
    <w:rsid w:val="00280248"/>
    <w:rsid w:val="00280662"/>
    <w:rsid w:val="00280FEA"/>
    <w:rsid w:val="00282AF3"/>
    <w:rsid w:val="00282BC1"/>
    <w:rsid w:val="002839EE"/>
    <w:rsid w:val="00284DDB"/>
    <w:rsid w:val="002852ED"/>
    <w:rsid w:val="002866B2"/>
    <w:rsid w:val="0028694E"/>
    <w:rsid w:val="00287437"/>
    <w:rsid w:val="002877C8"/>
    <w:rsid w:val="00290E4C"/>
    <w:rsid w:val="002916AD"/>
    <w:rsid w:val="002919EE"/>
    <w:rsid w:val="00291E58"/>
    <w:rsid w:val="00291F9B"/>
    <w:rsid w:val="002928D3"/>
    <w:rsid w:val="00292D29"/>
    <w:rsid w:val="00293152"/>
    <w:rsid w:val="00293F6A"/>
    <w:rsid w:val="00294938"/>
    <w:rsid w:val="00294C5A"/>
    <w:rsid w:val="002950F2"/>
    <w:rsid w:val="00296DF6"/>
    <w:rsid w:val="00296E8E"/>
    <w:rsid w:val="002973B4"/>
    <w:rsid w:val="002975DC"/>
    <w:rsid w:val="00297A3A"/>
    <w:rsid w:val="002A0FB8"/>
    <w:rsid w:val="002A1532"/>
    <w:rsid w:val="002A1867"/>
    <w:rsid w:val="002A1B65"/>
    <w:rsid w:val="002A550D"/>
    <w:rsid w:val="002A594C"/>
    <w:rsid w:val="002A59C5"/>
    <w:rsid w:val="002A5EE3"/>
    <w:rsid w:val="002A6E12"/>
    <w:rsid w:val="002B19C6"/>
    <w:rsid w:val="002B27AB"/>
    <w:rsid w:val="002B371A"/>
    <w:rsid w:val="002B4320"/>
    <w:rsid w:val="002B448C"/>
    <w:rsid w:val="002B4A72"/>
    <w:rsid w:val="002B5791"/>
    <w:rsid w:val="002B5BA5"/>
    <w:rsid w:val="002B60E5"/>
    <w:rsid w:val="002B6F3D"/>
    <w:rsid w:val="002B7648"/>
    <w:rsid w:val="002C1C82"/>
    <w:rsid w:val="002C23CC"/>
    <w:rsid w:val="002C2A5C"/>
    <w:rsid w:val="002C2C10"/>
    <w:rsid w:val="002C2E03"/>
    <w:rsid w:val="002C324B"/>
    <w:rsid w:val="002C328F"/>
    <w:rsid w:val="002C3F1A"/>
    <w:rsid w:val="002C74F4"/>
    <w:rsid w:val="002C7FA7"/>
    <w:rsid w:val="002D0B33"/>
    <w:rsid w:val="002D237D"/>
    <w:rsid w:val="002D2798"/>
    <w:rsid w:val="002D436F"/>
    <w:rsid w:val="002D49E0"/>
    <w:rsid w:val="002D4C9B"/>
    <w:rsid w:val="002D549C"/>
    <w:rsid w:val="002D5E8C"/>
    <w:rsid w:val="002D5F36"/>
    <w:rsid w:val="002E0655"/>
    <w:rsid w:val="002E088F"/>
    <w:rsid w:val="002E103E"/>
    <w:rsid w:val="002E39C7"/>
    <w:rsid w:val="002E4316"/>
    <w:rsid w:val="002E44D3"/>
    <w:rsid w:val="002E541E"/>
    <w:rsid w:val="002E5C30"/>
    <w:rsid w:val="002E645C"/>
    <w:rsid w:val="002E7073"/>
    <w:rsid w:val="002F109B"/>
    <w:rsid w:val="002F1689"/>
    <w:rsid w:val="002F1765"/>
    <w:rsid w:val="002F1FE6"/>
    <w:rsid w:val="002F373E"/>
    <w:rsid w:val="002F4202"/>
    <w:rsid w:val="002F4C36"/>
    <w:rsid w:val="002F4E68"/>
    <w:rsid w:val="002F59B9"/>
    <w:rsid w:val="002F741A"/>
    <w:rsid w:val="002F76CD"/>
    <w:rsid w:val="002F77CC"/>
    <w:rsid w:val="00300B55"/>
    <w:rsid w:val="00303294"/>
    <w:rsid w:val="003038F1"/>
    <w:rsid w:val="0030393D"/>
    <w:rsid w:val="00304042"/>
    <w:rsid w:val="00304C5E"/>
    <w:rsid w:val="003055E4"/>
    <w:rsid w:val="0030597C"/>
    <w:rsid w:val="00305F57"/>
    <w:rsid w:val="00306C4A"/>
    <w:rsid w:val="00307078"/>
    <w:rsid w:val="00307CDD"/>
    <w:rsid w:val="00307F31"/>
    <w:rsid w:val="00310C49"/>
    <w:rsid w:val="00310CF7"/>
    <w:rsid w:val="003117B1"/>
    <w:rsid w:val="0031280E"/>
    <w:rsid w:val="00312B61"/>
    <w:rsid w:val="00312D37"/>
    <w:rsid w:val="00312F7F"/>
    <w:rsid w:val="0031392D"/>
    <w:rsid w:val="0031458E"/>
    <w:rsid w:val="003165CA"/>
    <w:rsid w:val="003173E4"/>
    <w:rsid w:val="00317DD5"/>
    <w:rsid w:val="003202FF"/>
    <w:rsid w:val="003207DC"/>
    <w:rsid w:val="003228B7"/>
    <w:rsid w:val="003233FB"/>
    <w:rsid w:val="003235EC"/>
    <w:rsid w:val="0032391B"/>
    <w:rsid w:val="0032721E"/>
    <w:rsid w:val="003274BD"/>
    <w:rsid w:val="00327F09"/>
    <w:rsid w:val="00330F80"/>
    <w:rsid w:val="00332EDA"/>
    <w:rsid w:val="003343A5"/>
    <w:rsid w:val="00334B98"/>
    <w:rsid w:val="00335102"/>
    <w:rsid w:val="0033774D"/>
    <w:rsid w:val="003377E1"/>
    <w:rsid w:val="00340722"/>
    <w:rsid w:val="00340B21"/>
    <w:rsid w:val="003418B5"/>
    <w:rsid w:val="00341AF2"/>
    <w:rsid w:val="00341B10"/>
    <w:rsid w:val="00341B38"/>
    <w:rsid w:val="00341C01"/>
    <w:rsid w:val="00343380"/>
    <w:rsid w:val="00343509"/>
    <w:rsid w:val="00344A51"/>
    <w:rsid w:val="00345584"/>
    <w:rsid w:val="00347B88"/>
    <w:rsid w:val="00347E26"/>
    <w:rsid w:val="003508A3"/>
    <w:rsid w:val="0035194E"/>
    <w:rsid w:val="003532B5"/>
    <w:rsid w:val="003535AB"/>
    <w:rsid w:val="003535E7"/>
    <w:rsid w:val="00353943"/>
    <w:rsid w:val="00353A2D"/>
    <w:rsid w:val="00356CDF"/>
    <w:rsid w:val="00360D92"/>
    <w:rsid w:val="003615CC"/>
    <w:rsid w:val="00362C56"/>
    <w:rsid w:val="0036339B"/>
    <w:rsid w:val="003640C5"/>
    <w:rsid w:val="003673CF"/>
    <w:rsid w:val="00371BA6"/>
    <w:rsid w:val="00373222"/>
    <w:rsid w:val="00373E62"/>
    <w:rsid w:val="00375A11"/>
    <w:rsid w:val="00375B3C"/>
    <w:rsid w:val="00376F54"/>
    <w:rsid w:val="00380680"/>
    <w:rsid w:val="00380F34"/>
    <w:rsid w:val="00382281"/>
    <w:rsid w:val="00383C98"/>
    <w:rsid w:val="00383DE0"/>
    <w:rsid w:val="003845C1"/>
    <w:rsid w:val="00385B08"/>
    <w:rsid w:val="00386E15"/>
    <w:rsid w:val="00387885"/>
    <w:rsid w:val="00390169"/>
    <w:rsid w:val="00391903"/>
    <w:rsid w:val="003920AB"/>
    <w:rsid w:val="00392607"/>
    <w:rsid w:val="00392692"/>
    <w:rsid w:val="00393F05"/>
    <w:rsid w:val="00394017"/>
    <w:rsid w:val="00394426"/>
    <w:rsid w:val="003944B5"/>
    <w:rsid w:val="003947F0"/>
    <w:rsid w:val="00394C7B"/>
    <w:rsid w:val="003971B7"/>
    <w:rsid w:val="003A06C5"/>
    <w:rsid w:val="003A1825"/>
    <w:rsid w:val="003A2493"/>
    <w:rsid w:val="003A2894"/>
    <w:rsid w:val="003A2D04"/>
    <w:rsid w:val="003A2FA4"/>
    <w:rsid w:val="003A411A"/>
    <w:rsid w:val="003A44ED"/>
    <w:rsid w:val="003A558F"/>
    <w:rsid w:val="003A5596"/>
    <w:rsid w:val="003A621F"/>
    <w:rsid w:val="003A6BF8"/>
    <w:rsid w:val="003A6F89"/>
    <w:rsid w:val="003A70A7"/>
    <w:rsid w:val="003A789B"/>
    <w:rsid w:val="003A7D08"/>
    <w:rsid w:val="003A7F30"/>
    <w:rsid w:val="003B1600"/>
    <w:rsid w:val="003B175B"/>
    <w:rsid w:val="003B1FB7"/>
    <w:rsid w:val="003B240C"/>
    <w:rsid w:val="003B2901"/>
    <w:rsid w:val="003B3053"/>
    <w:rsid w:val="003B3877"/>
    <w:rsid w:val="003B38C1"/>
    <w:rsid w:val="003B49CF"/>
    <w:rsid w:val="003B4F0E"/>
    <w:rsid w:val="003B530D"/>
    <w:rsid w:val="003B53B9"/>
    <w:rsid w:val="003B6468"/>
    <w:rsid w:val="003B6A0B"/>
    <w:rsid w:val="003B6D56"/>
    <w:rsid w:val="003C069B"/>
    <w:rsid w:val="003C1719"/>
    <w:rsid w:val="003C20A4"/>
    <w:rsid w:val="003C2477"/>
    <w:rsid w:val="003C283C"/>
    <w:rsid w:val="003C2D2D"/>
    <w:rsid w:val="003C508D"/>
    <w:rsid w:val="003D0190"/>
    <w:rsid w:val="003D04F4"/>
    <w:rsid w:val="003D05DB"/>
    <w:rsid w:val="003D0836"/>
    <w:rsid w:val="003D13E1"/>
    <w:rsid w:val="003D1CE3"/>
    <w:rsid w:val="003D3495"/>
    <w:rsid w:val="003D352A"/>
    <w:rsid w:val="003D618C"/>
    <w:rsid w:val="003D61D4"/>
    <w:rsid w:val="003D68E9"/>
    <w:rsid w:val="003D6AB7"/>
    <w:rsid w:val="003D79B8"/>
    <w:rsid w:val="003E0A24"/>
    <w:rsid w:val="003E0E5D"/>
    <w:rsid w:val="003E1120"/>
    <w:rsid w:val="003E1723"/>
    <w:rsid w:val="003E2DA6"/>
    <w:rsid w:val="003E348C"/>
    <w:rsid w:val="003E3B01"/>
    <w:rsid w:val="003E4C2B"/>
    <w:rsid w:val="003E4D98"/>
    <w:rsid w:val="003E5755"/>
    <w:rsid w:val="003E654C"/>
    <w:rsid w:val="003E6B26"/>
    <w:rsid w:val="003E7498"/>
    <w:rsid w:val="003E75BE"/>
    <w:rsid w:val="003E78D5"/>
    <w:rsid w:val="003E7CB2"/>
    <w:rsid w:val="003F1391"/>
    <w:rsid w:val="003F2866"/>
    <w:rsid w:val="003F5E14"/>
    <w:rsid w:val="003F67B6"/>
    <w:rsid w:val="003F6F12"/>
    <w:rsid w:val="004008BB"/>
    <w:rsid w:val="00401771"/>
    <w:rsid w:val="00401A88"/>
    <w:rsid w:val="0040256D"/>
    <w:rsid w:val="0040346B"/>
    <w:rsid w:val="004035B5"/>
    <w:rsid w:val="00403C62"/>
    <w:rsid w:val="00404ABE"/>
    <w:rsid w:val="004051B9"/>
    <w:rsid w:val="00407952"/>
    <w:rsid w:val="00407E24"/>
    <w:rsid w:val="004100D2"/>
    <w:rsid w:val="0041082F"/>
    <w:rsid w:val="00411068"/>
    <w:rsid w:val="00411ACF"/>
    <w:rsid w:val="00412E8C"/>
    <w:rsid w:val="00413672"/>
    <w:rsid w:val="004139A5"/>
    <w:rsid w:val="00413A93"/>
    <w:rsid w:val="00415B96"/>
    <w:rsid w:val="00416793"/>
    <w:rsid w:val="00416822"/>
    <w:rsid w:val="00416EE6"/>
    <w:rsid w:val="00421D0C"/>
    <w:rsid w:val="00422089"/>
    <w:rsid w:val="004226BA"/>
    <w:rsid w:val="00422C7B"/>
    <w:rsid w:val="00423C1B"/>
    <w:rsid w:val="00423C89"/>
    <w:rsid w:val="00423E3E"/>
    <w:rsid w:val="0042460A"/>
    <w:rsid w:val="00425925"/>
    <w:rsid w:val="00426E5E"/>
    <w:rsid w:val="004274D0"/>
    <w:rsid w:val="00427AF4"/>
    <w:rsid w:val="004318BD"/>
    <w:rsid w:val="00431DB7"/>
    <w:rsid w:val="00432A68"/>
    <w:rsid w:val="00433AF3"/>
    <w:rsid w:val="00433BF6"/>
    <w:rsid w:val="00434957"/>
    <w:rsid w:val="0043600F"/>
    <w:rsid w:val="004360D5"/>
    <w:rsid w:val="0043632E"/>
    <w:rsid w:val="004377CA"/>
    <w:rsid w:val="00437BFD"/>
    <w:rsid w:val="004400E2"/>
    <w:rsid w:val="00440E79"/>
    <w:rsid w:val="00441363"/>
    <w:rsid w:val="0044191C"/>
    <w:rsid w:val="004419E6"/>
    <w:rsid w:val="00443E71"/>
    <w:rsid w:val="00444274"/>
    <w:rsid w:val="00444D9A"/>
    <w:rsid w:val="00445EA4"/>
    <w:rsid w:val="0044632B"/>
    <w:rsid w:val="0044702C"/>
    <w:rsid w:val="004477E7"/>
    <w:rsid w:val="00447E48"/>
    <w:rsid w:val="004500A3"/>
    <w:rsid w:val="00450378"/>
    <w:rsid w:val="004505E3"/>
    <w:rsid w:val="00450B34"/>
    <w:rsid w:val="0045284F"/>
    <w:rsid w:val="00453827"/>
    <w:rsid w:val="004538FD"/>
    <w:rsid w:val="00453F3E"/>
    <w:rsid w:val="0045443B"/>
    <w:rsid w:val="0045568B"/>
    <w:rsid w:val="00455C46"/>
    <w:rsid w:val="00456274"/>
    <w:rsid w:val="00456CA2"/>
    <w:rsid w:val="0045706F"/>
    <w:rsid w:val="0045769E"/>
    <w:rsid w:val="00461632"/>
    <w:rsid w:val="00461C01"/>
    <w:rsid w:val="00461C71"/>
    <w:rsid w:val="00461F2D"/>
    <w:rsid w:val="004622A4"/>
    <w:rsid w:val="004626BD"/>
    <w:rsid w:val="00462AED"/>
    <w:rsid w:val="00463746"/>
    <w:rsid w:val="004639C0"/>
    <w:rsid w:val="00464261"/>
    <w:rsid w:val="004647DA"/>
    <w:rsid w:val="0046608C"/>
    <w:rsid w:val="00466F21"/>
    <w:rsid w:val="00467D7E"/>
    <w:rsid w:val="00467F68"/>
    <w:rsid w:val="0047115E"/>
    <w:rsid w:val="00474062"/>
    <w:rsid w:val="00475EB6"/>
    <w:rsid w:val="00476D31"/>
    <w:rsid w:val="00477D6B"/>
    <w:rsid w:val="00480797"/>
    <w:rsid w:val="00480A4C"/>
    <w:rsid w:val="00480B21"/>
    <w:rsid w:val="00481EA4"/>
    <w:rsid w:val="004823ED"/>
    <w:rsid w:val="0048409C"/>
    <w:rsid w:val="00485C3A"/>
    <w:rsid w:val="004863EA"/>
    <w:rsid w:val="00487934"/>
    <w:rsid w:val="0049035D"/>
    <w:rsid w:val="00490D5D"/>
    <w:rsid w:val="00490D93"/>
    <w:rsid w:val="004920BA"/>
    <w:rsid w:val="0049256C"/>
    <w:rsid w:val="004933D2"/>
    <w:rsid w:val="00493564"/>
    <w:rsid w:val="00493B8C"/>
    <w:rsid w:val="00493C14"/>
    <w:rsid w:val="00493D50"/>
    <w:rsid w:val="00493D89"/>
    <w:rsid w:val="00495D84"/>
    <w:rsid w:val="004962B1"/>
    <w:rsid w:val="00496B27"/>
    <w:rsid w:val="004A0EB3"/>
    <w:rsid w:val="004A229C"/>
    <w:rsid w:val="004A407F"/>
    <w:rsid w:val="004A6459"/>
    <w:rsid w:val="004A7142"/>
    <w:rsid w:val="004B0442"/>
    <w:rsid w:val="004B128F"/>
    <w:rsid w:val="004B14C9"/>
    <w:rsid w:val="004B19F4"/>
    <w:rsid w:val="004B2CE9"/>
    <w:rsid w:val="004B4CE8"/>
    <w:rsid w:val="004B59A2"/>
    <w:rsid w:val="004B6055"/>
    <w:rsid w:val="004B6821"/>
    <w:rsid w:val="004C0BA7"/>
    <w:rsid w:val="004C1E9A"/>
    <w:rsid w:val="004C4467"/>
    <w:rsid w:val="004C47BF"/>
    <w:rsid w:val="004C55FC"/>
    <w:rsid w:val="004C5775"/>
    <w:rsid w:val="004C6271"/>
    <w:rsid w:val="004C6954"/>
    <w:rsid w:val="004C7751"/>
    <w:rsid w:val="004C777B"/>
    <w:rsid w:val="004C7897"/>
    <w:rsid w:val="004D027B"/>
    <w:rsid w:val="004D09F8"/>
    <w:rsid w:val="004D2504"/>
    <w:rsid w:val="004D26D8"/>
    <w:rsid w:val="004D3230"/>
    <w:rsid w:val="004D3284"/>
    <w:rsid w:val="004D3334"/>
    <w:rsid w:val="004D3343"/>
    <w:rsid w:val="004D39C4"/>
    <w:rsid w:val="004D3DBD"/>
    <w:rsid w:val="004D48D4"/>
    <w:rsid w:val="004D4B9B"/>
    <w:rsid w:val="004D51AE"/>
    <w:rsid w:val="004D590E"/>
    <w:rsid w:val="004D5EDD"/>
    <w:rsid w:val="004D6CF4"/>
    <w:rsid w:val="004D73DA"/>
    <w:rsid w:val="004D79CC"/>
    <w:rsid w:val="004E009B"/>
    <w:rsid w:val="004E1077"/>
    <w:rsid w:val="004E1147"/>
    <w:rsid w:val="004E1700"/>
    <w:rsid w:val="004E21BE"/>
    <w:rsid w:val="004E3176"/>
    <w:rsid w:val="004E5DC2"/>
    <w:rsid w:val="004E6F60"/>
    <w:rsid w:val="004F04BB"/>
    <w:rsid w:val="004F0AB1"/>
    <w:rsid w:val="004F0E1F"/>
    <w:rsid w:val="004F1129"/>
    <w:rsid w:val="004F3096"/>
    <w:rsid w:val="004F3A22"/>
    <w:rsid w:val="004F4BE1"/>
    <w:rsid w:val="004F52E2"/>
    <w:rsid w:val="004F5B90"/>
    <w:rsid w:val="004F6714"/>
    <w:rsid w:val="004F6BB9"/>
    <w:rsid w:val="004F7CBC"/>
    <w:rsid w:val="0050043C"/>
    <w:rsid w:val="00500C61"/>
    <w:rsid w:val="00501B43"/>
    <w:rsid w:val="005025D7"/>
    <w:rsid w:val="0050324C"/>
    <w:rsid w:val="0050495D"/>
    <w:rsid w:val="0050497C"/>
    <w:rsid w:val="00504E4C"/>
    <w:rsid w:val="00505137"/>
    <w:rsid w:val="00505212"/>
    <w:rsid w:val="00505246"/>
    <w:rsid w:val="00505482"/>
    <w:rsid w:val="0050733D"/>
    <w:rsid w:val="00507562"/>
    <w:rsid w:val="00507792"/>
    <w:rsid w:val="00510221"/>
    <w:rsid w:val="00511AD3"/>
    <w:rsid w:val="005124DF"/>
    <w:rsid w:val="00512BA4"/>
    <w:rsid w:val="00512E7C"/>
    <w:rsid w:val="00513C8A"/>
    <w:rsid w:val="00514510"/>
    <w:rsid w:val="00514797"/>
    <w:rsid w:val="00514F38"/>
    <w:rsid w:val="005158E4"/>
    <w:rsid w:val="00516497"/>
    <w:rsid w:val="005168EC"/>
    <w:rsid w:val="00517620"/>
    <w:rsid w:val="00520200"/>
    <w:rsid w:val="00521089"/>
    <w:rsid w:val="0052154E"/>
    <w:rsid w:val="00521959"/>
    <w:rsid w:val="00521FF5"/>
    <w:rsid w:val="00522297"/>
    <w:rsid w:val="0052239F"/>
    <w:rsid w:val="00523ADF"/>
    <w:rsid w:val="005244EF"/>
    <w:rsid w:val="00524A1F"/>
    <w:rsid w:val="00524B30"/>
    <w:rsid w:val="00526F40"/>
    <w:rsid w:val="00527C12"/>
    <w:rsid w:val="0053057A"/>
    <w:rsid w:val="00531B8A"/>
    <w:rsid w:val="005321D1"/>
    <w:rsid w:val="005334B4"/>
    <w:rsid w:val="00535219"/>
    <w:rsid w:val="00535E24"/>
    <w:rsid w:val="00537B81"/>
    <w:rsid w:val="00537CC3"/>
    <w:rsid w:val="00537F29"/>
    <w:rsid w:val="00540119"/>
    <w:rsid w:val="00540186"/>
    <w:rsid w:val="0054084D"/>
    <w:rsid w:val="005419C3"/>
    <w:rsid w:val="005429EF"/>
    <w:rsid w:val="00542B2A"/>
    <w:rsid w:val="00543306"/>
    <w:rsid w:val="00543797"/>
    <w:rsid w:val="00543BC4"/>
    <w:rsid w:val="00544848"/>
    <w:rsid w:val="005448AB"/>
    <w:rsid w:val="00544955"/>
    <w:rsid w:val="005449F7"/>
    <w:rsid w:val="00544B5F"/>
    <w:rsid w:val="005450C7"/>
    <w:rsid w:val="00545725"/>
    <w:rsid w:val="005464B9"/>
    <w:rsid w:val="005464E0"/>
    <w:rsid w:val="00546E1C"/>
    <w:rsid w:val="00547908"/>
    <w:rsid w:val="00547FBA"/>
    <w:rsid w:val="0055135A"/>
    <w:rsid w:val="0055179F"/>
    <w:rsid w:val="00551B5F"/>
    <w:rsid w:val="00551DF9"/>
    <w:rsid w:val="00552288"/>
    <w:rsid w:val="00553CFD"/>
    <w:rsid w:val="005543C7"/>
    <w:rsid w:val="00554BE7"/>
    <w:rsid w:val="005550B6"/>
    <w:rsid w:val="00557A57"/>
    <w:rsid w:val="00560A29"/>
    <w:rsid w:val="0056239A"/>
    <w:rsid w:val="005647D1"/>
    <w:rsid w:val="00565227"/>
    <w:rsid w:val="005660BF"/>
    <w:rsid w:val="00566320"/>
    <w:rsid w:val="00566336"/>
    <w:rsid w:val="0057169B"/>
    <w:rsid w:val="00573334"/>
    <w:rsid w:val="00573775"/>
    <w:rsid w:val="00574071"/>
    <w:rsid w:val="00574CA1"/>
    <w:rsid w:val="00575EB5"/>
    <w:rsid w:val="005771EE"/>
    <w:rsid w:val="00577F96"/>
    <w:rsid w:val="005815F4"/>
    <w:rsid w:val="00582A82"/>
    <w:rsid w:val="00583A48"/>
    <w:rsid w:val="0058520E"/>
    <w:rsid w:val="005854E7"/>
    <w:rsid w:val="00586422"/>
    <w:rsid w:val="00586BDE"/>
    <w:rsid w:val="005879E7"/>
    <w:rsid w:val="00590039"/>
    <w:rsid w:val="005901A7"/>
    <w:rsid w:val="00590224"/>
    <w:rsid w:val="00590F0D"/>
    <w:rsid w:val="00593B7C"/>
    <w:rsid w:val="0059413A"/>
    <w:rsid w:val="005947E2"/>
    <w:rsid w:val="00594D27"/>
    <w:rsid w:val="00595A53"/>
    <w:rsid w:val="00595E74"/>
    <w:rsid w:val="0059634E"/>
    <w:rsid w:val="00597404"/>
    <w:rsid w:val="00597673"/>
    <w:rsid w:val="00597C73"/>
    <w:rsid w:val="005A0616"/>
    <w:rsid w:val="005A1153"/>
    <w:rsid w:val="005A3223"/>
    <w:rsid w:val="005A3548"/>
    <w:rsid w:val="005A3A67"/>
    <w:rsid w:val="005A3D5D"/>
    <w:rsid w:val="005A4724"/>
    <w:rsid w:val="005A52FA"/>
    <w:rsid w:val="005A5311"/>
    <w:rsid w:val="005A604D"/>
    <w:rsid w:val="005A69CF"/>
    <w:rsid w:val="005A7AA5"/>
    <w:rsid w:val="005B08C5"/>
    <w:rsid w:val="005B3809"/>
    <w:rsid w:val="005B4117"/>
    <w:rsid w:val="005B455F"/>
    <w:rsid w:val="005B4653"/>
    <w:rsid w:val="005C18D3"/>
    <w:rsid w:val="005C2218"/>
    <w:rsid w:val="005C2E1D"/>
    <w:rsid w:val="005C5137"/>
    <w:rsid w:val="005C6196"/>
    <w:rsid w:val="005C661C"/>
    <w:rsid w:val="005D0400"/>
    <w:rsid w:val="005D14DB"/>
    <w:rsid w:val="005D15CA"/>
    <w:rsid w:val="005D1974"/>
    <w:rsid w:val="005D2167"/>
    <w:rsid w:val="005D2FBA"/>
    <w:rsid w:val="005D5F4A"/>
    <w:rsid w:val="005D5F9F"/>
    <w:rsid w:val="005D62D7"/>
    <w:rsid w:val="005D6672"/>
    <w:rsid w:val="005D6ACA"/>
    <w:rsid w:val="005D6ECF"/>
    <w:rsid w:val="005E27A5"/>
    <w:rsid w:val="005E3717"/>
    <w:rsid w:val="005E6662"/>
    <w:rsid w:val="005F0139"/>
    <w:rsid w:val="005F05CA"/>
    <w:rsid w:val="005F17E3"/>
    <w:rsid w:val="005F1FA6"/>
    <w:rsid w:val="005F2CEA"/>
    <w:rsid w:val="005F56F6"/>
    <w:rsid w:val="005F5BC6"/>
    <w:rsid w:val="005F789F"/>
    <w:rsid w:val="005F7C1D"/>
    <w:rsid w:val="005F7C5F"/>
    <w:rsid w:val="006011B7"/>
    <w:rsid w:val="00601452"/>
    <w:rsid w:val="00601760"/>
    <w:rsid w:val="0060216C"/>
    <w:rsid w:val="00602834"/>
    <w:rsid w:val="00604208"/>
    <w:rsid w:val="0060488E"/>
    <w:rsid w:val="0060538B"/>
    <w:rsid w:val="00605827"/>
    <w:rsid w:val="00605911"/>
    <w:rsid w:val="00610F5E"/>
    <w:rsid w:val="006110D2"/>
    <w:rsid w:val="00611149"/>
    <w:rsid w:val="00611BB9"/>
    <w:rsid w:val="006122B0"/>
    <w:rsid w:val="00613300"/>
    <w:rsid w:val="00613BA9"/>
    <w:rsid w:val="00613E42"/>
    <w:rsid w:val="00614CE7"/>
    <w:rsid w:val="0061512C"/>
    <w:rsid w:val="00615C44"/>
    <w:rsid w:val="00616031"/>
    <w:rsid w:val="00616242"/>
    <w:rsid w:val="00620646"/>
    <w:rsid w:val="00622A1F"/>
    <w:rsid w:val="0062308E"/>
    <w:rsid w:val="0062482E"/>
    <w:rsid w:val="00625110"/>
    <w:rsid w:val="00625684"/>
    <w:rsid w:val="00625CF5"/>
    <w:rsid w:val="00625E53"/>
    <w:rsid w:val="00626E49"/>
    <w:rsid w:val="00630F4C"/>
    <w:rsid w:val="00631652"/>
    <w:rsid w:val="00632394"/>
    <w:rsid w:val="00632789"/>
    <w:rsid w:val="00632A21"/>
    <w:rsid w:val="00632DC9"/>
    <w:rsid w:val="00633E2C"/>
    <w:rsid w:val="00634C5F"/>
    <w:rsid w:val="00635727"/>
    <w:rsid w:val="00636DC6"/>
    <w:rsid w:val="00637374"/>
    <w:rsid w:val="00637E0D"/>
    <w:rsid w:val="006403D3"/>
    <w:rsid w:val="006406DC"/>
    <w:rsid w:val="00640A9C"/>
    <w:rsid w:val="006420AE"/>
    <w:rsid w:val="006421E1"/>
    <w:rsid w:val="00642434"/>
    <w:rsid w:val="00644C6C"/>
    <w:rsid w:val="00646050"/>
    <w:rsid w:val="00646F8C"/>
    <w:rsid w:val="00647091"/>
    <w:rsid w:val="00647494"/>
    <w:rsid w:val="00647696"/>
    <w:rsid w:val="00650BD2"/>
    <w:rsid w:val="00650EEF"/>
    <w:rsid w:val="00652B9E"/>
    <w:rsid w:val="00653957"/>
    <w:rsid w:val="00653990"/>
    <w:rsid w:val="00653DA1"/>
    <w:rsid w:val="00655967"/>
    <w:rsid w:val="00655E65"/>
    <w:rsid w:val="00656263"/>
    <w:rsid w:val="00656F23"/>
    <w:rsid w:val="00656FA2"/>
    <w:rsid w:val="00657A7D"/>
    <w:rsid w:val="006612E6"/>
    <w:rsid w:val="00663706"/>
    <w:rsid w:val="006639D1"/>
    <w:rsid w:val="00663D0D"/>
    <w:rsid w:val="00665123"/>
    <w:rsid w:val="00665AE5"/>
    <w:rsid w:val="00665D3C"/>
    <w:rsid w:val="00666046"/>
    <w:rsid w:val="00666665"/>
    <w:rsid w:val="00666E8C"/>
    <w:rsid w:val="006713CA"/>
    <w:rsid w:val="00671451"/>
    <w:rsid w:val="00671B68"/>
    <w:rsid w:val="00671BF4"/>
    <w:rsid w:val="00671D4D"/>
    <w:rsid w:val="0067204D"/>
    <w:rsid w:val="00672484"/>
    <w:rsid w:val="006727FF"/>
    <w:rsid w:val="0067382D"/>
    <w:rsid w:val="00674132"/>
    <w:rsid w:val="0067471F"/>
    <w:rsid w:val="00676AD7"/>
    <w:rsid w:val="00676C5C"/>
    <w:rsid w:val="0067715C"/>
    <w:rsid w:val="00680893"/>
    <w:rsid w:val="006810FB"/>
    <w:rsid w:val="00681100"/>
    <w:rsid w:val="00681541"/>
    <w:rsid w:val="0068254F"/>
    <w:rsid w:val="00682BEB"/>
    <w:rsid w:val="00682EC1"/>
    <w:rsid w:val="006834E9"/>
    <w:rsid w:val="0068589E"/>
    <w:rsid w:val="0068593E"/>
    <w:rsid w:val="00685DC3"/>
    <w:rsid w:val="00685ECD"/>
    <w:rsid w:val="00687E67"/>
    <w:rsid w:val="00691543"/>
    <w:rsid w:val="00692DD9"/>
    <w:rsid w:val="00693273"/>
    <w:rsid w:val="00693CD0"/>
    <w:rsid w:val="006951F4"/>
    <w:rsid w:val="0069521E"/>
    <w:rsid w:val="00695558"/>
    <w:rsid w:val="00695F90"/>
    <w:rsid w:val="006963A6"/>
    <w:rsid w:val="00696C5C"/>
    <w:rsid w:val="006A054C"/>
    <w:rsid w:val="006A21FC"/>
    <w:rsid w:val="006A26C8"/>
    <w:rsid w:val="006A35AB"/>
    <w:rsid w:val="006A36C2"/>
    <w:rsid w:val="006A3D08"/>
    <w:rsid w:val="006A515E"/>
    <w:rsid w:val="006A6DEE"/>
    <w:rsid w:val="006A75B7"/>
    <w:rsid w:val="006A7818"/>
    <w:rsid w:val="006B13EB"/>
    <w:rsid w:val="006B1549"/>
    <w:rsid w:val="006B1993"/>
    <w:rsid w:val="006B39FE"/>
    <w:rsid w:val="006B4D5B"/>
    <w:rsid w:val="006B5631"/>
    <w:rsid w:val="006B56C8"/>
    <w:rsid w:val="006B60D6"/>
    <w:rsid w:val="006B6D3D"/>
    <w:rsid w:val="006B72E6"/>
    <w:rsid w:val="006B72FE"/>
    <w:rsid w:val="006C0558"/>
    <w:rsid w:val="006C1714"/>
    <w:rsid w:val="006C2FC2"/>
    <w:rsid w:val="006C48A5"/>
    <w:rsid w:val="006C506F"/>
    <w:rsid w:val="006C50B9"/>
    <w:rsid w:val="006C5849"/>
    <w:rsid w:val="006C5884"/>
    <w:rsid w:val="006C7258"/>
    <w:rsid w:val="006D097A"/>
    <w:rsid w:val="006D16ED"/>
    <w:rsid w:val="006D27CE"/>
    <w:rsid w:val="006D2F7E"/>
    <w:rsid w:val="006D3545"/>
    <w:rsid w:val="006D42A3"/>
    <w:rsid w:val="006D4597"/>
    <w:rsid w:val="006D5E0F"/>
    <w:rsid w:val="006D6442"/>
    <w:rsid w:val="006D6D20"/>
    <w:rsid w:val="006D73D1"/>
    <w:rsid w:val="006D7572"/>
    <w:rsid w:val="006D78CB"/>
    <w:rsid w:val="006E0D29"/>
    <w:rsid w:val="006E16BC"/>
    <w:rsid w:val="006E1B26"/>
    <w:rsid w:val="006E1C8E"/>
    <w:rsid w:val="006E316F"/>
    <w:rsid w:val="006E33FF"/>
    <w:rsid w:val="006E4F16"/>
    <w:rsid w:val="006E5D65"/>
    <w:rsid w:val="006E625B"/>
    <w:rsid w:val="006F069E"/>
    <w:rsid w:val="006F08C2"/>
    <w:rsid w:val="006F0952"/>
    <w:rsid w:val="006F11A4"/>
    <w:rsid w:val="006F1273"/>
    <w:rsid w:val="006F15CB"/>
    <w:rsid w:val="006F16EA"/>
    <w:rsid w:val="006F1B10"/>
    <w:rsid w:val="006F20DB"/>
    <w:rsid w:val="006F39FC"/>
    <w:rsid w:val="006F44A5"/>
    <w:rsid w:val="006F47D7"/>
    <w:rsid w:val="006F5180"/>
    <w:rsid w:val="006F5BEA"/>
    <w:rsid w:val="006F6107"/>
    <w:rsid w:val="006F68D5"/>
    <w:rsid w:val="006F6A32"/>
    <w:rsid w:val="00700475"/>
    <w:rsid w:val="00700BB2"/>
    <w:rsid w:val="00701B3C"/>
    <w:rsid w:val="00701F45"/>
    <w:rsid w:val="00704440"/>
    <w:rsid w:val="00704C28"/>
    <w:rsid w:val="0070531D"/>
    <w:rsid w:val="00705367"/>
    <w:rsid w:val="007058FB"/>
    <w:rsid w:val="00705D62"/>
    <w:rsid w:val="007074DA"/>
    <w:rsid w:val="007100FD"/>
    <w:rsid w:val="007132D0"/>
    <w:rsid w:val="007142B1"/>
    <w:rsid w:val="00714C22"/>
    <w:rsid w:val="0071562D"/>
    <w:rsid w:val="00716F8C"/>
    <w:rsid w:val="00717DEC"/>
    <w:rsid w:val="00717E66"/>
    <w:rsid w:val="00720F69"/>
    <w:rsid w:val="007218EE"/>
    <w:rsid w:val="0072314A"/>
    <w:rsid w:val="00724A72"/>
    <w:rsid w:val="0072556F"/>
    <w:rsid w:val="00725BC6"/>
    <w:rsid w:val="007269CB"/>
    <w:rsid w:val="007270CB"/>
    <w:rsid w:val="00730F1C"/>
    <w:rsid w:val="0073198F"/>
    <w:rsid w:val="00731A3D"/>
    <w:rsid w:val="00733C05"/>
    <w:rsid w:val="007349E5"/>
    <w:rsid w:val="00734A81"/>
    <w:rsid w:val="00740CEB"/>
    <w:rsid w:val="0074170F"/>
    <w:rsid w:val="00741B4A"/>
    <w:rsid w:val="00742C0B"/>
    <w:rsid w:val="00743D04"/>
    <w:rsid w:val="00744A9C"/>
    <w:rsid w:val="007451CF"/>
    <w:rsid w:val="00745B1E"/>
    <w:rsid w:val="00746A09"/>
    <w:rsid w:val="007472EB"/>
    <w:rsid w:val="0074768E"/>
    <w:rsid w:val="00747BC4"/>
    <w:rsid w:val="00747D22"/>
    <w:rsid w:val="00750103"/>
    <w:rsid w:val="00750468"/>
    <w:rsid w:val="00753536"/>
    <w:rsid w:val="007538A0"/>
    <w:rsid w:val="00754ACC"/>
    <w:rsid w:val="00756C0A"/>
    <w:rsid w:val="007572F6"/>
    <w:rsid w:val="00757A7A"/>
    <w:rsid w:val="007619E7"/>
    <w:rsid w:val="00761F68"/>
    <w:rsid w:val="007621E9"/>
    <w:rsid w:val="00763A17"/>
    <w:rsid w:val="00763D29"/>
    <w:rsid w:val="007649A1"/>
    <w:rsid w:val="00764B38"/>
    <w:rsid w:val="00764BCB"/>
    <w:rsid w:val="00764DDD"/>
    <w:rsid w:val="00765942"/>
    <w:rsid w:val="00766417"/>
    <w:rsid w:val="00766EC9"/>
    <w:rsid w:val="0076789E"/>
    <w:rsid w:val="007710CE"/>
    <w:rsid w:val="00771CB8"/>
    <w:rsid w:val="00772395"/>
    <w:rsid w:val="00772D88"/>
    <w:rsid w:val="00773A99"/>
    <w:rsid w:val="007742AF"/>
    <w:rsid w:val="0077624A"/>
    <w:rsid w:val="00777A2C"/>
    <w:rsid w:val="00777AB7"/>
    <w:rsid w:val="00780492"/>
    <w:rsid w:val="0078068D"/>
    <w:rsid w:val="0078193F"/>
    <w:rsid w:val="0078272D"/>
    <w:rsid w:val="00782BCB"/>
    <w:rsid w:val="00785905"/>
    <w:rsid w:val="007861A1"/>
    <w:rsid w:val="00786286"/>
    <w:rsid w:val="00786876"/>
    <w:rsid w:val="00786A81"/>
    <w:rsid w:val="00786B27"/>
    <w:rsid w:val="0078718B"/>
    <w:rsid w:val="00787395"/>
    <w:rsid w:val="00790E5C"/>
    <w:rsid w:val="00791305"/>
    <w:rsid w:val="00792EE3"/>
    <w:rsid w:val="007932CA"/>
    <w:rsid w:val="0079439C"/>
    <w:rsid w:val="007955E5"/>
    <w:rsid w:val="007963FB"/>
    <w:rsid w:val="00797A88"/>
    <w:rsid w:val="007A03DB"/>
    <w:rsid w:val="007A10E7"/>
    <w:rsid w:val="007A182D"/>
    <w:rsid w:val="007A19CB"/>
    <w:rsid w:val="007A288C"/>
    <w:rsid w:val="007A3ACC"/>
    <w:rsid w:val="007A3D5F"/>
    <w:rsid w:val="007A5332"/>
    <w:rsid w:val="007A54CC"/>
    <w:rsid w:val="007A58B3"/>
    <w:rsid w:val="007A6204"/>
    <w:rsid w:val="007A6AEF"/>
    <w:rsid w:val="007A6B79"/>
    <w:rsid w:val="007A6D72"/>
    <w:rsid w:val="007A6DCC"/>
    <w:rsid w:val="007A70F1"/>
    <w:rsid w:val="007A76B3"/>
    <w:rsid w:val="007A7EDA"/>
    <w:rsid w:val="007B05BF"/>
    <w:rsid w:val="007B063A"/>
    <w:rsid w:val="007B0A0F"/>
    <w:rsid w:val="007B1E67"/>
    <w:rsid w:val="007B2854"/>
    <w:rsid w:val="007B2935"/>
    <w:rsid w:val="007B2BA9"/>
    <w:rsid w:val="007B3244"/>
    <w:rsid w:val="007B4305"/>
    <w:rsid w:val="007B46B3"/>
    <w:rsid w:val="007B4A93"/>
    <w:rsid w:val="007B532B"/>
    <w:rsid w:val="007B5D1A"/>
    <w:rsid w:val="007B6A58"/>
    <w:rsid w:val="007B7CE9"/>
    <w:rsid w:val="007C05E6"/>
    <w:rsid w:val="007C0877"/>
    <w:rsid w:val="007C2D7B"/>
    <w:rsid w:val="007C4C0E"/>
    <w:rsid w:val="007C577B"/>
    <w:rsid w:val="007C7C64"/>
    <w:rsid w:val="007D025B"/>
    <w:rsid w:val="007D0A29"/>
    <w:rsid w:val="007D1613"/>
    <w:rsid w:val="007D3B96"/>
    <w:rsid w:val="007D3E78"/>
    <w:rsid w:val="007D411D"/>
    <w:rsid w:val="007D5529"/>
    <w:rsid w:val="007D630A"/>
    <w:rsid w:val="007D70C7"/>
    <w:rsid w:val="007D7E36"/>
    <w:rsid w:val="007D7F84"/>
    <w:rsid w:val="007E01E1"/>
    <w:rsid w:val="007E0ACE"/>
    <w:rsid w:val="007E0E63"/>
    <w:rsid w:val="007E1674"/>
    <w:rsid w:val="007E2A4C"/>
    <w:rsid w:val="007E2E0A"/>
    <w:rsid w:val="007E2FC5"/>
    <w:rsid w:val="007E4653"/>
    <w:rsid w:val="007E5FC9"/>
    <w:rsid w:val="007E6534"/>
    <w:rsid w:val="007E6E55"/>
    <w:rsid w:val="007E760F"/>
    <w:rsid w:val="007E7E90"/>
    <w:rsid w:val="007F2273"/>
    <w:rsid w:val="007F3298"/>
    <w:rsid w:val="007F3B06"/>
    <w:rsid w:val="007F48B8"/>
    <w:rsid w:val="007F5626"/>
    <w:rsid w:val="007F6E49"/>
    <w:rsid w:val="007F756D"/>
    <w:rsid w:val="007F794E"/>
    <w:rsid w:val="008007E0"/>
    <w:rsid w:val="00801431"/>
    <w:rsid w:val="0080329E"/>
    <w:rsid w:val="0080449C"/>
    <w:rsid w:val="00804E96"/>
    <w:rsid w:val="00805253"/>
    <w:rsid w:val="0080643B"/>
    <w:rsid w:val="008075AF"/>
    <w:rsid w:val="00810B6D"/>
    <w:rsid w:val="00811210"/>
    <w:rsid w:val="0081133C"/>
    <w:rsid w:val="008115E8"/>
    <w:rsid w:val="00811835"/>
    <w:rsid w:val="00811F70"/>
    <w:rsid w:val="008122E0"/>
    <w:rsid w:val="00812419"/>
    <w:rsid w:val="00812C8A"/>
    <w:rsid w:val="00813589"/>
    <w:rsid w:val="00814E79"/>
    <w:rsid w:val="00815953"/>
    <w:rsid w:val="008169B9"/>
    <w:rsid w:val="008172A6"/>
    <w:rsid w:val="008229B7"/>
    <w:rsid w:val="00825FA6"/>
    <w:rsid w:val="0082682C"/>
    <w:rsid w:val="0082712D"/>
    <w:rsid w:val="008303CE"/>
    <w:rsid w:val="00830AB3"/>
    <w:rsid w:val="00832292"/>
    <w:rsid w:val="00832858"/>
    <w:rsid w:val="00832FCF"/>
    <w:rsid w:val="008339CC"/>
    <w:rsid w:val="00833B8F"/>
    <w:rsid w:val="00833CD8"/>
    <w:rsid w:val="008340CF"/>
    <w:rsid w:val="00834294"/>
    <w:rsid w:val="00834685"/>
    <w:rsid w:val="00835C98"/>
    <w:rsid w:val="00835D9F"/>
    <w:rsid w:val="00836027"/>
    <w:rsid w:val="008366AC"/>
    <w:rsid w:val="00837950"/>
    <w:rsid w:val="008401F9"/>
    <w:rsid w:val="00840B36"/>
    <w:rsid w:val="00840C4E"/>
    <w:rsid w:val="00841AE9"/>
    <w:rsid w:val="00841C47"/>
    <w:rsid w:val="00842323"/>
    <w:rsid w:val="00842426"/>
    <w:rsid w:val="00842455"/>
    <w:rsid w:val="00843CFC"/>
    <w:rsid w:val="00843E18"/>
    <w:rsid w:val="00845F38"/>
    <w:rsid w:val="00847173"/>
    <w:rsid w:val="008475C7"/>
    <w:rsid w:val="0085215F"/>
    <w:rsid w:val="008535A6"/>
    <w:rsid w:val="008546E0"/>
    <w:rsid w:val="00854A62"/>
    <w:rsid w:val="00854FC3"/>
    <w:rsid w:val="00855DC5"/>
    <w:rsid w:val="008562E5"/>
    <w:rsid w:val="00856B1D"/>
    <w:rsid w:val="00857628"/>
    <w:rsid w:val="00861351"/>
    <w:rsid w:val="0086177D"/>
    <w:rsid w:val="008617B1"/>
    <w:rsid w:val="00861833"/>
    <w:rsid w:val="00861A5D"/>
    <w:rsid w:val="00861BA2"/>
    <w:rsid w:val="008627D7"/>
    <w:rsid w:val="00862D18"/>
    <w:rsid w:val="00864953"/>
    <w:rsid w:val="00864F97"/>
    <w:rsid w:val="00866543"/>
    <w:rsid w:val="00866A7E"/>
    <w:rsid w:val="0087064A"/>
    <w:rsid w:val="00870743"/>
    <w:rsid w:val="00871EE0"/>
    <w:rsid w:val="00873EE5"/>
    <w:rsid w:val="00873F72"/>
    <w:rsid w:val="00874354"/>
    <w:rsid w:val="00874D59"/>
    <w:rsid w:val="00874E72"/>
    <w:rsid w:val="0087613C"/>
    <w:rsid w:val="008763A0"/>
    <w:rsid w:val="008777C3"/>
    <w:rsid w:val="0088292B"/>
    <w:rsid w:val="00883C76"/>
    <w:rsid w:val="0088475E"/>
    <w:rsid w:val="00885F58"/>
    <w:rsid w:val="00886C08"/>
    <w:rsid w:val="00887946"/>
    <w:rsid w:val="008906F6"/>
    <w:rsid w:val="00890A38"/>
    <w:rsid w:val="008919B0"/>
    <w:rsid w:val="00891F69"/>
    <w:rsid w:val="00892845"/>
    <w:rsid w:val="00892D62"/>
    <w:rsid w:val="008951D0"/>
    <w:rsid w:val="00895368"/>
    <w:rsid w:val="008956E9"/>
    <w:rsid w:val="008958BA"/>
    <w:rsid w:val="00895C8B"/>
    <w:rsid w:val="008968E0"/>
    <w:rsid w:val="00896EB1"/>
    <w:rsid w:val="008A102F"/>
    <w:rsid w:val="008A2102"/>
    <w:rsid w:val="008A2678"/>
    <w:rsid w:val="008A370C"/>
    <w:rsid w:val="008A408D"/>
    <w:rsid w:val="008A462C"/>
    <w:rsid w:val="008A5640"/>
    <w:rsid w:val="008A5E5F"/>
    <w:rsid w:val="008A72C8"/>
    <w:rsid w:val="008A74E2"/>
    <w:rsid w:val="008A7E6E"/>
    <w:rsid w:val="008B06D5"/>
    <w:rsid w:val="008B0A56"/>
    <w:rsid w:val="008B10DD"/>
    <w:rsid w:val="008B1592"/>
    <w:rsid w:val="008B20C2"/>
    <w:rsid w:val="008B231D"/>
    <w:rsid w:val="008B2843"/>
    <w:rsid w:val="008B2CC1"/>
    <w:rsid w:val="008B2DAC"/>
    <w:rsid w:val="008B2F57"/>
    <w:rsid w:val="008B4B5E"/>
    <w:rsid w:val="008B5024"/>
    <w:rsid w:val="008B5F84"/>
    <w:rsid w:val="008B60B2"/>
    <w:rsid w:val="008B7006"/>
    <w:rsid w:val="008C0C52"/>
    <w:rsid w:val="008C1128"/>
    <w:rsid w:val="008C14FC"/>
    <w:rsid w:val="008C241F"/>
    <w:rsid w:val="008C2938"/>
    <w:rsid w:val="008C29B1"/>
    <w:rsid w:val="008C2D51"/>
    <w:rsid w:val="008C438E"/>
    <w:rsid w:val="008C4BB3"/>
    <w:rsid w:val="008C5764"/>
    <w:rsid w:val="008C58D5"/>
    <w:rsid w:val="008C5AD1"/>
    <w:rsid w:val="008C5F7B"/>
    <w:rsid w:val="008C7428"/>
    <w:rsid w:val="008D1CA6"/>
    <w:rsid w:val="008D2BCB"/>
    <w:rsid w:val="008D3746"/>
    <w:rsid w:val="008D37DA"/>
    <w:rsid w:val="008D46EC"/>
    <w:rsid w:val="008D6063"/>
    <w:rsid w:val="008D7604"/>
    <w:rsid w:val="008E1D76"/>
    <w:rsid w:val="008E20DB"/>
    <w:rsid w:val="008E359C"/>
    <w:rsid w:val="008E3882"/>
    <w:rsid w:val="008E3FA3"/>
    <w:rsid w:val="008E43FE"/>
    <w:rsid w:val="008E4EE6"/>
    <w:rsid w:val="008E5743"/>
    <w:rsid w:val="008E5975"/>
    <w:rsid w:val="008E59B0"/>
    <w:rsid w:val="008E738A"/>
    <w:rsid w:val="008F07C9"/>
    <w:rsid w:val="008F104E"/>
    <w:rsid w:val="008F3D02"/>
    <w:rsid w:val="008F3DE2"/>
    <w:rsid w:val="008F54C4"/>
    <w:rsid w:val="008F62D4"/>
    <w:rsid w:val="008F65B5"/>
    <w:rsid w:val="008F6F60"/>
    <w:rsid w:val="008F7A87"/>
    <w:rsid w:val="00901D15"/>
    <w:rsid w:val="009036B1"/>
    <w:rsid w:val="009038F5"/>
    <w:rsid w:val="00903B2E"/>
    <w:rsid w:val="00905854"/>
    <w:rsid w:val="00905F3A"/>
    <w:rsid w:val="009067EF"/>
    <w:rsid w:val="00906F96"/>
    <w:rsid w:val="0090704A"/>
    <w:rsid w:val="0090731E"/>
    <w:rsid w:val="009073D3"/>
    <w:rsid w:val="00910A8F"/>
    <w:rsid w:val="00911129"/>
    <w:rsid w:val="009111E4"/>
    <w:rsid w:val="00911379"/>
    <w:rsid w:val="00911AF3"/>
    <w:rsid w:val="009132DA"/>
    <w:rsid w:val="009133BD"/>
    <w:rsid w:val="00914788"/>
    <w:rsid w:val="009151C0"/>
    <w:rsid w:val="00915FDD"/>
    <w:rsid w:val="009163EA"/>
    <w:rsid w:val="009167F0"/>
    <w:rsid w:val="0091696E"/>
    <w:rsid w:val="00916EE2"/>
    <w:rsid w:val="00917B8B"/>
    <w:rsid w:val="00920A9A"/>
    <w:rsid w:val="00920F0E"/>
    <w:rsid w:val="00920FDC"/>
    <w:rsid w:val="0092198D"/>
    <w:rsid w:val="00922ABB"/>
    <w:rsid w:val="00922F89"/>
    <w:rsid w:val="00923FCF"/>
    <w:rsid w:val="00924B7B"/>
    <w:rsid w:val="00925500"/>
    <w:rsid w:val="00925ADB"/>
    <w:rsid w:val="00926158"/>
    <w:rsid w:val="00927F92"/>
    <w:rsid w:val="009305DE"/>
    <w:rsid w:val="009319E6"/>
    <w:rsid w:val="00931A8E"/>
    <w:rsid w:val="009321C3"/>
    <w:rsid w:val="009326D7"/>
    <w:rsid w:val="009328FC"/>
    <w:rsid w:val="00933922"/>
    <w:rsid w:val="00933C6F"/>
    <w:rsid w:val="0093627A"/>
    <w:rsid w:val="00936DD8"/>
    <w:rsid w:val="009372E4"/>
    <w:rsid w:val="00937802"/>
    <w:rsid w:val="00937987"/>
    <w:rsid w:val="00937C33"/>
    <w:rsid w:val="00942166"/>
    <w:rsid w:val="00942C8B"/>
    <w:rsid w:val="009447C4"/>
    <w:rsid w:val="009455B4"/>
    <w:rsid w:val="00945E44"/>
    <w:rsid w:val="0094671E"/>
    <w:rsid w:val="009473C1"/>
    <w:rsid w:val="009479A1"/>
    <w:rsid w:val="00947B54"/>
    <w:rsid w:val="009519F7"/>
    <w:rsid w:val="0095271B"/>
    <w:rsid w:val="009527BF"/>
    <w:rsid w:val="00953EE3"/>
    <w:rsid w:val="00954C4D"/>
    <w:rsid w:val="00956D23"/>
    <w:rsid w:val="00956F97"/>
    <w:rsid w:val="0095730D"/>
    <w:rsid w:val="00957B44"/>
    <w:rsid w:val="00963220"/>
    <w:rsid w:val="009669AB"/>
    <w:rsid w:val="00966A22"/>
    <w:rsid w:val="00966E30"/>
    <w:rsid w:val="0096722F"/>
    <w:rsid w:val="0096756B"/>
    <w:rsid w:val="00971665"/>
    <w:rsid w:val="00974C90"/>
    <w:rsid w:val="00975B2B"/>
    <w:rsid w:val="00976200"/>
    <w:rsid w:val="009766AE"/>
    <w:rsid w:val="009766BD"/>
    <w:rsid w:val="009779DB"/>
    <w:rsid w:val="00977CB9"/>
    <w:rsid w:val="00977D69"/>
    <w:rsid w:val="00977DD4"/>
    <w:rsid w:val="00980843"/>
    <w:rsid w:val="00980CDA"/>
    <w:rsid w:val="0098103A"/>
    <w:rsid w:val="00981478"/>
    <w:rsid w:val="00982DC5"/>
    <w:rsid w:val="00984345"/>
    <w:rsid w:val="00984979"/>
    <w:rsid w:val="009855AD"/>
    <w:rsid w:val="00985624"/>
    <w:rsid w:val="0098601D"/>
    <w:rsid w:val="009866D9"/>
    <w:rsid w:val="00986C65"/>
    <w:rsid w:val="00987908"/>
    <w:rsid w:val="00987EFA"/>
    <w:rsid w:val="00990ED5"/>
    <w:rsid w:val="00991669"/>
    <w:rsid w:val="009921DD"/>
    <w:rsid w:val="00992DD6"/>
    <w:rsid w:val="00993026"/>
    <w:rsid w:val="0099427A"/>
    <w:rsid w:val="0099470C"/>
    <w:rsid w:val="00994F17"/>
    <w:rsid w:val="00994F7D"/>
    <w:rsid w:val="00995424"/>
    <w:rsid w:val="00995DCD"/>
    <w:rsid w:val="00996977"/>
    <w:rsid w:val="00997D6F"/>
    <w:rsid w:val="009A0438"/>
    <w:rsid w:val="009A121E"/>
    <w:rsid w:val="009A1426"/>
    <w:rsid w:val="009A20C3"/>
    <w:rsid w:val="009A565C"/>
    <w:rsid w:val="009A6D29"/>
    <w:rsid w:val="009A70D4"/>
    <w:rsid w:val="009B0A14"/>
    <w:rsid w:val="009B1E26"/>
    <w:rsid w:val="009B1E40"/>
    <w:rsid w:val="009B32D9"/>
    <w:rsid w:val="009B4759"/>
    <w:rsid w:val="009B4894"/>
    <w:rsid w:val="009B4EEB"/>
    <w:rsid w:val="009B56F8"/>
    <w:rsid w:val="009B5BFD"/>
    <w:rsid w:val="009B73E9"/>
    <w:rsid w:val="009C1C5A"/>
    <w:rsid w:val="009C1EF3"/>
    <w:rsid w:val="009C4FCE"/>
    <w:rsid w:val="009C5356"/>
    <w:rsid w:val="009C5BC6"/>
    <w:rsid w:val="009C6507"/>
    <w:rsid w:val="009C7251"/>
    <w:rsid w:val="009D03F5"/>
    <w:rsid w:val="009D0453"/>
    <w:rsid w:val="009D0A87"/>
    <w:rsid w:val="009D205E"/>
    <w:rsid w:val="009D2CBE"/>
    <w:rsid w:val="009D2D32"/>
    <w:rsid w:val="009D3300"/>
    <w:rsid w:val="009D39D2"/>
    <w:rsid w:val="009D55B3"/>
    <w:rsid w:val="009D5BB5"/>
    <w:rsid w:val="009D5F55"/>
    <w:rsid w:val="009D7150"/>
    <w:rsid w:val="009D7651"/>
    <w:rsid w:val="009D7E0E"/>
    <w:rsid w:val="009E1AF7"/>
    <w:rsid w:val="009E2791"/>
    <w:rsid w:val="009E2906"/>
    <w:rsid w:val="009E36F0"/>
    <w:rsid w:val="009E3BC1"/>
    <w:rsid w:val="009E3F6F"/>
    <w:rsid w:val="009E3FF2"/>
    <w:rsid w:val="009E53DB"/>
    <w:rsid w:val="009E6D31"/>
    <w:rsid w:val="009F02E6"/>
    <w:rsid w:val="009F060A"/>
    <w:rsid w:val="009F1537"/>
    <w:rsid w:val="009F1551"/>
    <w:rsid w:val="009F218A"/>
    <w:rsid w:val="009F24DE"/>
    <w:rsid w:val="009F2901"/>
    <w:rsid w:val="009F2BC9"/>
    <w:rsid w:val="009F3307"/>
    <w:rsid w:val="009F3BF9"/>
    <w:rsid w:val="009F499F"/>
    <w:rsid w:val="009F69FE"/>
    <w:rsid w:val="009F7085"/>
    <w:rsid w:val="009F7D79"/>
    <w:rsid w:val="009F7D92"/>
    <w:rsid w:val="00A003DB"/>
    <w:rsid w:val="00A01E68"/>
    <w:rsid w:val="00A03909"/>
    <w:rsid w:val="00A03A1A"/>
    <w:rsid w:val="00A03A4E"/>
    <w:rsid w:val="00A04CF8"/>
    <w:rsid w:val="00A0563A"/>
    <w:rsid w:val="00A06471"/>
    <w:rsid w:val="00A064ED"/>
    <w:rsid w:val="00A06C6C"/>
    <w:rsid w:val="00A07295"/>
    <w:rsid w:val="00A07D28"/>
    <w:rsid w:val="00A10D20"/>
    <w:rsid w:val="00A11C6D"/>
    <w:rsid w:val="00A12C37"/>
    <w:rsid w:val="00A13456"/>
    <w:rsid w:val="00A15BFB"/>
    <w:rsid w:val="00A15E5D"/>
    <w:rsid w:val="00A16643"/>
    <w:rsid w:val="00A168BE"/>
    <w:rsid w:val="00A16BE4"/>
    <w:rsid w:val="00A1718E"/>
    <w:rsid w:val="00A17DA8"/>
    <w:rsid w:val="00A20B5F"/>
    <w:rsid w:val="00A21274"/>
    <w:rsid w:val="00A21292"/>
    <w:rsid w:val="00A21464"/>
    <w:rsid w:val="00A21FA6"/>
    <w:rsid w:val="00A22115"/>
    <w:rsid w:val="00A23B8C"/>
    <w:rsid w:val="00A23E00"/>
    <w:rsid w:val="00A248DF"/>
    <w:rsid w:val="00A25486"/>
    <w:rsid w:val="00A259B4"/>
    <w:rsid w:val="00A25CB4"/>
    <w:rsid w:val="00A265C7"/>
    <w:rsid w:val="00A2689C"/>
    <w:rsid w:val="00A26E83"/>
    <w:rsid w:val="00A30658"/>
    <w:rsid w:val="00A308D1"/>
    <w:rsid w:val="00A3121A"/>
    <w:rsid w:val="00A31772"/>
    <w:rsid w:val="00A31F78"/>
    <w:rsid w:val="00A32A8D"/>
    <w:rsid w:val="00A33027"/>
    <w:rsid w:val="00A36A38"/>
    <w:rsid w:val="00A36EC9"/>
    <w:rsid w:val="00A40F7B"/>
    <w:rsid w:val="00A4126D"/>
    <w:rsid w:val="00A42DAF"/>
    <w:rsid w:val="00A42DF6"/>
    <w:rsid w:val="00A43105"/>
    <w:rsid w:val="00A4322E"/>
    <w:rsid w:val="00A44B1E"/>
    <w:rsid w:val="00A45BD8"/>
    <w:rsid w:val="00A46E2A"/>
    <w:rsid w:val="00A475E5"/>
    <w:rsid w:val="00A4765E"/>
    <w:rsid w:val="00A4771F"/>
    <w:rsid w:val="00A47ABB"/>
    <w:rsid w:val="00A51186"/>
    <w:rsid w:val="00A514E6"/>
    <w:rsid w:val="00A51A1C"/>
    <w:rsid w:val="00A523CC"/>
    <w:rsid w:val="00A5445A"/>
    <w:rsid w:val="00A5492A"/>
    <w:rsid w:val="00A551E9"/>
    <w:rsid w:val="00A5548C"/>
    <w:rsid w:val="00A5553D"/>
    <w:rsid w:val="00A55A6D"/>
    <w:rsid w:val="00A56D4D"/>
    <w:rsid w:val="00A57DEA"/>
    <w:rsid w:val="00A6017E"/>
    <w:rsid w:val="00A60382"/>
    <w:rsid w:val="00A60C68"/>
    <w:rsid w:val="00A614C1"/>
    <w:rsid w:val="00A62505"/>
    <w:rsid w:val="00A62897"/>
    <w:rsid w:val="00A62B9C"/>
    <w:rsid w:val="00A630C2"/>
    <w:rsid w:val="00A634A6"/>
    <w:rsid w:val="00A639DC"/>
    <w:rsid w:val="00A650B3"/>
    <w:rsid w:val="00A655A4"/>
    <w:rsid w:val="00A67A89"/>
    <w:rsid w:val="00A70435"/>
    <w:rsid w:val="00A70824"/>
    <w:rsid w:val="00A70F56"/>
    <w:rsid w:val="00A71003"/>
    <w:rsid w:val="00A711C0"/>
    <w:rsid w:val="00A71D9D"/>
    <w:rsid w:val="00A737C3"/>
    <w:rsid w:val="00A73FA6"/>
    <w:rsid w:val="00A74821"/>
    <w:rsid w:val="00A7547F"/>
    <w:rsid w:val="00A75A84"/>
    <w:rsid w:val="00A75FBB"/>
    <w:rsid w:val="00A77003"/>
    <w:rsid w:val="00A77470"/>
    <w:rsid w:val="00A778BF"/>
    <w:rsid w:val="00A81CFF"/>
    <w:rsid w:val="00A81D52"/>
    <w:rsid w:val="00A82361"/>
    <w:rsid w:val="00A83238"/>
    <w:rsid w:val="00A840AA"/>
    <w:rsid w:val="00A84260"/>
    <w:rsid w:val="00A8466F"/>
    <w:rsid w:val="00A85B8E"/>
    <w:rsid w:val="00A86ED4"/>
    <w:rsid w:val="00A9118E"/>
    <w:rsid w:val="00A928B0"/>
    <w:rsid w:val="00A92C14"/>
    <w:rsid w:val="00A92CE8"/>
    <w:rsid w:val="00A931F8"/>
    <w:rsid w:val="00A93278"/>
    <w:rsid w:val="00A93299"/>
    <w:rsid w:val="00A935BE"/>
    <w:rsid w:val="00A93800"/>
    <w:rsid w:val="00A93BDB"/>
    <w:rsid w:val="00A94482"/>
    <w:rsid w:val="00A96556"/>
    <w:rsid w:val="00A97F36"/>
    <w:rsid w:val="00AA051A"/>
    <w:rsid w:val="00AA0F77"/>
    <w:rsid w:val="00AA1F65"/>
    <w:rsid w:val="00AA2FA7"/>
    <w:rsid w:val="00AA3263"/>
    <w:rsid w:val="00AA350B"/>
    <w:rsid w:val="00AA492C"/>
    <w:rsid w:val="00AA5327"/>
    <w:rsid w:val="00AA54BB"/>
    <w:rsid w:val="00AA559D"/>
    <w:rsid w:val="00AA5801"/>
    <w:rsid w:val="00AA6C1C"/>
    <w:rsid w:val="00AA72D9"/>
    <w:rsid w:val="00AB0F28"/>
    <w:rsid w:val="00AB1195"/>
    <w:rsid w:val="00AB18DD"/>
    <w:rsid w:val="00AB1B39"/>
    <w:rsid w:val="00AB2522"/>
    <w:rsid w:val="00AB29F6"/>
    <w:rsid w:val="00AB2EC7"/>
    <w:rsid w:val="00AB592D"/>
    <w:rsid w:val="00AB60A1"/>
    <w:rsid w:val="00AB62D5"/>
    <w:rsid w:val="00AB650A"/>
    <w:rsid w:val="00AB6FE8"/>
    <w:rsid w:val="00AB72A6"/>
    <w:rsid w:val="00AB7D85"/>
    <w:rsid w:val="00AC205C"/>
    <w:rsid w:val="00AC2162"/>
    <w:rsid w:val="00AC270E"/>
    <w:rsid w:val="00AC2F2F"/>
    <w:rsid w:val="00AC4669"/>
    <w:rsid w:val="00AC5E75"/>
    <w:rsid w:val="00AC7950"/>
    <w:rsid w:val="00AD2A9D"/>
    <w:rsid w:val="00AD2C5C"/>
    <w:rsid w:val="00AD2D0F"/>
    <w:rsid w:val="00AD2FB6"/>
    <w:rsid w:val="00AD327F"/>
    <w:rsid w:val="00AD5922"/>
    <w:rsid w:val="00AD6865"/>
    <w:rsid w:val="00AD6BA5"/>
    <w:rsid w:val="00AE0312"/>
    <w:rsid w:val="00AE0A59"/>
    <w:rsid w:val="00AE0D46"/>
    <w:rsid w:val="00AE1FD1"/>
    <w:rsid w:val="00AE201F"/>
    <w:rsid w:val="00AE20C1"/>
    <w:rsid w:val="00AE246A"/>
    <w:rsid w:val="00AE26AF"/>
    <w:rsid w:val="00AE515C"/>
    <w:rsid w:val="00AE6305"/>
    <w:rsid w:val="00AE69D3"/>
    <w:rsid w:val="00AE6E3E"/>
    <w:rsid w:val="00AE6F5D"/>
    <w:rsid w:val="00AF1BB6"/>
    <w:rsid w:val="00AF23FB"/>
    <w:rsid w:val="00AF5C54"/>
    <w:rsid w:val="00AF5C73"/>
    <w:rsid w:val="00AF5DDB"/>
    <w:rsid w:val="00AF65E4"/>
    <w:rsid w:val="00AF7506"/>
    <w:rsid w:val="00AF78D9"/>
    <w:rsid w:val="00B00A51"/>
    <w:rsid w:val="00B02448"/>
    <w:rsid w:val="00B04E40"/>
    <w:rsid w:val="00B05A69"/>
    <w:rsid w:val="00B075EF"/>
    <w:rsid w:val="00B078B1"/>
    <w:rsid w:val="00B11076"/>
    <w:rsid w:val="00B1190B"/>
    <w:rsid w:val="00B129E5"/>
    <w:rsid w:val="00B12FBF"/>
    <w:rsid w:val="00B132A6"/>
    <w:rsid w:val="00B13CF2"/>
    <w:rsid w:val="00B13FFD"/>
    <w:rsid w:val="00B1429D"/>
    <w:rsid w:val="00B14743"/>
    <w:rsid w:val="00B153ED"/>
    <w:rsid w:val="00B154F8"/>
    <w:rsid w:val="00B164D8"/>
    <w:rsid w:val="00B1679D"/>
    <w:rsid w:val="00B1720D"/>
    <w:rsid w:val="00B177FB"/>
    <w:rsid w:val="00B203C2"/>
    <w:rsid w:val="00B209C9"/>
    <w:rsid w:val="00B21757"/>
    <w:rsid w:val="00B2201A"/>
    <w:rsid w:val="00B234E3"/>
    <w:rsid w:val="00B241B7"/>
    <w:rsid w:val="00B24FAF"/>
    <w:rsid w:val="00B2571D"/>
    <w:rsid w:val="00B259F8"/>
    <w:rsid w:val="00B26628"/>
    <w:rsid w:val="00B2688A"/>
    <w:rsid w:val="00B26A5E"/>
    <w:rsid w:val="00B26E7B"/>
    <w:rsid w:val="00B27DED"/>
    <w:rsid w:val="00B30036"/>
    <w:rsid w:val="00B309AA"/>
    <w:rsid w:val="00B31EB0"/>
    <w:rsid w:val="00B3209A"/>
    <w:rsid w:val="00B32300"/>
    <w:rsid w:val="00B33281"/>
    <w:rsid w:val="00B335CC"/>
    <w:rsid w:val="00B3557E"/>
    <w:rsid w:val="00B40598"/>
    <w:rsid w:val="00B40F1A"/>
    <w:rsid w:val="00B40FF0"/>
    <w:rsid w:val="00B410DA"/>
    <w:rsid w:val="00B419A8"/>
    <w:rsid w:val="00B4262C"/>
    <w:rsid w:val="00B45DBE"/>
    <w:rsid w:val="00B475F6"/>
    <w:rsid w:val="00B47827"/>
    <w:rsid w:val="00B50B99"/>
    <w:rsid w:val="00B51A3A"/>
    <w:rsid w:val="00B536FD"/>
    <w:rsid w:val="00B53731"/>
    <w:rsid w:val="00B53A8D"/>
    <w:rsid w:val="00B541A9"/>
    <w:rsid w:val="00B548A6"/>
    <w:rsid w:val="00B55212"/>
    <w:rsid w:val="00B55ABE"/>
    <w:rsid w:val="00B55CA5"/>
    <w:rsid w:val="00B55F13"/>
    <w:rsid w:val="00B566AB"/>
    <w:rsid w:val="00B56790"/>
    <w:rsid w:val="00B56BD9"/>
    <w:rsid w:val="00B60C80"/>
    <w:rsid w:val="00B61235"/>
    <w:rsid w:val="00B613A3"/>
    <w:rsid w:val="00B613AF"/>
    <w:rsid w:val="00B619F7"/>
    <w:rsid w:val="00B62CD9"/>
    <w:rsid w:val="00B64653"/>
    <w:rsid w:val="00B64809"/>
    <w:rsid w:val="00B64DA8"/>
    <w:rsid w:val="00B650F4"/>
    <w:rsid w:val="00B656A8"/>
    <w:rsid w:val="00B661BA"/>
    <w:rsid w:val="00B6739F"/>
    <w:rsid w:val="00B67D82"/>
    <w:rsid w:val="00B7033B"/>
    <w:rsid w:val="00B7158B"/>
    <w:rsid w:val="00B7217C"/>
    <w:rsid w:val="00B766E4"/>
    <w:rsid w:val="00B76BED"/>
    <w:rsid w:val="00B77679"/>
    <w:rsid w:val="00B80331"/>
    <w:rsid w:val="00B81F1D"/>
    <w:rsid w:val="00B82267"/>
    <w:rsid w:val="00B822A3"/>
    <w:rsid w:val="00B82B51"/>
    <w:rsid w:val="00B83905"/>
    <w:rsid w:val="00B8460A"/>
    <w:rsid w:val="00B84A68"/>
    <w:rsid w:val="00B84CAE"/>
    <w:rsid w:val="00B8584E"/>
    <w:rsid w:val="00B8657F"/>
    <w:rsid w:val="00B86F36"/>
    <w:rsid w:val="00B87862"/>
    <w:rsid w:val="00B91F35"/>
    <w:rsid w:val="00B921F5"/>
    <w:rsid w:val="00B92BAD"/>
    <w:rsid w:val="00B94E8F"/>
    <w:rsid w:val="00B9581A"/>
    <w:rsid w:val="00B9635E"/>
    <w:rsid w:val="00B972AD"/>
    <w:rsid w:val="00B9734B"/>
    <w:rsid w:val="00B97DF6"/>
    <w:rsid w:val="00BA006E"/>
    <w:rsid w:val="00BA12C4"/>
    <w:rsid w:val="00BA276A"/>
    <w:rsid w:val="00BA3325"/>
    <w:rsid w:val="00BA3FD5"/>
    <w:rsid w:val="00BA4754"/>
    <w:rsid w:val="00BA4B4F"/>
    <w:rsid w:val="00BA583D"/>
    <w:rsid w:val="00BA5A59"/>
    <w:rsid w:val="00BA61BE"/>
    <w:rsid w:val="00BA78AA"/>
    <w:rsid w:val="00BB0322"/>
    <w:rsid w:val="00BB4B30"/>
    <w:rsid w:val="00BB6B2D"/>
    <w:rsid w:val="00BB6C48"/>
    <w:rsid w:val="00BB6D59"/>
    <w:rsid w:val="00BB786A"/>
    <w:rsid w:val="00BC05CE"/>
    <w:rsid w:val="00BC37CB"/>
    <w:rsid w:val="00BC37CD"/>
    <w:rsid w:val="00BC3B08"/>
    <w:rsid w:val="00BC3F80"/>
    <w:rsid w:val="00BC419A"/>
    <w:rsid w:val="00BC5340"/>
    <w:rsid w:val="00BC5971"/>
    <w:rsid w:val="00BC7372"/>
    <w:rsid w:val="00BC74D5"/>
    <w:rsid w:val="00BD0C64"/>
    <w:rsid w:val="00BD13E0"/>
    <w:rsid w:val="00BD38C4"/>
    <w:rsid w:val="00BD3FB0"/>
    <w:rsid w:val="00BD48AF"/>
    <w:rsid w:val="00BD4D95"/>
    <w:rsid w:val="00BD6FB0"/>
    <w:rsid w:val="00BD795B"/>
    <w:rsid w:val="00BE22C2"/>
    <w:rsid w:val="00BE2991"/>
    <w:rsid w:val="00BE3C9B"/>
    <w:rsid w:val="00BE523D"/>
    <w:rsid w:val="00BE67D8"/>
    <w:rsid w:val="00BE6A39"/>
    <w:rsid w:val="00BE6A84"/>
    <w:rsid w:val="00BE6B40"/>
    <w:rsid w:val="00BE78E2"/>
    <w:rsid w:val="00BF124C"/>
    <w:rsid w:val="00BF2848"/>
    <w:rsid w:val="00BF2BD8"/>
    <w:rsid w:val="00BF2CB4"/>
    <w:rsid w:val="00BF38B3"/>
    <w:rsid w:val="00BF734F"/>
    <w:rsid w:val="00C023BB"/>
    <w:rsid w:val="00C024DC"/>
    <w:rsid w:val="00C0295A"/>
    <w:rsid w:val="00C03E99"/>
    <w:rsid w:val="00C05036"/>
    <w:rsid w:val="00C0546F"/>
    <w:rsid w:val="00C06704"/>
    <w:rsid w:val="00C072D6"/>
    <w:rsid w:val="00C079B4"/>
    <w:rsid w:val="00C10A3C"/>
    <w:rsid w:val="00C10FB0"/>
    <w:rsid w:val="00C11BFE"/>
    <w:rsid w:val="00C14572"/>
    <w:rsid w:val="00C1527E"/>
    <w:rsid w:val="00C16A55"/>
    <w:rsid w:val="00C17602"/>
    <w:rsid w:val="00C217D0"/>
    <w:rsid w:val="00C227A6"/>
    <w:rsid w:val="00C231F3"/>
    <w:rsid w:val="00C2436F"/>
    <w:rsid w:val="00C24836"/>
    <w:rsid w:val="00C258D0"/>
    <w:rsid w:val="00C27177"/>
    <w:rsid w:val="00C278C5"/>
    <w:rsid w:val="00C3071C"/>
    <w:rsid w:val="00C30A05"/>
    <w:rsid w:val="00C30F8B"/>
    <w:rsid w:val="00C31A10"/>
    <w:rsid w:val="00C31CAE"/>
    <w:rsid w:val="00C32E3E"/>
    <w:rsid w:val="00C32E55"/>
    <w:rsid w:val="00C346DE"/>
    <w:rsid w:val="00C35345"/>
    <w:rsid w:val="00C3540C"/>
    <w:rsid w:val="00C35568"/>
    <w:rsid w:val="00C35E27"/>
    <w:rsid w:val="00C35EFE"/>
    <w:rsid w:val="00C36D21"/>
    <w:rsid w:val="00C40A94"/>
    <w:rsid w:val="00C40FD3"/>
    <w:rsid w:val="00C41278"/>
    <w:rsid w:val="00C419A0"/>
    <w:rsid w:val="00C46DD8"/>
    <w:rsid w:val="00C50979"/>
    <w:rsid w:val="00C509B8"/>
    <w:rsid w:val="00C51AD5"/>
    <w:rsid w:val="00C51F44"/>
    <w:rsid w:val="00C527CC"/>
    <w:rsid w:val="00C52996"/>
    <w:rsid w:val="00C53C1B"/>
    <w:rsid w:val="00C555A4"/>
    <w:rsid w:val="00C55885"/>
    <w:rsid w:val="00C55E27"/>
    <w:rsid w:val="00C562D6"/>
    <w:rsid w:val="00C600E3"/>
    <w:rsid w:val="00C607E5"/>
    <w:rsid w:val="00C60F94"/>
    <w:rsid w:val="00C611FC"/>
    <w:rsid w:val="00C61367"/>
    <w:rsid w:val="00C6192E"/>
    <w:rsid w:val="00C6234C"/>
    <w:rsid w:val="00C628E1"/>
    <w:rsid w:val="00C63011"/>
    <w:rsid w:val="00C639E0"/>
    <w:rsid w:val="00C63C8F"/>
    <w:rsid w:val="00C6550D"/>
    <w:rsid w:val="00C65977"/>
    <w:rsid w:val="00C65CFB"/>
    <w:rsid w:val="00C6683C"/>
    <w:rsid w:val="00C668AD"/>
    <w:rsid w:val="00C678DD"/>
    <w:rsid w:val="00C67C21"/>
    <w:rsid w:val="00C702DC"/>
    <w:rsid w:val="00C71506"/>
    <w:rsid w:val="00C71F84"/>
    <w:rsid w:val="00C7299F"/>
    <w:rsid w:val="00C7359B"/>
    <w:rsid w:val="00C74FAD"/>
    <w:rsid w:val="00C77011"/>
    <w:rsid w:val="00C77E3B"/>
    <w:rsid w:val="00C801BD"/>
    <w:rsid w:val="00C81012"/>
    <w:rsid w:val="00C82A72"/>
    <w:rsid w:val="00C84BB7"/>
    <w:rsid w:val="00C87138"/>
    <w:rsid w:val="00C87C35"/>
    <w:rsid w:val="00C91A3B"/>
    <w:rsid w:val="00C9255D"/>
    <w:rsid w:val="00C9364A"/>
    <w:rsid w:val="00C93AEB"/>
    <w:rsid w:val="00C941F7"/>
    <w:rsid w:val="00C94629"/>
    <w:rsid w:val="00C97846"/>
    <w:rsid w:val="00C97BA5"/>
    <w:rsid w:val="00CA03A5"/>
    <w:rsid w:val="00CA2326"/>
    <w:rsid w:val="00CA2B54"/>
    <w:rsid w:val="00CA35E5"/>
    <w:rsid w:val="00CA397B"/>
    <w:rsid w:val="00CA3BDF"/>
    <w:rsid w:val="00CA4166"/>
    <w:rsid w:val="00CA423A"/>
    <w:rsid w:val="00CA434F"/>
    <w:rsid w:val="00CA45F8"/>
    <w:rsid w:val="00CA4910"/>
    <w:rsid w:val="00CA59F5"/>
    <w:rsid w:val="00CA6080"/>
    <w:rsid w:val="00CA6990"/>
    <w:rsid w:val="00CA70D9"/>
    <w:rsid w:val="00CA72A0"/>
    <w:rsid w:val="00CB1B12"/>
    <w:rsid w:val="00CB2E60"/>
    <w:rsid w:val="00CB429B"/>
    <w:rsid w:val="00CB6223"/>
    <w:rsid w:val="00CB6A2A"/>
    <w:rsid w:val="00CB6B67"/>
    <w:rsid w:val="00CB7334"/>
    <w:rsid w:val="00CC0289"/>
    <w:rsid w:val="00CC0BB9"/>
    <w:rsid w:val="00CC1199"/>
    <w:rsid w:val="00CC2773"/>
    <w:rsid w:val="00CC2A97"/>
    <w:rsid w:val="00CC36BE"/>
    <w:rsid w:val="00CC37F8"/>
    <w:rsid w:val="00CC42E6"/>
    <w:rsid w:val="00CC528E"/>
    <w:rsid w:val="00CD262C"/>
    <w:rsid w:val="00CD27C2"/>
    <w:rsid w:val="00CD3C58"/>
    <w:rsid w:val="00CD4032"/>
    <w:rsid w:val="00CD4060"/>
    <w:rsid w:val="00CD4703"/>
    <w:rsid w:val="00CD5AD8"/>
    <w:rsid w:val="00CD5FF1"/>
    <w:rsid w:val="00CD691A"/>
    <w:rsid w:val="00CD74BA"/>
    <w:rsid w:val="00CD77D1"/>
    <w:rsid w:val="00CD7F50"/>
    <w:rsid w:val="00CE008C"/>
    <w:rsid w:val="00CE009E"/>
    <w:rsid w:val="00CE05B3"/>
    <w:rsid w:val="00CE1967"/>
    <w:rsid w:val="00CE1BFE"/>
    <w:rsid w:val="00CE3270"/>
    <w:rsid w:val="00CE497E"/>
    <w:rsid w:val="00CE5490"/>
    <w:rsid w:val="00CE57DA"/>
    <w:rsid w:val="00CE65D4"/>
    <w:rsid w:val="00CE72EF"/>
    <w:rsid w:val="00CE798E"/>
    <w:rsid w:val="00CE7BD2"/>
    <w:rsid w:val="00CE7CA3"/>
    <w:rsid w:val="00CE7F67"/>
    <w:rsid w:val="00CF0DB5"/>
    <w:rsid w:val="00CF0DD1"/>
    <w:rsid w:val="00CF161F"/>
    <w:rsid w:val="00CF18FF"/>
    <w:rsid w:val="00CF1910"/>
    <w:rsid w:val="00CF1CE9"/>
    <w:rsid w:val="00CF255B"/>
    <w:rsid w:val="00CF3406"/>
    <w:rsid w:val="00CF3DBE"/>
    <w:rsid w:val="00CF5C91"/>
    <w:rsid w:val="00CF6C5B"/>
    <w:rsid w:val="00CF7D0C"/>
    <w:rsid w:val="00D00687"/>
    <w:rsid w:val="00D017A3"/>
    <w:rsid w:val="00D01AA7"/>
    <w:rsid w:val="00D01E84"/>
    <w:rsid w:val="00D027E3"/>
    <w:rsid w:val="00D02D7D"/>
    <w:rsid w:val="00D03C6A"/>
    <w:rsid w:val="00D03CF3"/>
    <w:rsid w:val="00D054B7"/>
    <w:rsid w:val="00D06B37"/>
    <w:rsid w:val="00D06EE1"/>
    <w:rsid w:val="00D11327"/>
    <w:rsid w:val="00D143E3"/>
    <w:rsid w:val="00D14407"/>
    <w:rsid w:val="00D151C9"/>
    <w:rsid w:val="00D155CC"/>
    <w:rsid w:val="00D161C7"/>
    <w:rsid w:val="00D16319"/>
    <w:rsid w:val="00D169D6"/>
    <w:rsid w:val="00D2163C"/>
    <w:rsid w:val="00D21A6A"/>
    <w:rsid w:val="00D22A15"/>
    <w:rsid w:val="00D236D4"/>
    <w:rsid w:val="00D238CB"/>
    <w:rsid w:val="00D24D21"/>
    <w:rsid w:val="00D25C04"/>
    <w:rsid w:val="00D27D87"/>
    <w:rsid w:val="00D304F5"/>
    <w:rsid w:val="00D30FA9"/>
    <w:rsid w:val="00D31B90"/>
    <w:rsid w:val="00D31E7F"/>
    <w:rsid w:val="00D34F87"/>
    <w:rsid w:val="00D3511F"/>
    <w:rsid w:val="00D35F33"/>
    <w:rsid w:val="00D3632F"/>
    <w:rsid w:val="00D4162E"/>
    <w:rsid w:val="00D416AB"/>
    <w:rsid w:val="00D41C8E"/>
    <w:rsid w:val="00D4226A"/>
    <w:rsid w:val="00D4319C"/>
    <w:rsid w:val="00D45060"/>
    <w:rsid w:val="00D45252"/>
    <w:rsid w:val="00D46248"/>
    <w:rsid w:val="00D472B1"/>
    <w:rsid w:val="00D4780E"/>
    <w:rsid w:val="00D50135"/>
    <w:rsid w:val="00D52947"/>
    <w:rsid w:val="00D52EC6"/>
    <w:rsid w:val="00D52F8E"/>
    <w:rsid w:val="00D53970"/>
    <w:rsid w:val="00D53C78"/>
    <w:rsid w:val="00D54F25"/>
    <w:rsid w:val="00D54F2F"/>
    <w:rsid w:val="00D550E5"/>
    <w:rsid w:val="00D55129"/>
    <w:rsid w:val="00D559E8"/>
    <w:rsid w:val="00D56820"/>
    <w:rsid w:val="00D61651"/>
    <w:rsid w:val="00D62D1E"/>
    <w:rsid w:val="00D62EF2"/>
    <w:rsid w:val="00D63233"/>
    <w:rsid w:val="00D64EDE"/>
    <w:rsid w:val="00D65613"/>
    <w:rsid w:val="00D6571C"/>
    <w:rsid w:val="00D65E00"/>
    <w:rsid w:val="00D66770"/>
    <w:rsid w:val="00D667DF"/>
    <w:rsid w:val="00D67E17"/>
    <w:rsid w:val="00D7005E"/>
    <w:rsid w:val="00D71542"/>
    <w:rsid w:val="00D7189F"/>
    <w:rsid w:val="00D71B4D"/>
    <w:rsid w:val="00D7209E"/>
    <w:rsid w:val="00D72E5E"/>
    <w:rsid w:val="00D735EE"/>
    <w:rsid w:val="00D73C7B"/>
    <w:rsid w:val="00D742D8"/>
    <w:rsid w:val="00D743AE"/>
    <w:rsid w:val="00D75270"/>
    <w:rsid w:val="00D75609"/>
    <w:rsid w:val="00D75848"/>
    <w:rsid w:val="00D7633B"/>
    <w:rsid w:val="00D76A98"/>
    <w:rsid w:val="00D80857"/>
    <w:rsid w:val="00D808B2"/>
    <w:rsid w:val="00D813B4"/>
    <w:rsid w:val="00D81770"/>
    <w:rsid w:val="00D82455"/>
    <w:rsid w:val="00D82BB5"/>
    <w:rsid w:val="00D864BF"/>
    <w:rsid w:val="00D87876"/>
    <w:rsid w:val="00D92043"/>
    <w:rsid w:val="00D92AA4"/>
    <w:rsid w:val="00D930FC"/>
    <w:rsid w:val="00D93D55"/>
    <w:rsid w:val="00D93FEA"/>
    <w:rsid w:val="00D96029"/>
    <w:rsid w:val="00D9633F"/>
    <w:rsid w:val="00D97D71"/>
    <w:rsid w:val="00DA07B9"/>
    <w:rsid w:val="00DA1F58"/>
    <w:rsid w:val="00DA2601"/>
    <w:rsid w:val="00DA27FB"/>
    <w:rsid w:val="00DA416F"/>
    <w:rsid w:val="00DA444F"/>
    <w:rsid w:val="00DA4800"/>
    <w:rsid w:val="00DA4F37"/>
    <w:rsid w:val="00DA5CDB"/>
    <w:rsid w:val="00DA5EBE"/>
    <w:rsid w:val="00DA62D0"/>
    <w:rsid w:val="00DA65DD"/>
    <w:rsid w:val="00DA6CB3"/>
    <w:rsid w:val="00DB0AE2"/>
    <w:rsid w:val="00DB291C"/>
    <w:rsid w:val="00DB332D"/>
    <w:rsid w:val="00DB33AD"/>
    <w:rsid w:val="00DB39C7"/>
    <w:rsid w:val="00DB3A44"/>
    <w:rsid w:val="00DB484B"/>
    <w:rsid w:val="00DB5046"/>
    <w:rsid w:val="00DB5112"/>
    <w:rsid w:val="00DB5394"/>
    <w:rsid w:val="00DB5797"/>
    <w:rsid w:val="00DB5804"/>
    <w:rsid w:val="00DB5E96"/>
    <w:rsid w:val="00DB7EEE"/>
    <w:rsid w:val="00DC249F"/>
    <w:rsid w:val="00DC3800"/>
    <w:rsid w:val="00DC3AE2"/>
    <w:rsid w:val="00DC4160"/>
    <w:rsid w:val="00DC4696"/>
    <w:rsid w:val="00DC5375"/>
    <w:rsid w:val="00DC5534"/>
    <w:rsid w:val="00DC5578"/>
    <w:rsid w:val="00DC66F0"/>
    <w:rsid w:val="00DC6A60"/>
    <w:rsid w:val="00DC73C9"/>
    <w:rsid w:val="00DC773E"/>
    <w:rsid w:val="00DD032A"/>
    <w:rsid w:val="00DD0CE9"/>
    <w:rsid w:val="00DD0EE6"/>
    <w:rsid w:val="00DD15DD"/>
    <w:rsid w:val="00DD222F"/>
    <w:rsid w:val="00DD25E7"/>
    <w:rsid w:val="00DD314C"/>
    <w:rsid w:val="00DD356E"/>
    <w:rsid w:val="00DD61DE"/>
    <w:rsid w:val="00DD74E5"/>
    <w:rsid w:val="00DD7EA0"/>
    <w:rsid w:val="00DE1DE9"/>
    <w:rsid w:val="00DE279B"/>
    <w:rsid w:val="00DE31F9"/>
    <w:rsid w:val="00DE4FD9"/>
    <w:rsid w:val="00DE5209"/>
    <w:rsid w:val="00DE66DD"/>
    <w:rsid w:val="00DE7F31"/>
    <w:rsid w:val="00DF0F0E"/>
    <w:rsid w:val="00DF0FAE"/>
    <w:rsid w:val="00DF1114"/>
    <w:rsid w:val="00DF217A"/>
    <w:rsid w:val="00DF27BD"/>
    <w:rsid w:val="00DF2C84"/>
    <w:rsid w:val="00DF432D"/>
    <w:rsid w:val="00DF45BA"/>
    <w:rsid w:val="00DF56C2"/>
    <w:rsid w:val="00DF657B"/>
    <w:rsid w:val="00DF6803"/>
    <w:rsid w:val="00DF69E7"/>
    <w:rsid w:val="00DF6C15"/>
    <w:rsid w:val="00DF6FDD"/>
    <w:rsid w:val="00DF7C42"/>
    <w:rsid w:val="00E007BC"/>
    <w:rsid w:val="00E00EBE"/>
    <w:rsid w:val="00E016E9"/>
    <w:rsid w:val="00E022E4"/>
    <w:rsid w:val="00E02C0E"/>
    <w:rsid w:val="00E02DCE"/>
    <w:rsid w:val="00E048C6"/>
    <w:rsid w:val="00E053DB"/>
    <w:rsid w:val="00E062D2"/>
    <w:rsid w:val="00E06475"/>
    <w:rsid w:val="00E06B25"/>
    <w:rsid w:val="00E06F86"/>
    <w:rsid w:val="00E07728"/>
    <w:rsid w:val="00E07C01"/>
    <w:rsid w:val="00E07E44"/>
    <w:rsid w:val="00E07F40"/>
    <w:rsid w:val="00E101D9"/>
    <w:rsid w:val="00E10637"/>
    <w:rsid w:val="00E112DE"/>
    <w:rsid w:val="00E11D16"/>
    <w:rsid w:val="00E11F35"/>
    <w:rsid w:val="00E12971"/>
    <w:rsid w:val="00E12DED"/>
    <w:rsid w:val="00E1342F"/>
    <w:rsid w:val="00E152CB"/>
    <w:rsid w:val="00E15996"/>
    <w:rsid w:val="00E1616D"/>
    <w:rsid w:val="00E161A2"/>
    <w:rsid w:val="00E16203"/>
    <w:rsid w:val="00E16AFD"/>
    <w:rsid w:val="00E16E28"/>
    <w:rsid w:val="00E1751D"/>
    <w:rsid w:val="00E21638"/>
    <w:rsid w:val="00E22356"/>
    <w:rsid w:val="00E223CC"/>
    <w:rsid w:val="00E22481"/>
    <w:rsid w:val="00E2303F"/>
    <w:rsid w:val="00E231C8"/>
    <w:rsid w:val="00E25473"/>
    <w:rsid w:val="00E26935"/>
    <w:rsid w:val="00E26F3D"/>
    <w:rsid w:val="00E272FD"/>
    <w:rsid w:val="00E273F2"/>
    <w:rsid w:val="00E2785A"/>
    <w:rsid w:val="00E279FC"/>
    <w:rsid w:val="00E304E8"/>
    <w:rsid w:val="00E335FE"/>
    <w:rsid w:val="00E34904"/>
    <w:rsid w:val="00E355EB"/>
    <w:rsid w:val="00E35AA0"/>
    <w:rsid w:val="00E360FC"/>
    <w:rsid w:val="00E3737D"/>
    <w:rsid w:val="00E3741F"/>
    <w:rsid w:val="00E37A64"/>
    <w:rsid w:val="00E40D15"/>
    <w:rsid w:val="00E40E3A"/>
    <w:rsid w:val="00E43A91"/>
    <w:rsid w:val="00E444E9"/>
    <w:rsid w:val="00E446AA"/>
    <w:rsid w:val="00E446C4"/>
    <w:rsid w:val="00E448A6"/>
    <w:rsid w:val="00E45D41"/>
    <w:rsid w:val="00E46003"/>
    <w:rsid w:val="00E4623C"/>
    <w:rsid w:val="00E5021F"/>
    <w:rsid w:val="00E50D5B"/>
    <w:rsid w:val="00E5129C"/>
    <w:rsid w:val="00E52799"/>
    <w:rsid w:val="00E52ECD"/>
    <w:rsid w:val="00E533E6"/>
    <w:rsid w:val="00E54AD5"/>
    <w:rsid w:val="00E55F73"/>
    <w:rsid w:val="00E56417"/>
    <w:rsid w:val="00E576C2"/>
    <w:rsid w:val="00E6170D"/>
    <w:rsid w:val="00E63B61"/>
    <w:rsid w:val="00E6528E"/>
    <w:rsid w:val="00E65D20"/>
    <w:rsid w:val="00E66425"/>
    <w:rsid w:val="00E667A8"/>
    <w:rsid w:val="00E671A6"/>
    <w:rsid w:val="00E673CE"/>
    <w:rsid w:val="00E67C33"/>
    <w:rsid w:val="00E7071D"/>
    <w:rsid w:val="00E707AC"/>
    <w:rsid w:val="00E7098E"/>
    <w:rsid w:val="00E716EA"/>
    <w:rsid w:val="00E72271"/>
    <w:rsid w:val="00E7253F"/>
    <w:rsid w:val="00E731A9"/>
    <w:rsid w:val="00E73810"/>
    <w:rsid w:val="00E73EAA"/>
    <w:rsid w:val="00E74AA0"/>
    <w:rsid w:val="00E7517E"/>
    <w:rsid w:val="00E80169"/>
    <w:rsid w:val="00E81C97"/>
    <w:rsid w:val="00E84B66"/>
    <w:rsid w:val="00E85820"/>
    <w:rsid w:val="00E86790"/>
    <w:rsid w:val="00E87D1A"/>
    <w:rsid w:val="00E87F02"/>
    <w:rsid w:val="00E921FA"/>
    <w:rsid w:val="00E9224E"/>
    <w:rsid w:val="00E93526"/>
    <w:rsid w:val="00E93A85"/>
    <w:rsid w:val="00E93E91"/>
    <w:rsid w:val="00E943A7"/>
    <w:rsid w:val="00E95EF6"/>
    <w:rsid w:val="00E965AA"/>
    <w:rsid w:val="00E9680C"/>
    <w:rsid w:val="00EA0099"/>
    <w:rsid w:val="00EA06B0"/>
    <w:rsid w:val="00EA13DE"/>
    <w:rsid w:val="00EA2B51"/>
    <w:rsid w:val="00EA3819"/>
    <w:rsid w:val="00EA4490"/>
    <w:rsid w:val="00EA5157"/>
    <w:rsid w:val="00EA739F"/>
    <w:rsid w:val="00EA773A"/>
    <w:rsid w:val="00EB0A29"/>
    <w:rsid w:val="00EB0AC5"/>
    <w:rsid w:val="00EB19A5"/>
    <w:rsid w:val="00EB24A4"/>
    <w:rsid w:val="00EB34C0"/>
    <w:rsid w:val="00EB4CA8"/>
    <w:rsid w:val="00EB4CC9"/>
    <w:rsid w:val="00EB5234"/>
    <w:rsid w:val="00EB55C7"/>
    <w:rsid w:val="00EB5668"/>
    <w:rsid w:val="00EB613A"/>
    <w:rsid w:val="00EB68A1"/>
    <w:rsid w:val="00EB7D15"/>
    <w:rsid w:val="00EC38C8"/>
    <w:rsid w:val="00EC3AD4"/>
    <w:rsid w:val="00EC3DA7"/>
    <w:rsid w:val="00EC4E49"/>
    <w:rsid w:val="00EC583A"/>
    <w:rsid w:val="00EC61F0"/>
    <w:rsid w:val="00EC6419"/>
    <w:rsid w:val="00ED0AA2"/>
    <w:rsid w:val="00ED111C"/>
    <w:rsid w:val="00ED14B1"/>
    <w:rsid w:val="00ED1525"/>
    <w:rsid w:val="00ED1C1A"/>
    <w:rsid w:val="00ED2B79"/>
    <w:rsid w:val="00ED2BBF"/>
    <w:rsid w:val="00ED2C76"/>
    <w:rsid w:val="00ED529B"/>
    <w:rsid w:val="00ED77FB"/>
    <w:rsid w:val="00EE0F9E"/>
    <w:rsid w:val="00EE101E"/>
    <w:rsid w:val="00EE28BA"/>
    <w:rsid w:val="00EE2E6D"/>
    <w:rsid w:val="00EE4377"/>
    <w:rsid w:val="00EE4C39"/>
    <w:rsid w:val="00EE588A"/>
    <w:rsid w:val="00EE648B"/>
    <w:rsid w:val="00EE67F8"/>
    <w:rsid w:val="00EE6ACD"/>
    <w:rsid w:val="00EF06E7"/>
    <w:rsid w:val="00EF0B80"/>
    <w:rsid w:val="00EF0CFE"/>
    <w:rsid w:val="00EF1173"/>
    <w:rsid w:val="00EF13F9"/>
    <w:rsid w:val="00EF1454"/>
    <w:rsid w:val="00EF14D8"/>
    <w:rsid w:val="00EF1520"/>
    <w:rsid w:val="00EF1FC5"/>
    <w:rsid w:val="00EF274B"/>
    <w:rsid w:val="00EF46BD"/>
    <w:rsid w:val="00EF4AEB"/>
    <w:rsid w:val="00EF5DE8"/>
    <w:rsid w:val="00EF67ED"/>
    <w:rsid w:val="00EF6E26"/>
    <w:rsid w:val="00EF6F33"/>
    <w:rsid w:val="00EF703B"/>
    <w:rsid w:val="00F01042"/>
    <w:rsid w:val="00F01407"/>
    <w:rsid w:val="00F015DD"/>
    <w:rsid w:val="00F017DE"/>
    <w:rsid w:val="00F020BF"/>
    <w:rsid w:val="00F021A6"/>
    <w:rsid w:val="00F02F33"/>
    <w:rsid w:val="00F03175"/>
    <w:rsid w:val="00F061EF"/>
    <w:rsid w:val="00F07610"/>
    <w:rsid w:val="00F105F0"/>
    <w:rsid w:val="00F10660"/>
    <w:rsid w:val="00F10DC6"/>
    <w:rsid w:val="00F11090"/>
    <w:rsid w:val="00F112AE"/>
    <w:rsid w:val="00F11B5C"/>
    <w:rsid w:val="00F11CB9"/>
    <w:rsid w:val="00F11D94"/>
    <w:rsid w:val="00F125CB"/>
    <w:rsid w:val="00F12707"/>
    <w:rsid w:val="00F12CE6"/>
    <w:rsid w:val="00F149F4"/>
    <w:rsid w:val="00F14E2B"/>
    <w:rsid w:val="00F202E0"/>
    <w:rsid w:val="00F22005"/>
    <w:rsid w:val="00F223CB"/>
    <w:rsid w:val="00F23B67"/>
    <w:rsid w:val="00F241FD"/>
    <w:rsid w:val="00F272A1"/>
    <w:rsid w:val="00F27E0B"/>
    <w:rsid w:val="00F3006E"/>
    <w:rsid w:val="00F31575"/>
    <w:rsid w:val="00F31C4C"/>
    <w:rsid w:val="00F32778"/>
    <w:rsid w:val="00F32A6B"/>
    <w:rsid w:val="00F33068"/>
    <w:rsid w:val="00F3483D"/>
    <w:rsid w:val="00F34918"/>
    <w:rsid w:val="00F35691"/>
    <w:rsid w:val="00F36781"/>
    <w:rsid w:val="00F374A6"/>
    <w:rsid w:val="00F414ED"/>
    <w:rsid w:val="00F4157D"/>
    <w:rsid w:val="00F420EB"/>
    <w:rsid w:val="00F42628"/>
    <w:rsid w:val="00F459B2"/>
    <w:rsid w:val="00F46322"/>
    <w:rsid w:val="00F469A7"/>
    <w:rsid w:val="00F46BD9"/>
    <w:rsid w:val="00F51AE0"/>
    <w:rsid w:val="00F51EF0"/>
    <w:rsid w:val="00F52496"/>
    <w:rsid w:val="00F524D9"/>
    <w:rsid w:val="00F532EF"/>
    <w:rsid w:val="00F5431E"/>
    <w:rsid w:val="00F54C29"/>
    <w:rsid w:val="00F551D3"/>
    <w:rsid w:val="00F56ED7"/>
    <w:rsid w:val="00F5778A"/>
    <w:rsid w:val="00F606AC"/>
    <w:rsid w:val="00F611BD"/>
    <w:rsid w:val="00F6135B"/>
    <w:rsid w:val="00F619E6"/>
    <w:rsid w:val="00F61B4C"/>
    <w:rsid w:val="00F62872"/>
    <w:rsid w:val="00F63F04"/>
    <w:rsid w:val="00F64C0D"/>
    <w:rsid w:val="00F6509D"/>
    <w:rsid w:val="00F65909"/>
    <w:rsid w:val="00F65AFC"/>
    <w:rsid w:val="00F65B28"/>
    <w:rsid w:val="00F66152"/>
    <w:rsid w:val="00F67591"/>
    <w:rsid w:val="00F67A90"/>
    <w:rsid w:val="00F70001"/>
    <w:rsid w:val="00F7492E"/>
    <w:rsid w:val="00F75235"/>
    <w:rsid w:val="00F75B2A"/>
    <w:rsid w:val="00F7664B"/>
    <w:rsid w:val="00F767B9"/>
    <w:rsid w:val="00F76EF2"/>
    <w:rsid w:val="00F7784D"/>
    <w:rsid w:val="00F77D9B"/>
    <w:rsid w:val="00F80548"/>
    <w:rsid w:val="00F81421"/>
    <w:rsid w:val="00F81887"/>
    <w:rsid w:val="00F826AE"/>
    <w:rsid w:val="00F82B35"/>
    <w:rsid w:val="00F830EA"/>
    <w:rsid w:val="00F8316E"/>
    <w:rsid w:val="00F832E3"/>
    <w:rsid w:val="00F85626"/>
    <w:rsid w:val="00F85AD8"/>
    <w:rsid w:val="00F8604D"/>
    <w:rsid w:val="00F86D60"/>
    <w:rsid w:val="00F91240"/>
    <w:rsid w:val="00F912D3"/>
    <w:rsid w:val="00F91CEF"/>
    <w:rsid w:val="00F9214B"/>
    <w:rsid w:val="00F92788"/>
    <w:rsid w:val="00F934DB"/>
    <w:rsid w:val="00F93ACC"/>
    <w:rsid w:val="00F93D0E"/>
    <w:rsid w:val="00F94B5B"/>
    <w:rsid w:val="00F94E15"/>
    <w:rsid w:val="00F95154"/>
    <w:rsid w:val="00F957C1"/>
    <w:rsid w:val="00F95BE3"/>
    <w:rsid w:val="00F96B72"/>
    <w:rsid w:val="00F9764A"/>
    <w:rsid w:val="00FA0CD1"/>
    <w:rsid w:val="00FA27F2"/>
    <w:rsid w:val="00FA2D78"/>
    <w:rsid w:val="00FA393A"/>
    <w:rsid w:val="00FA3BB5"/>
    <w:rsid w:val="00FA420D"/>
    <w:rsid w:val="00FA5C6A"/>
    <w:rsid w:val="00FA623A"/>
    <w:rsid w:val="00FA6C0F"/>
    <w:rsid w:val="00FA6CFE"/>
    <w:rsid w:val="00FA76D4"/>
    <w:rsid w:val="00FB0EDE"/>
    <w:rsid w:val="00FB3B84"/>
    <w:rsid w:val="00FB405D"/>
    <w:rsid w:val="00FB465B"/>
    <w:rsid w:val="00FB4942"/>
    <w:rsid w:val="00FB4A06"/>
    <w:rsid w:val="00FB5F53"/>
    <w:rsid w:val="00FB6B61"/>
    <w:rsid w:val="00FB77E9"/>
    <w:rsid w:val="00FB79E7"/>
    <w:rsid w:val="00FC08DD"/>
    <w:rsid w:val="00FC0D99"/>
    <w:rsid w:val="00FC17B7"/>
    <w:rsid w:val="00FC1AD9"/>
    <w:rsid w:val="00FC2E8D"/>
    <w:rsid w:val="00FC3B84"/>
    <w:rsid w:val="00FC45CB"/>
    <w:rsid w:val="00FC5DAD"/>
    <w:rsid w:val="00FC6C2E"/>
    <w:rsid w:val="00FC6CE6"/>
    <w:rsid w:val="00FD223E"/>
    <w:rsid w:val="00FD3151"/>
    <w:rsid w:val="00FD3493"/>
    <w:rsid w:val="00FD3836"/>
    <w:rsid w:val="00FD427E"/>
    <w:rsid w:val="00FD4A15"/>
    <w:rsid w:val="00FD5CBC"/>
    <w:rsid w:val="00FE0A80"/>
    <w:rsid w:val="00FE1850"/>
    <w:rsid w:val="00FE1FEA"/>
    <w:rsid w:val="00FE2445"/>
    <w:rsid w:val="00FE273F"/>
    <w:rsid w:val="00FE2C8B"/>
    <w:rsid w:val="00FE2F2A"/>
    <w:rsid w:val="00FE35EE"/>
    <w:rsid w:val="00FE470C"/>
    <w:rsid w:val="00FE7094"/>
    <w:rsid w:val="00FE7233"/>
    <w:rsid w:val="00FE7404"/>
    <w:rsid w:val="00FE74F7"/>
    <w:rsid w:val="00FF0139"/>
    <w:rsid w:val="00FF169A"/>
    <w:rsid w:val="00FF3C5A"/>
    <w:rsid w:val="00FF40FD"/>
    <w:rsid w:val="00FF4810"/>
    <w:rsid w:val="00FF5D1C"/>
    <w:rsid w:val="00FF7232"/>
    <w:rsid w:val="20128C00"/>
    <w:rsid w:val="2A2F2F0C"/>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46C451"/>
  <w15:docId w15:val="{7E07B19E-16E5-4AE1-A816-F013D138B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3223"/>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926158"/>
    <w:pPr>
      <w:keepNext/>
      <w:bidi/>
      <w:spacing w:before="240" w:after="60"/>
      <w:outlineLvl w:val="1"/>
    </w:pPr>
    <w:rPr>
      <w:rFonts w:cs="Calibri"/>
      <w:bCs/>
      <w:i/>
      <w:caps/>
      <w:sz w:val="24"/>
      <w:szCs w:val="24"/>
    </w:rPr>
  </w:style>
  <w:style w:type="paragraph" w:styleId="Heading3">
    <w:name w:val="heading 3"/>
    <w:basedOn w:val="Normal"/>
    <w:next w:val="Normal"/>
    <w:qFormat/>
    <w:rsid w:val="00926158"/>
    <w:pPr>
      <w:keepNext/>
      <w:bidi/>
      <w:spacing w:before="240" w:after="60"/>
      <w:outlineLvl w:val="2"/>
    </w:pPr>
    <w:rPr>
      <w:rFonts w:cs="Calibri"/>
      <w:b/>
      <w:szCs w:val="22"/>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ListParagraph">
    <w:name w:val="List Paragraph"/>
    <w:basedOn w:val="Normal"/>
    <w:uiPriority w:val="34"/>
    <w:qFormat/>
    <w:rsid w:val="00341AF2"/>
    <w:pPr>
      <w:ind w:left="720"/>
      <w:contextualSpacing/>
    </w:pPr>
  </w:style>
  <w:style w:type="character" w:customStyle="1" w:styleId="Heading2Char">
    <w:name w:val="Heading 2 Char"/>
    <w:basedOn w:val="DefaultParagraphFont"/>
    <w:link w:val="Heading2"/>
    <w:rsid w:val="00926158"/>
    <w:rPr>
      <w:rFonts w:ascii="Arial" w:eastAsia="SimSun" w:hAnsi="Arial" w:cs="Calibri"/>
      <w:bCs/>
      <w:i/>
      <w:caps/>
      <w:sz w:val="24"/>
      <w:szCs w:val="24"/>
      <w:lang w:val="en-US" w:eastAsia="zh-CN"/>
    </w:rPr>
  </w:style>
  <w:style w:type="character" w:styleId="Hyperlink">
    <w:name w:val="Hyperlink"/>
    <w:basedOn w:val="DefaultParagraphFont"/>
    <w:uiPriority w:val="99"/>
    <w:unhideWhenUsed/>
    <w:rsid w:val="001E5BC9"/>
    <w:rPr>
      <w:rFonts w:ascii="Arial" w:hAnsi="Arial" w:cs="Arial"/>
      <w:color w:val="0000FF" w:themeColor="hyperlink"/>
      <w:sz w:val="22"/>
      <w:u w:val="single"/>
    </w:rPr>
  </w:style>
  <w:style w:type="character" w:styleId="UnresolvedMention">
    <w:name w:val="Unresolved Mention"/>
    <w:basedOn w:val="DefaultParagraphFont"/>
    <w:uiPriority w:val="99"/>
    <w:semiHidden/>
    <w:unhideWhenUsed/>
    <w:rsid w:val="00DF27BD"/>
    <w:rPr>
      <w:color w:val="605E5C"/>
      <w:shd w:val="clear" w:color="auto" w:fill="E1DFDD"/>
    </w:rPr>
  </w:style>
  <w:style w:type="paragraph" w:styleId="Revision">
    <w:name w:val="Revision"/>
    <w:hidden/>
    <w:uiPriority w:val="99"/>
    <w:semiHidden/>
    <w:rsid w:val="00FE470C"/>
    <w:rPr>
      <w:rFonts w:ascii="Arial" w:eastAsia="SimSun" w:hAnsi="Arial"/>
      <w:sz w:val="22"/>
      <w:lang w:val="en-US" w:eastAsia="zh-CN"/>
    </w:rPr>
  </w:style>
  <w:style w:type="character" w:styleId="CommentReference">
    <w:name w:val="annotation reference"/>
    <w:basedOn w:val="DefaultParagraphFont"/>
    <w:semiHidden/>
    <w:unhideWhenUsed/>
    <w:rsid w:val="00D16319"/>
    <w:rPr>
      <w:sz w:val="16"/>
      <w:szCs w:val="16"/>
    </w:rPr>
  </w:style>
  <w:style w:type="paragraph" w:styleId="CommentSubject">
    <w:name w:val="annotation subject"/>
    <w:basedOn w:val="CommentText"/>
    <w:next w:val="CommentText"/>
    <w:link w:val="CommentSubjectChar"/>
    <w:semiHidden/>
    <w:unhideWhenUsed/>
    <w:rsid w:val="00D16319"/>
    <w:rPr>
      <w:b/>
      <w:bCs/>
      <w:sz w:val="20"/>
    </w:rPr>
  </w:style>
  <w:style w:type="character" w:customStyle="1" w:styleId="CommentTextChar">
    <w:name w:val="Comment Text Char"/>
    <w:basedOn w:val="DefaultParagraphFont"/>
    <w:link w:val="CommentText"/>
    <w:semiHidden/>
    <w:rsid w:val="00D16319"/>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D16319"/>
    <w:rPr>
      <w:rFonts w:ascii="Arial" w:eastAsia="SimSun" w:hAnsi="Arial" w:cs="Arial"/>
      <w:b/>
      <w:bCs/>
      <w:sz w:val="18"/>
      <w:lang w:val="en-US" w:eastAsia="zh-CN"/>
    </w:rPr>
  </w:style>
  <w:style w:type="character" w:styleId="Mention">
    <w:name w:val="Mention"/>
    <w:basedOn w:val="DefaultParagraphFont"/>
    <w:uiPriority w:val="99"/>
    <w:unhideWhenUsed/>
    <w:rsid w:val="00B132A6"/>
    <w:rPr>
      <w:color w:val="2B579A"/>
      <w:shd w:val="clear" w:color="auto" w:fill="E1DFDD"/>
    </w:rPr>
  </w:style>
  <w:style w:type="character" w:styleId="FollowedHyperlink">
    <w:name w:val="FollowedHyperlink"/>
    <w:basedOn w:val="DefaultParagraphFont"/>
    <w:semiHidden/>
    <w:unhideWhenUsed/>
    <w:rsid w:val="009F1537"/>
    <w:rPr>
      <w:color w:val="800080" w:themeColor="followedHyperlink"/>
      <w:u w:val="single"/>
    </w:rPr>
  </w:style>
  <w:style w:type="character" w:styleId="IntenseEmphasis">
    <w:name w:val="Intense Emphasis"/>
    <w:basedOn w:val="DefaultParagraphFont"/>
    <w:uiPriority w:val="21"/>
    <w:qFormat/>
    <w:rsid w:val="007932CA"/>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wipo.int/documents/d/cws/docs-en-circulars-files-cws-205.pdf" TargetMode="External"/><Relationship Id="rId26" Type="http://schemas.openxmlformats.org/officeDocument/2006/relationships/chart" Target="charts/chart8.xml"/><Relationship Id="rId3" Type="http://schemas.openxmlformats.org/officeDocument/2006/relationships/customXml" Target="../customXml/item3.xml"/><Relationship Id="rId21" Type="http://schemas.openxmlformats.org/officeDocument/2006/relationships/chart" Target="charts/chart3.xml"/><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wipo.int/edocs/mdocs/cws/ar/cws_13/cws_13_33.pdf" TargetMode="External"/><Relationship Id="rId25" Type="http://schemas.openxmlformats.org/officeDocument/2006/relationships/chart" Target="charts/chart7.xml"/><Relationship Id="rId33" Type="http://schemas.openxmlformats.org/officeDocument/2006/relationships/hyperlink" Target="https://www.wipo.int/edocs/mdocs/cws/ar/cws_4_bis/cws_4_bis_16.pdf" TargetMode="External"/><Relationship Id="rId2" Type="http://schemas.openxmlformats.org/officeDocument/2006/relationships/customXml" Target="../customXml/item2.xml"/><Relationship Id="rId16" Type="http://schemas.openxmlformats.org/officeDocument/2006/relationships/hyperlink" Target="https://www.wipo.int/meetings/ar/doc_details.jsp?doc_id=652146" TargetMode="External"/><Relationship Id="rId20" Type="http://schemas.openxmlformats.org/officeDocument/2006/relationships/chart" Target="charts/chart2.xml"/><Relationship Id="rId29"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6.xml"/><Relationship Id="rId32" Type="http://schemas.openxmlformats.org/officeDocument/2006/relationships/chart" Target="charts/chart14.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chart" Target="charts/chart1.xml"/><Relationship Id="rId31" Type="http://schemas.openxmlformats.org/officeDocument/2006/relationships/chart" Target="charts/chart1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chart" Target="charts/chart4.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fontTable" Target="fontTable.xml"/><Relationship Id="rId8"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738422646137504"/>
          <c:y val="7.4958724917449829E-2"/>
          <c:w val="0.37793458644383454"/>
          <c:h val="0.8585439420878842"/>
        </c:manualLayout>
      </c:layout>
      <c:doughnutChart>
        <c:varyColors val="1"/>
        <c:ser>
          <c:idx val="0"/>
          <c:order val="0"/>
          <c:tx>
            <c:strRef>
              <c:f>Sheet1!$B$1</c:f>
              <c:strCache>
                <c:ptCount val="1"/>
                <c:pt idx="0">
                  <c:v>في المائة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696-4723-B12A-95423F56047E}"/>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9696-4723-B12A-95423F56047E}"/>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نعم </c:v>
                </c:pt>
                <c:pt idx="1">
                  <c:v>لا </c:v>
                </c:pt>
              </c:strCache>
            </c:strRef>
          </c:cat>
          <c:val>
            <c:numRef>
              <c:f>Sheet1!$B$2:$B$3</c:f>
              <c:numCache>
                <c:formatCode>0.00%</c:formatCode>
                <c:ptCount val="2"/>
                <c:pt idx="0">
                  <c:v>0.873</c:v>
                </c:pt>
                <c:pt idx="1">
                  <c:v>0.127</c:v>
                </c:pt>
              </c:numCache>
            </c:numRef>
          </c:val>
          <c:extLst>
            <c:ext xmlns:c16="http://schemas.microsoft.com/office/drawing/2014/chart" uri="{C3380CC4-5D6E-409C-BE32-E72D297353CC}">
              <c16:uniqueId val="{00000004-9696-4723-B12A-95423F56047E}"/>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7094161488078907"/>
          <c:y val="0.37229211645923299"/>
          <c:w val="5.8368347400107268E-2"/>
          <c:h val="0.2097921164592329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82170457859435"/>
          <c:y val="7.9365079365079361E-2"/>
          <c:w val="0.4861111111111111"/>
          <c:h val="0.83333333333333337"/>
        </c:manualLayout>
      </c:layout>
      <c:doughnutChart>
        <c:varyColors val="1"/>
        <c:ser>
          <c:idx val="0"/>
          <c:order val="0"/>
          <c:tx>
            <c:strRef>
              <c:f>Sheet1!$B$1</c:f>
              <c:strCache>
                <c:ptCount val="1"/>
                <c:pt idx="0">
                  <c:v>في المائة</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394-4755-B53E-F17E7AC289DB}"/>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B394-4755-B53E-F17E7AC289D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394-4755-B53E-F17E7AC289DB}"/>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متاح للجمهور</c:v>
                </c:pt>
                <c:pt idx="1">
                  <c:v>توافر محدود</c:v>
                </c:pt>
                <c:pt idx="2">
                  <c:v>غير متوفر</c:v>
                </c:pt>
              </c:strCache>
            </c:strRef>
          </c:cat>
          <c:val>
            <c:numRef>
              <c:f>Sheet1!$B$2:$B$4</c:f>
              <c:numCache>
                <c:formatCode>0.00%</c:formatCode>
                <c:ptCount val="3"/>
                <c:pt idx="0">
                  <c:v>0.745</c:v>
                </c:pt>
                <c:pt idx="1">
                  <c:v>0.2</c:v>
                </c:pt>
                <c:pt idx="2">
                  <c:v>5.5E-2</c:v>
                </c:pt>
              </c:numCache>
            </c:numRef>
          </c:val>
          <c:extLst>
            <c:ext xmlns:c16="http://schemas.microsoft.com/office/drawing/2014/chart" uri="{C3380CC4-5D6E-409C-BE32-E72D297353CC}">
              <c16:uniqueId val="{00000006-B394-4755-B53E-F17E7AC289DB}"/>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8626126637653762"/>
          <c:y val="0.35225465138430284"/>
          <c:w val="0.18505002716683933"/>
          <c:h val="0.275329406908813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العدد</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تقرير البحث التمهيدي</c:v>
                </c:pt>
                <c:pt idx="1">
                  <c:v>تقرير البحث و/أو الفحص الموضوعي</c:v>
                </c:pt>
                <c:pt idx="2">
                  <c:v>وصف البراءة</c:v>
                </c:pt>
                <c:pt idx="3">
                  <c:v>البيانات الببليوغرافية</c:v>
                </c:pt>
                <c:pt idx="4">
                  <c:v>موقع وثائق البراءات الأخرى (يرجى التحديد)</c:v>
                </c:pt>
              </c:strCache>
            </c:strRef>
          </c:cat>
          <c:val>
            <c:numRef>
              <c:f>Sheet1!$B$2:$B$6</c:f>
              <c:numCache>
                <c:formatCode>General</c:formatCode>
                <c:ptCount val="5"/>
                <c:pt idx="0">
                  <c:v>18</c:v>
                </c:pt>
                <c:pt idx="1">
                  <c:v>42</c:v>
                </c:pt>
                <c:pt idx="2">
                  <c:v>28</c:v>
                </c:pt>
                <c:pt idx="3">
                  <c:v>25</c:v>
                </c:pt>
                <c:pt idx="4">
                  <c:v>6</c:v>
                </c:pt>
              </c:numCache>
            </c:numRef>
          </c:val>
          <c:extLst>
            <c:ext xmlns:c16="http://schemas.microsoft.com/office/drawing/2014/chart" uri="{C3380CC4-5D6E-409C-BE32-E72D297353CC}">
              <c16:uniqueId val="{00000000-2A49-4B89-BD11-3160C7898626}"/>
            </c:ext>
          </c:extLst>
        </c:ser>
        <c:dLbls>
          <c:dLblPos val="outEnd"/>
          <c:showLegendKey val="0"/>
          <c:showVal val="1"/>
          <c:showCatName val="0"/>
          <c:showSerName val="0"/>
          <c:showPercent val="0"/>
          <c:showBubbleSize val="0"/>
        </c:dLbls>
        <c:gapWidth val="227"/>
        <c:overlap val="-48"/>
        <c:axId val="1686448224"/>
        <c:axId val="1686443424"/>
      </c:barChart>
      <c:catAx>
        <c:axId val="1686448224"/>
        <c:scaling>
          <c:orientation val="minMax"/>
        </c:scaling>
        <c:delete val="0"/>
        <c:axPos val="l"/>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86443424"/>
        <c:crosses val="autoZero"/>
        <c:auto val="1"/>
        <c:lblAlgn val="ctr"/>
        <c:lblOffset val="100"/>
        <c:noMultiLvlLbl val="0"/>
      </c:catAx>
      <c:valAx>
        <c:axId val="1686443424"/>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64482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434749794283258"/>
          <c:y val="0.10786290322580645"/>
          <c:w val="0.35189704903483465"/>
          <c:h val="0.79939516129032251"/>
        </c:manualLayout>
      </c:layout>
      <c:doughnutChart>
        <c:varyColors val="1"/>
        <c:ser>
          <c:idx val="0"/>
          <c:order val="0"/>
          <c:tx>
            <c:strRef>
              <c:f>Sheet1!$B$1</c:f>
              <c:strCache>
                <c:ptCount val="1"/>
                <c:pt idx="0">
                  <c:v>في المائة</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40C-4F01-AE4F-E3F43DA88792}"/>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440C-4F01-AE4F-E3F43DA8879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40C-4F01-AE4F-E3F43DA88792}"/>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نعم</c:v>
                </c:pt>
                <c:pt idx="1">
                  <c:v>جزئيا (يرجى التحديد/تقديم مزيد من التفاصيل)</c:v>
                </c:pt>
                <c:pt idx="2">
                  <c:v>لا</c:v>
                </c:pt>
              </c:strCache>
            </c:strRef>
          </c:cat>
          <c:val>
            <c:numRef>
              <c:f>Sheet1!$B$2:$B$4</c:f>
              <c:numCache>
                <c:formatCode>0.00%</c:formatCode>
                <c:ptCount val="3"/>
                <c:pt idx="0">
                  <c:v>0.63600000000000001</c:v>
                </c:pt>
                <c:pt idx="1">
                  <c:v>0.2</c:v>
                </c:pt>
                <c:pt idx="2">
                  <c:v>0.16400000000000001</c:v>
                </c:pt>
              </c:numCache>
            </c:numRef>
          </c:val>
          <c:extLst>
            <c:ext xmlns:c16="http://schemas.microsoft.com/office/drawing/2014/chart" uri="{C3380CC4-5D6E-409C-BE32-E72D297353CC}">
              <c16:uniqueId val="{00000006-440C-4F01-AE4F-E3F43DA88792}"/>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4762111081799256"/>
          <c:y val="0.37588027051054101"/>
          <c:w val="0.28581576515271956"/>
          <c:h val="0.3994491363982727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604747820101364"/>
          <c:y val="0.10456327787655575"/>
          <c:w val="0.3581192161274937"/>
          <c:h val="0.81352989268478537"/>
        </c:manualLayout>
      </c:layout>
      <c:doughnutChart>
        <c:varyColors val="1"/>
        <c:ser>
          <c:idx val="0"/>
          <c:order val="0"/>
          <c:tx>
            <c:strRef>
              <c:f>Sheet1!$B$1</c:f>
              <c:strCache>
                <c:ptCount val="1"/>
                <c:pt idx="0">
                  <c:v>في المائة</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B1C-4FA8-A613-54D2A24D6F8D}"/>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3B1C-4FA8-A613-54D2A24D6F8D}"/>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نعم</c:v>
                </c:pt>
                <c:pt idx="1">
                  <c:v>لا</c:v>
                </c:pt>
              </c:strCache>
            </c:strRef>
          </c:cat>
          <c:val>
            <c:numRef>
              <c:f>Sheet1!$B$2:$B$3</c:f>
              <c:numCache>
                <c:formatCode>0.00%</c:formatCode>
                <c:ptCount val="2"/>
                <c:pt idx="0">
                  <c:v>0.34499999999999997</c:v>
                </c:pt>
                <c:pt idx="1">
                  <c:v>0.65500000000000003</c:v>
                </c:pt>
              </c:numCache>
            </c:numRef>
          </c:val>
          <c:extLst>
            <c:ext xmlns:c16="http://schemas.microsoft.com/office/drawing/2014/chart" uri="{C3380CC4-5D6E-409C-BE32-E72D297353CC}">
              <c16:uniqueId val="{00000004-3B1C-4FA8-A613-54D2A24D6F8D}"/>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77752035765886485"/>
          <c:y val="0.41998428371856744"/>
          <c:w val="6.0509373869868217E-2"/>
          <c:h val="0.200354013208026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49284742548542"/>
          <c:y val="5.774278215223097E-2"/>
          <c:w val="0.81691552953786539"/>
          <c:h val="0.63231777130220934"/>
        </c:manualLayout>
      </c:layout>
      <c:barChart>
        <c:barDir val="col"/>
        <c:grouping val="clustered"/>
        <c:varyColors val="0"/>
        <c:ser>
          <c:idx val="0"/>
          <c:order val="0"/>
          <c:tx>
            <c:strRef>
              <c:f>Sheet1!$B$1</c:f>
              <c:strCache>
                <c:ptCount val="1"/>
                <c:pt idx="0">
                  <c:v>نعم</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تقرير البحث الوطني أو الإقليمي (غير معاهدة التعاون بشأن البراءات)</c:v>
                </c:pt>
                <c:pt idx="1">
                  <c:v>تقرير البحث الدولي</c:v>
                </c:pt>
              </c:strCache>
            </c:strRef>
          </c:cat>
          <c:val>
            <c:numRef>
              <c:f>Sheet1!$B$2:$B$3</c:f>
              <c:numCache>
                <c:formatCode>General</c:formatCode>
                <c:ptCount val="2"/>
                <c:pt idx="0">
                  <c:v>40</c:v>
                </c:pt>
                <c:pt idx="1">
                  <c:v>28</c:v>
                </c:pt>
              </c:numCache>
            </c:numRef>
          </c:val>
          <c:extLst>
            <c:ext xmlns:c16="http://schemas.microsoft.com/office/drawing/2014/chart" uri="{C3380CC4-5D6E-409C-BE32-E72D297353CC}">
              <c16:uniqueId val="{00000000-6AA1-4B3F-A24C-F0E0177B7FCC}"/>
            </c:ext>
          </c:extLst>
        </c:ser>
        <c:ser>
          <c:idx val="1"/>
          <c:order val="1"/>
          <c:tx>
            <c:strRef>
              <c:f>Sheet1!$C$1</c:f>
              <c:strCache>
                <c:ptCount val="1"/>
                <c:pt idx="0">
                  <c:v>لا</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تقرير البحث الوطني أو الإقليمي (غير معاهدة التعاون بشأن البراءات)</c:v>
                </c:pt>
                <c:pt idx="1">
                  <c:v>تقرير البحث الدولي</c:v>
                </c:pt>
              </c:strCache>
            </c:strRef>
          </c:cat>
          <c:val>
            <c:numRef>
              <c:f>Sheet1!$C$2:$C$3</c:f>
              <c:numCache>
                <c:formatCode>General</c:formatCode>
                <c:ptCount val="2"/>
                <c:pt idx="0">
                  <c:v>15</c:v>
                </c:pt>
                <c:pt idx="1">
                  <c:v>27</c:v>
                </c:pt>
              </c:numCache>
            </c:numRef>
          </c:val>
          <c:extLst>
            <c:ext xmlns:c16="http://schemas.microsoft.com/office/drawing/2014/chart" uri="{C3380CC4-5D6E-409C-BE32-E72D297353CC}">
              <c16:uniqueId val="{00000001-6AA1-4B3F-A24C-F0E0177B7FCC}"/>
            </c:ext>
          </c:extLst>
        </c:ser>
        <c:dLbls>
          <c:dLblPos val="outEnd"/>
          <c:showLegendKey val="0"/>
          <c:showVal val="1"/>
          <c:showCatName val="0"/>
          <c:showSerName val="0"/>
          <c:showPercent val="0"/>
          <c:showBubbleSize val="0"/>
        </c:dLbls>
        <c:gapWidth val="267"/>
        <c:overlap val="-43"/>
        <c:axId val="360790112"/>
        <c:axId val="386642560"/>
      </c:barChart>
      <c:catAx>
        <c:axId val="36079011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86642560"/>
        <c:crosses val="autoZero"/>
        <c:auto val="1"/>
        <c:lblAlgn val="ctr"/>
        <c:lblOffset val="100"/>
        <c:noMultiLvlLbl val="0"/>
      </c:catAx>
      <c:valAx>
        <c:axId val="3866425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6079011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لا</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مراقبة جودة غير معاهدة التعاون بشأن البراءات</c:v>
                </c:pt>
                <c:pt idx="1">
                  <c:v>مراقبة جودة تقرير البحث الدولي</c:v>
                </c:pt>
              </c:strCache>
            </c:strRef>
          </c:cat>
          <c:val>
            <c:numRef>
              <c:f>Sheet1!$B$2:$B$3</c:f>
              <c:numCache>
                <c:formatCode>General</c:formatCode>
                <c:ptCount val="2"/>
                <c:pt idx="0">
                  <c:v>10</c:v>
                </c:pt>
                <c:pt idx="1">
                  <c:v>2</c:v>
                </c:pt>
              </c:numCache>
            </c:numRef>
          </c:val>
          <c:extLst>
            <c:ext xmlns:c16="http://schemas.microsoft.com/office/drawing/2014/chart" uri="{C3380CC4-5D6E-409C-BE32-E72D297353CC}">
              <c16:uniqueId val="{00000000-6A65-486F-BEEB-6B2599122D28}"/>
            </c:ext>
          </c:extLst>
        </c:ser>
        <c:ser>
          <c:idx val="1"/>
          <c:order val="1"/>
          <c:tx>
            <c:strRef>
              <c:f>Sheet1!$C$1</c:f>
              <c:strCache>
                <c:ptCount val="1"/>
                <c:pt idx="0">
                  <c:v>نعم</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مراقبة جودة غير معاهدة التعاون بشأن البراءات</c:v>
                </c:pt>
                <c:pt idx="1">
                  <c:v>مراقبة جودة تقرير البحث الدولي</c:v>
                </c:pt>
              </c:strCache>
            </c:strRef>
          </c:cat>
          <c:val>
            <c:numRef>
              <c:f>Sheet1!$C$2:$C$3</c:f>
              <c:numCache>
                <c:formatCode>General</c:formatCode>
                <c:ptCount val="2"/>
                <c:pt idx="0">
                  <c:v>30</c:v>
                </c:pt>
                <c:pt idx="1">
                  <c:v>26</c:v>
                </c:pt>
              </c:numCache>
            </c:numRef>
          </c:val>
          <c:extLst>
            <c:ext xmlns:c16="http://schemas.microsoft.com/office/drawing/2014/chart" uri="{C3380CC4-5D6E-409C-BE32-E72D297353CC}">
              <c16:uniqueId val="{00000001-6A65-486F-BEEB-6B2599122D28}"/>
            </c:ext>
          </c:extLst>
        </c:ser>
        <c:dLbls>
          <c:dLblPos val="outEnd"/>
          <c:showLegendKey val="0"/>
          <c:showVal val="1"/>
          <c:showCatName val="0"/>
          <c:showSerName val="0"/>
          <c:showPercent val="0"/>
          <c:showBubbleSize val="0"/>
        </c:dLbls>
        <c:gapWidth val="267"/>
        <c:overlap val="-43"/>
        <c:axId val="360790112"/>
        <c:axId val="386642560"/>
      </c:barChart>
      <c:catAx>
        <c:axId val="36079011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86642560"/>
        <c:crosses val="autoZero"/>
        <c:auto val="1"/>
        <c:lblAlgn val="ctr"/>
        <c:lblOffset val="100"/>
        <c:noMultiLvlLbl val="0"/>
      </c:catAx>
      <c:valAx>
        <c:axId val="3866425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6079011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044104621157987"/>
          <c:y val="7.8625063500127004E-2"/>
          <c:w val="0.35937133662596593"/>
          <c:h val="0.81637430149860313"/>
        </c:manualLayout>
      </c:layout>
      <c:doughnutChart>
        <c:varyColors val="1"/>
        <c:ser>
          <c:idx val="0"/>
          <c:order val="0"/>
          <c:tx>
            <c:strRef>
              <c:f>Sheet1!$B$1</c:f>
              <c:strCache>
                <c:ptCount val="1"/>
                <c:pt idx="0">
                  <c:v>في المائة</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4A8-45C4-A448-0F67163CC834}"/>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E4A8-45C4-A448-0F67163CC83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4A8-45C4-A448-0F67163CC834}"/>
              </c:ext>
            </c:extLst>
          </c:dPt>
          <c:dLbls>
            <c:dLbl>
              <c:idx val="2"/>
              <c:layout>
                <c:manualLayout>
                  <c:x val="1.5566336879289319E-3"/>
                  <c:y val="-2.9136636398272797E-2"/>
                </c:manualLayout>
              </c:layout>
              <c:tx>
                <c:rich>
                  <a:bodyPr/>
                  <a:lstStyle/>
                  <a:p>
                    <a:fld id="{73376FB5-658C-45AA-A382-F559BF9C5EB2}" type="VALUE">
                      <a:rPr lang="en-US" sz="800">
                        <a:solidFill>
                          <a:schemeClr val="bg1"/>
                        </a:solidFill>
                        <a:latin typeface="Arial" panose="020B0604020202020204" pitchFamily="34" charset="0"/>
                        <a:cs typeface="Arial" panose="020B0604020202020204" pitchFamily="34" charset="0"/>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E4A8-45C4-A448-0F67163CC834}"/>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نعم</c:v>
                </c:pt>
                <c:pt idx="1">
                  <c:v>لا</c:v>
                </c:pt>
                <c:pt idx="2">
                  <c:v>ليس الآن، ولكن نعتزم ذلك في المستقبل</c:v>
                </c:pt>
              </c:strCache>
            </c:strRef>
          </c:cat>
          <c:val>
            <c:numRef>
              <c:f>Sheet1!$B$2:$B$4</c:f>
              <c:numCache>
                <c:formatCode>0.00%</c:formatCode>
                <c:ptCount val="3"/>
                <c:pt idx="0">
                  <c:v>0.29099999999999998</c:v>
                </c:pt>
                <c:pt idx="1">
                  <c:v>0.67300000000000004</c:v>
                </c:pt>
                <c:pt idx="2">
                  <c:v>3.5999999999999997E-2</c:v>
                </c:pt>
              </c:numCache>
            </c:numRef>
          </c:val>
          <c:extLst>
            <c:ext xmlns:c16="http://schemas.microsoft.com/office/drawing/2014/chart" uri="{C3380CC4-5D6E-409C-BE32-E72D297353CC}">
              <c16:uniqueId val="{00000006-E4A8-45C4-A448-0F67163CC834}"/>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4702745859895983"/>
          <c:y val="0.3141799752349505"/>
          <c:w val="0.3079383076893511"/>
          <c:h val="0.4772721139192278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العدد</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أرقام الصفحات</c:v>
                </c:pt>
                <c:pt idx="1">
                  <c:v>أرقام الأعمدة</c:v>
                </c:pt>
                <c:pt idx="2">
                  <c:v>أرقام السطور</c:v>
                </c:pt>
                <c:pt idx="3">
                  <c:v>أرقام الفقرات</c:v>
                </c:pt>
                <c:pt idx="4">
                  <c:v>غير ذلك (يُرجى التحديد)</c:v>
                </c:pt>
              </c:strCache>
            </c:strRef>
          </c:cat>
          <c:val>
            <c:numRef>
              <c:f>Sheet1!$B$2:$B$6</c:f>
              <c:numCache>
                <c:formatCode>General</c:formatCode>
                <c:ptCount val="5"/>
                <c:pt idx="0">
                  <c:v>47</c:v>
                </c:pt>
                <c:pt idx="1">
                  <c:v>9</c:v>
                </c:pt>
                <c:pt idx="2">
                  <c:v>27</c:v>
                </c:pt>
                <c:pt idx="3">
                  <c:v>26</c:v>
                </c:pt>
                <c:pt idx="4">
                  <c:v>11</c:v>
                </c:pt>
              </c:numCache>
            </c:numRef>
          </c:val>
          <c:extLst>
            <c:ext xmlns:c16="http://schemas.microsoft.com/office/drawing/2014/chart" uri="{C3380CC4-5D6E-409C-BE32-E72D297353CC}">
              <c16:uniqueId val="{00000000-CE71-48DC-92E9-E1B57554E02A}"/>
            </c:ext>
          </c:extLst>
        </c:ser>
        <c:dLbls>
          <c:dLblPos val="outEnd"/>
          <c:showLegendKey val="0"/>
          <c:showVal val="1"/>
          <c:showCatName val="0"/>
          <c:showSerName val="0"/>
          <c:showPercent val="0"/>
          <c:showBubbleSize val="0"/>
        </c:dLbls>
        <c:gapWidth val="227"/>
        <c:overlap val="-48"/>
        <c:axId val="1923483360"/>
        <c:axId val="1923483840"/>
      </c:barChart>
      <c:catAx>
        <c:axId val="1923483360"/>
        <c:scaling>
          <c:orientation val="minMax"/>
        </c:scaling>
        <c:delete val="0"/>
        <c:axPos val="l"/>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3483840"/>
        <c:crosses val="autoZero"/>
        <c:auto val="1"/>
        <c:lblAlgn val="ctr"/>
        <c:lblOffset val="100"/>
        <c:noMultiLvlLbl val="0"/>
      </c:catAx>
      <c:valAx>
        <c:axId val="192348384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348336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العدد</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Sheet1!$A$2:$A$10</c:f>
              <c:strCache>
                <c:ptCount val="9"/>
                <c:pt idx="0">
                  <c:v>أرقام الصور/الأشكال داخل الوصف</c:v>
                </c:pt>
                <c:pt idx="1">
                  <c:v>أرقام التركيبات الكيميائية</c:v>
                </c:pt>
                <c:pt idx="2">
                  <c:v>الجداول</c:v>
                </c:pt>
                <c:pt idx="3">
                  <c:v>تسلسلات جينية</c:v>
                </c:pt>
                <c:pt idx="4">
                  <c:v>المعادلات الرياضية</c:v>
                </c:pt>
                <c:pt idx="5">
                  <c:v>برامج الحاسوب</c:v>
                </c:pt>
                <c:pt idx="6">
                  <c:v>دقائق/ثواني (للاطلاع على مقاطع الفيديو)</c:v>
                </c:pt>
                <c:pt idx="7">
                  <c:v>معرّفات صفحات الويب (URL بمرجع العنوان/القسم)</c:v>
                </c:pt>
                <c:pt idx="8">
                  <c:v>غير ذلك (يُرجى التحديد)</c:v>
                </c:pt>
              </c:strCache>
            </c:strRef>
          </c:cat>
          <c:val>
            <c:numRef>
              <c:f>Sheet1!$B$2:$B$10</c:f>
              <c:numCache>
                <c:formatCode>General</c:formatCode>
                <c:ptCount val="9"/>
                <c:pt idx="0">
                  <c:v>44</c:v>
                </c:pt>
                <c:pt idx="1">
                  <c:v>33</c:v>
                </c:pt>
                <c:pt idx="2">
                  <c:v>40</c:v>
                </c:pt>
                <c:pt idx="3">
                  <c:v>36</c:v>
                </c:pt>
                <c:pt idx="4">
                  <c:v>30</c:v>
                </c:pt>
                <c:pt idx="5">
                  <c:v>12</c:v>
                </c:pt>
                <c:pt idx="6">
                  <c:v>13</c:v>
                </c:pt>
                <c:pt idx="7">
                  <c:v>22</c:v>
                </c:pt>
                <c:pt idx="8">
                  <c:v>8</c:v>
                </c:pt>
              </c:numCache>
            </c:numRef>
          </c:val>
          <c:extLst>
            <c:ext xmlns:c16="http://schemas.microsoft.com/office/drawing/2014/chart" uri="{C3380CC4-5D6E-409C-BE32-E72D297353CC}">
              <c16:uniqueId val="{00000000-AC1D-4C70-9DFD-8200C0839CD8}"/>
            </c:ext>
          </c:extLst>
        </c:ser>
        <c:dLbls>
          <c:dLblPos val="outEnd"/>
          <c:showLegendKey val="0"/>
          <c:showVal val="1"/>
          <c:showCatName val="0"/>
          <c:showSerName val="0"/>
          <c:showPercent val="0"/>
          <c:showBubbleSize val="0"/>
        </c:dLbls>
        <c:gapWidth val="227"/>
        <c:overlap val="-48"/>
        <c:axId val="56200800"/>
        <c:axId val="56213280"/>
      </c:barChart>
      <c:catAx>
        <c:axId val="5620080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13280"/>
        <c:crosses val="autoZero"/>
        <c:auto val="1"/>
        <c:lblAlgn val="ctr"/>
        <c:lblOffset val="100"/>
        <c:noMultiLvlLbl val="0"/>
      </c:catAx>
      <c:valAx>
        <c:axId val="562132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008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408192680152836"/>
          <c:y val="8.7701612903225798E-2"/>
          <c:w val="0.36299090303971598"/>
          <c:h val="0.82459677419354838"/>
        </c:manualLayout>
      </c:layout>
      <c:doughnutChart>
        <c:varyColors val="1"/>
        <c:ser>
          <c:idx val="0"/>
          <c:order val="0"/>
          <c:tx>
            <c:strRef>
              <c:f>Sheet1!$B$1</c:f>
              <c:strCache>
                <c:ptCount val="1"/>
                <c:pt idx="0">
                  <c:v>في المائة</c:v>
                </c:pt>
              </c:strCache>
            </c:strRef>
          </c:tx>
          <c:spPr>
            <a:ln>
              <a:noFill/>
            </a:ln>
          </c:spPr>
          <c:dPt>
            <c:idx val="0"/>
            <c:bubble3D val="0"/>
            <c:spPr>
              <a:solidFill>
                <a:schemeClr val="accent1"/>
              </a:solidFill>
              <a:ln w="19050">
                <a:noFill/>
              </a:ln>
              <a:effectLst/>
            </c:spPr>
            <c:extLst>
              <c:ext xmlns:c16="http://schemas.microsoft.com/office/drawing/2014/chart" uri="{C3380CC4-5D6E-409C-BE32-E72D297353CC}">
                <c16:uniqueId val="{00000001-C6D6-44F6-AF31-7EBEDCEEA854}"/>
              </c:ext>
            </c:extLst>
          </c:dPt>
          <c:dPt>
            <c:idx val="1"/>
            <c:bubble3D val="0"/>
            <c:spPr>
              <a:solidFill>
                <a:schemeClr val="accent6"/>
              </a:solidFill>
              <a:ln w="19050">
                <a:noFill/>
              </a:ln>
              <a:effectLst/>
            </c:spPr>
            <c:extLst>
              <c:ext xmlns:c16="http://schemas.microsoft.com/office/drawing/2014/chart" uri="{C3380CC4-5D6E-409C-BE32-E72D297353CC}">
                <c16:uniqueId val="{00000003-C6D6-44F6-AF31-7EBEDCEEA854}"/>
              </c:ext>
            </c:extLst>
          </c:dPt>
          <c:dPt>
            <c:idx val="2"/>
            <c:bubble3D val="0"/>
            <c:spPr>
              <a:solidFill>
                <a:schemeClr val="accent3"/>
              </a:solidFill>
              <a:ln w="19050">
                <a:noFill/>
              </a:ln>
              <a:effectLst/>
            </c:spPr>
            <c:extLst>
              <c:ext xmlns:c16="http://schemas.microsoft.com/office/drawing/2014/chart" uri="{C3380CC4-5D6E-409C-BE32-E72D297353CC}">
                <c16:uniqueId val="{00000005-C6D6-44F6-AF31-7EBEDCEEA854}"/>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نعم</c:v>
                </c:pt>
                <c:pt idx="1">
                  <c:v>لا</c:v>
                </c:pt>
                <c:pt idx="2">
                  <c:v>غير ذلك (يُرجى التحديد)</c:v>
                </c:pt>
              </c:strCache>
            </c:strRef>
          </c:cat>
          <c:val>
            <c:numRef>
              <c:f>Sheet1!$B$2:$B$4</c:f>
              <c:numCache>
                <c:formatCode>0.00%</c:formatCode>
                <c:ptCount val="3"/>
                <c:pt idx="0">
                  <c:v>0.52700000000000002</c:v>
                </c:pt>
                <c:pt idx="1">
                  <c:v>0.34499999999999997</c:v>
                </c:pt>
                <c:pt idx="2">
                  <c:v>0.127</c:v>
                </c:pt>
              </c:numCache>
            </c:numRef>
          </c:val>
          <c:extLst>
            <c:ext xmlns:c16="http://schemas.microsoft.com/office/drawing/2014/chart" uri="{C3380CC4-5D6E-409C-BE32-E72D297353CC}">
              <c16:uniqueId val="{00000006-C6D6-44F6-AF31-7EBEDCEEA854}"/>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9365326727103416"/>
          <c:y val="0.37941365570231145"/>
          <c:w val="0.23090852549577298"/>
          <c:h val="0.241172291719583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العدد</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ترسل الترجمة الآلية الدقيقة مباشرة إلى المودع</c:v>
                </c:pt>
                <c:pt idx="1">
                  <c:v>تحمّل الترجمة الآلية على الملف الإلكتروني إلى سجل إلكتروني</c:v>
                </c:pt>
                <c:pt idx="2">
                  <c:v>لا يجري حاليا تقاسم الترجمة الآلية الدقيقة</c:v>
                </c:pt>
                <c:pt idx="3">
                  <c:v>أخرى </c:v>
                </c:pt>
              </c:strCache>
            </c:strRef>
          </c:cat>
          <c:val>
            <c:numRef>
              <c:f>Sheet1!$B$2:$B$5</c:f>
              <c:numCache>
                <c:formatCode>General</c:formatCode>
                <c:ptCount val="4"/>
                <c:pt idx="0">
                  <c:v>10</c:v>
                </c:pt>
                <c:pt idx="1">
                  <c:v>2</c:v>
                </c:pt>
                <c:pt idx="2">
                  <c:v>7</c:v>
                </c:pt>
                <c:pt idx="3">
                  <c:v>18</c:v>
                </c:pt>
              </c:numCache>
            </c:numRef>
          </c:val>
          <c:extLst>
            <c:ext xmlns:c16="http://schemas.microsoft.com/office/drawing/2014/chart" uri="{C3380CC4-5D6E-409C-BE32-E72D297353CC}">
              <c16:uniqueId val="{00000000-54D9-4612-83F9-8EA958ACF4AE}"/>
            </c:ext>
          </c:extLst>
        </c:ser>
        <c:dLbls>
          <c:dLblPos val="outEnd"/>
          <c:showLegendKey val="0"/>
          <c:showVal val="1"/>
          <c:showCatName val="0"/>
          <c:showSerName val="0"/>
          <c:showPercent val="0"/>
          <c:showBubbleSize val="0"/>
        </c:dLbls>
        <c:gapWidth val="227"/>
        <c:overlap val="-48"/>
        <c:axId val="56232480"/>
        <c:axId val="56245440"/>
      </c:barChart>
      <c:catAx>
        <c:axId val="5623248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45440"/>
        <c:crosses val="autoZero"/>
        <c:auto val="1"/>
        <c:lblAlgn val="ctr"/>
        <c:lblOffset val="100"/>
        <c:noMultiLvlLbl val="0"/>
      </c:catAx>
      <c:valAx>
        <c:axId val="562454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324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العدد</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Sheet1!$A$2:$A$3</c:f>
              <c:strCache>
                <c:ptCount val="2"/>
                <c:pt idx="0">
                  <c:v>نعم </c:v>
                </c:pt>
                <c:pt idx="1">
                  <c:v>لا</c:v>
                </c:pt>
              </c:strCache>
            </c:strRef>
          </c:cat>
          <c:val>
            <c:numRef>
              <c:f>Sheet1!$B$2:$B$3</c:f>
              <c:numCache>
                <c:formatCode>General</c:formatCode>
                <c:ptCount val="2"/>
                <c:pt idx="0">
                  <c:v>9</c:v>
                </c:pt>
                <c:pt idx="1">
                  <c:v>27</c:v>
                </c:pt>
              </c:numCache>
            </c:numRef>
          </c:val>
          <c:extLst>
            <c:ext xmlns:c16="http://schemas.microsoft.com/office/drawing/2014/chart" uri="{C3380CC4-5D6E-409C-BE32-E72D297353CC}">
              <c16:uniqueId val="{00000000-C94A-4AE5-ACF9-1F8A8D792240}"/>
            </c:ext>
          </c:extLst>
        </c:ser>
        <c:dLbls>
          <c:showLegendKey val="0"/>
          <c:showVal val="0"/>
          <c:showCatName val="0"/>
          <c:showSerName val="0"/>
          <c:showPercent val="0"/>
          <c:showBubbleSize val="0"/>
        </c:dLbls>
        <c:gapWidth val="227"/>
        <c:overlap val="-48"/>
        <c:axId val="797167936"/>
        <c:axId val="797148736"/>
      </c:barChart>
      <c:catAx>
        <c:axId val="797167936"/>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97148736"/>
        <c:crosses val="autoZero"/>
        <c:auto val="1"/>
        <c:lblAlgn val="ctr"/>
        <c:lblOffset val="100"/>
        <c:noMultiLvlLbl val="0"/>
      </c:catAx>
      <c:valAx>
        <c:axId val="7971487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971679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العدد</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Sheet1!$A$2:$A$4</c:f>
              <c:strCache>
                <c:ptCount val="3"/>
                <c:pt idx="0">
                  <c:v>نعم</c:v>
                </c:pt>
                <c:pt idx="1">
                  <c:v>لا</c:v>
                </c:pt>
                <c:pt idx="2">
                  <c:v>غير ذلك (يُرجى التحديد)</c:v>
                </c:pt>
              </c:strCache>
            </c:strRef>
          </c:cat>
          <c:val>
            <c:numRef>
              <c:f>Sheet1!$B$2:$B$4</c:f>
              <c:numCache>
                <c:formatCode>General</c:formatCode>
                <c:ptCount val="3"/>
                <c:pt idx="0">
                  <c:v>24</c:v>
                </c:pt>
                <c:pt idx="1">
                  <c:v>10</c:v>
                </c:pt>
                <c:pt idx="2">
                  <c:v>2</c:v>
                </c:pt>
              </c:numCache>
            </c:numRef>
          </c:val>
          <c:extLst>
            <c:ext xmlns:c16="http://schemas.microsoft.com/office/drawing/2014/chart" uri="{C3380CC4-5D6E-409C-BE32-E72D297353CC}">
              <c16:uniqueId val="{00000000-31C4-4C88-BE40-7A13D7BA2BA6}"/>
            </c:ext>
          </c:extLst>
        </c:ser>
        <c:dLbls>
          <c:dLblPos val="outEnd"/>
          <c:showLegendKey val="0"/>
          <c:showVal val="1"/>
          <c:showCatName val="0"/>
          <c:showSerName val="0"/>
          <c:showPercent val="0"/>
          <c:showBubbleSize val="0"/>
        </c:dLbls>
        <c:gapWidth val="227"/>
        <c:overlap val="-48"/>
        <c:axId val="873853520"/>
        <c:axId val="873882800"/>
      </c:barChart>
      <c:catAx>
        <c:axId val="873853520"/>
        <c:scaling>
          <c:orientation val="minMax"/>
        </c:scaling>
        <c:delete val="0"/>
        <c:axPos val="l"/>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73882800"/>
        <c:crosses val="autoZero"/>
        <c:auto val="1"/>
        <c:lblAlgn val="ctr"/>
        <c:lblOffset val="100"/>
        <c:noMultiLvlLbl val="0"/>
      </c:catAx>
      <c:valAx>
        <c:axId val="87388280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738535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f7a99264-aac8-44dd-b14f-8017e78a225a"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00892D-1FEA-4820-A47C-62A12FE17632}">
  <ds:schemaRefs>
    <ds:schemaRef ds:uri="http://schemas.microsoft.com/sharepoint/v3/contenttype/forms"/>
  </ds:schemaRefs>
</ds:datastoreItem>
</file>

<file path=customXml/itemProps2.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3.xml><?xml version="1.0" encoding="utf-8"?>
<ds:datastoreItem xmlns:ds="http://schemas.openxmlformats.org/officeDocument/2006/customXml" ds:itemID="{50A7B273-9AF2-4069-8785-56D98F486073}">
  <ds:schemaRefs>
    <ds:schemaRef ds:uri="Microsoft.SharePoint.Taxonomy.ContentTypeSync"/>
  </ds:schemaRefs>
</ds:datastoreItem>
</file>

<file path=customXml/itemProps4.xml><?xml version="1.0" encoding="utf-8"?>
<ds:datastoreItem xmlns:ds="http://schemas.openxmlformats.org/officeDocument/2006/customXml" ds:itemID="{344D066B-8EFE-40DB-BA46-2E105B070FE9}">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5.xml><?xml version="1.0" encoding="utf-8"?>
<ds:datastoreItem xmlns:ds="http://schemas.openxmlformats.org/officeDocument/2006/customXml" ds:itemID="{FA617818-8393-491F-AE31-4141025E4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CWS_14 (E).dotm</Template>
  <TotalTime>15</TotalTime>
  <Pages>11</Pages>
  <Words>3917</Words>
  <Characters>22328</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CWS/14/20 (Arabic) </vt:lpstr>
    </vt:vector>
  </TitlesOfParts>
  <Company>WIPO</Company>
  <LinksUpToDate>false</LinksUpToDate>
  <CharactersWithSpaces>26193</CharactersWithSpaces>
  <SharedDoc>false</SharedDoc>
  <HLinks>
    <vt:vector size="48" baseType="variant">
      <vt:variant>
        <vt:i4>5308517</vt:i4>
      </vt:variant>
      <vt:variant>
        <vt:i4>9</vt:i4>
      </vt:variant>
      <vt:variant>
        <vt:i4>0</vt:i4>
      </vt:variant>
      <vt:variant>
        <vt:i4>5</vt:i4>
      </vt:variant>
      <vt:variant>
        <vt:lpwstr>https://www.wipo.int/edocs/mdocs/cws/en/cws_4_bis/cws_4_bis_16.pdf</vt:lpwstr>
      </vt:variant>
      <vt:variant>
        <vt:lpwstr/>
      </vt:variant>
      <vt:variant>
        <vt:i4>1703959</vt:i4>
      </vt:variant>
      <vt:variant>
        <vt:i4>6</vt:i4>
      </vt:variant>
      <vt:variant>
        <vt:i4>0</vt:i4>
      </vt:variant>
      <vt:variant>
        <vt:i4>5</vt:i4>
      </vt:variant>
      <vt:variant>
        <vt:lpwstr>https://www.wipo.int/documents/d/cws/docs-en-circulars-files-cws-205.pdf</vt:lpwstr>
      </vt:variant>
      <vt:variant>
        <vt:lpwstr/>
      </vt:variant>
      <vt:variant>
        <vt:i4>4259954</vt:i4>
      </vt:variant>
      <vt:variant>
        <vt:i4>3</vt:i4>
      </vt:variant>
      <vt:variant>
        <vt:i4>0</vt:i4>
      </vt:variant>
      <vt:variant>
        <vt:i4>5</vt:i4>
      </vt:variant>
      <vt:variant>
        <vt:lpwstr>https://www.wipo.int/edocs/mdocs/cws/en/cws_13/cws_13_33.pdf</vt:lpwstr>
      </vt:variant>
      <vt:variant>
        <vt:lpwstr/>
      </vt:variant>
      <vt:variant>
        <vt:i4>6422576</vt:i4>
      </vt:variant>
      <vt:variant>
        <vt:i4>0</vt:i4>
      </vt:variant>
      <vt:variant>
        <vt:i4>0</vt:i4>
      </vt:variant>
      <vt:variant>
        <vt:i4>5</vt:i4>
      </vt:variant>
      <vt:variant>
        <vt:lpwstr>https://www.wipo.int/meetings/en/doc_details.jsp?doc_id=652146</vt:lpwstr>
      </vt:variant>
      <vt:variant>
        <vt:lpwstr/>
      </vt:variant>
      <vt:variant>
        <vt:i4>65648</vt:i4>
      </vt:variant>
      <vt:variant>
        <vt:i4>9</vt:i4>
      </vt:variant>
      <vt:variant>
        <vt:i4>0</vt:i4>
      </vt:variant>
      <vt:variant>
        <vt:i4>5</vt:i4>
      </vt:variant>
      <vt:variant>
        <vt:lpwstr>mailto:erjola.murataj@wipo.int</vt:lpwstr>
      </vt:variant>
      <vt:variant>
        <vt:lpwstr/>
      </vt:variant>
      <vt:variant>
        <vt:i4>65648</vt:i4>
      </vt:variant>
      <vt:variant>
        <vt:i4>6</vt:i4>
      </vt:variant>
      <vt:variant>
        <vt:i4>0</vt:i4>
      </vt:variant>
      <vt:variant>
        <vt:i4>5</vt:i4>
      </vt:variant>
      <vt:variant>
        <vt:lpwstr>mailto:erjola.murataj@wipo.int</vt:lpwstr>
      </vt:variant>
      <vt:variant>
        <vt:lpwstr/>
      </vt:variant>
      <vt:variant>
        <vt:i4>65648</vt:i4>
      </vt:variant>
      <vt:variant>
        <vt:i4>3</vt:i4>
      </vt:variant>
      <vt:variant>
        <vt:i4>0</vt:i4>
      </vt:variant>
      <vt:variant>
        <vt:i4>5</vt:i4>
      </vt:variant>
      <vt:variant>
        <vt:lpwstr>mailto:erjola.murataj@wipo.int</vt:lpwstr>
      </vt:variant>
      <vt:variant>
        <vt:lpwstr/>
      </vt:variant>
      <vt:variant>
        <vt:i4>65648</vt:i4>
      </vt:variant>
      <vt:variant>
        <vt:i4>0</vt:i4>
      </vt:variant>
      <vt:variant>
        <vt:i4>0</vt:i4>
      </vt:variant>
      <vt:variant>
        <vt:i4>5</vt:i4>
      </vt:variant>
      <vt:variant>
        <vt:lpwstr>mailto:erjola.murataj@wipo.int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CWS/14/20 (Arabic) </dc:title>
  <dc:subject>تحليل نتائج الدراسة الاستقصائية بشأن ممارسات الاستشهاد فيما يتعلق بمعلومات البراءات </dc:subject>
  <dc:creator>WIPO</dc:creator>
  <cp:keywords>WIPO CWS Fourteenth Session, Analysis, survey results, citation practices, patent information </cp:keywords>
  <cp:lastModifiedBy>EMMETT Claudia</cp:lastModifiedBy>
  <cp:revision>8</cp:revision>
  <cp:lastPrinted>2026-10-07T09:56:00Z</cp:lastPrinted>
  <dcterms:created xsi:type="dcterms:W3CDTF">2026-10-07T09:44:00Z</dcterms:created>
  <dcterms:modified xsi:type="dcterms:W3CDTF">2026-10-12T14:57:00Z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bfdbf798-d534-4b77-8ea2-c5ab6cc25c72</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2026-09-03T15:27:41Z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1292af35-dc4b-4e9f-8a8a-09fabc8ecbaf</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y fmtid="{D5CDD505-2E9C-101B-9397-08002B2CF9AE}" pid="27" name="_dlc_DocId">
    <vt:lpwstr>ICSDBFP-360348501-20674</vt:lpwstr>
  </property>
  <property fmtid="{D5CDD505-2E9C-101B-9397-08002B2CF9AE}" pid="28" name="_dlc_DocIdUrl">
    <vt:lpwstr>https://wipoprod.sharepoint.com/sites/SPS-INT-BFP-ICSD-CWS/_layouts/15/DocIdRedir.aspx?ID=ICSDBFP-360348501-20674, ICSDBFP-360348501-20674</vt:lpwstr>
  </property>
</Properties>
</file>