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276FA" w14:textId="1A1BA844" w:rsidR="008B2CC1" w:rsidRPr="00F5407A" w:rsidRDefault="00F5407A" w:rsidP="00F11D94">
      <w:pPr>
        <w:bidi/>
        <w:spacing w:after="120"/>
        <w:jc w:val="right"/>
        <w:rPr>
          <w:rFonts w:ascii="Calibri" w:hAnsi="Calibri" w:cs="Calibri"/>
          <w:szCs w:val="22"/>
          <w:rtl/>
        </w:rPr>
      </w:pPr>
      <w:r w:rsidRPr="00F5407A">
        <w:rPr>
          <w:rFonts w:ascii="Calibri" w:hAnsi="Calibri" w:cs="Calibri"/>
          <w:b/>
          <w:noProof/>
          <w:szCs w:val="22"/>
          <w:lang w:eastAsia="en-US"/>
        </w:rPr>
        <mc:AlternateContent>
          <mc:Choice Requires="wpg">
            <w:drawing>
              <wp:inline distT="0" distB="0" distL="0" distR="0" wp14:anchorId="3212FADE" wp14:editId="1D2ED90A">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065FE2A5"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F5407A">
        <w:rPr>
          <w:rFonts w:ascii="Calibri" w:hAnsi="Calibri" w:cs="Calibri"/>
          <w:caps/>
          <w:noProof/>
          <w:szCs w:val="22"/>
          <w:rtl/>
        </w:rPr>
        <mc:AlternateContent>
          <mc:Choice Requires="wps">
            <w:drawing>
              <wp:inline distT="0" distB="0" distL="0" distR="0" wp14:anchorId="5FA1614A" wp14:editId="70EEF436">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E88FCB0"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0BB2883" w14:textId="55665114" w:rsidR="008B2CC1" w:rsidRPr="00F5407A" w:rsidRDefault="000817DB" w:rsidP="001024FE">
      <w:pPr>
        <w:bidi/>
        <w:jc w:val="right"/>
        <w:rPr>
          <w:rFonts w:ascii="Arial Black" w:hAnsi="Arial Black" w:cs="Calibri"/>
          <w:caps/>
          <w:sz w:val="15"/>
          <w:szCs w:val="15"/>
          <w:rtl/>
        </w:rPr>
      </w:pPr>
      <w:r w:rsidRPr="00F5407A">
        <w:rPr>
          <w:rFonts w:ascii="Arial Black" w:hAnsi="Arial Black" w:cs="Calibri"/>
          <w:sz w:val="15"/>
          <w:szCs w:val="15"/>
        </w:rPr>
        <w:t>CWS\14\12</w:t>
      </w:r>
    </w:p>
    <w:p w14:paraId="070E25AD" w14:textId="171785EF" w:rsidR="00CE65D4" w:rsidRPr="00F5407A" w:rsidRDefault="00CE65D4" w:rsidP="00CE65D4">
      <w:pPr>
        <w:bidi/>
        <w:jc w:val="right"/>
        <w:rPr>
          <w:rFonts w:ascii="Calibri" w:hAnsi="Calibri" w:cs="Calibri"/>
          <w:b/>
          <w:bCs/>
          <w:caps/>
          <w:sz w:val="15"/>
          <w:szCs w:val="15"/>
          <w:rtl/>
        </w:rPr>
      </w:pPr>
      <w:r w:rsidRPr="00F5407A">
        <w:rPr>
          <w:rFonts w:ascii="Calibri" w:hAnsi="Calibri" w:cs="Calibri"/>
          <w:b/>
          <w:bCs/>
          <w:sz w:val="15"/>
          <w:szCs w:val="15"/>
          <w:rtl/>
        </w:rPr>
        <w:t>الأصل: بالإنكليزية</w:t>
      </w:r>
    </w:p>
    <w:p w14:paraId="44C80988" w14:textId="6BF55A3E" w:rsidR="008B2CC1" w:rsidRPr="00F5407A" w:rsidRDefault="00CE65D4" w:rsidP="00CE65D4">
      <w:pPr>
        <w:bidi/>
        <w:spacing w:after="1200"/>
        <w:jc w:val="right"/>
        <w:rPr>
          <w:rFonts w:ascii="Calibri" w:hAnsi="Calibri" w:cs="Calibri"/>
          <w:b/>
          <w:bCs/>
          <w:caps/>
          <w:sz w:val="15"/>
          <w:szCs w:val="15"/>
          <w:rtl/>
        </w:rPr>
      </w:pPr>
      <w:r w:rsidRPr="00F5407A">
        <w:rPr>
          <w:rFonts w:ascii="Calibri" w:hAnsi="Calibri" w:cs="Calibri"/>
          <w:b/>
          <w:bCs/>
          <w:caps/>
          <w:sz w:val="15"/>
          <w:szCs w:val="15"/>
          <w:rtl/>
        </w:rPr>
        <w:t xml:space="preserve">التاريخ: </w:t>
      </w:r>
      <w:bookmarkStart w:id="0" w:name="Date"/>
      <w:r w:rsidRPr="00F5407A">
        <w:rPr>
          <w:rFonts w:ascii="Calibri" w:hAnsi="Calibri" w:cs="Calibri"/>
          <w:b/>
          <w:bCs/>
          <w:caps/>
          <w:sz w:val="15"/>
          <w:szCs w:val="15"/>
          <w:rtl/>
        </w:rPr>
        <w:t>25 سبتمبر 2026</w:t>
      </w:r>
    </w:p>
    <w:bookmarkEnd w:id="0"/>
    <w:p w14:paraId="49227C46" w14:textId="77777777" w:rsidR="008B2CC1" w:rsidRPr="00F5407A" w:rsidRDefault="000817DB" w:rsidP="00CE65D4">
      <w:pPr>
        <w:bidi/>
        <w:spacing w:after="600"/>
        <w:rPr>
          <w:rFonts w:ascii="Calibri" w:hAnsi="Calibri" w:cs="Calibri"/>
          <w:b/>
          <w:sz w:val="28"/>
          <w:szCs w:val="28"/>
          <w:rtl/>
        </w:rPr>
      </w:pPr>
      <w:r w:rsidRPr="00F5407A">
        <w:rPr>
          <w:rFonts w:ascii="Calibri" w:hAnsi="Calibri" w:cs="Calibri"/>
          <w:b/>
          <w:bCs/>
          <w:sz w:val="28"/>
          <w:szCs w:val="28"/>
          <w:rtl/>
        </w:rPr>
        <w:t>اللجنة المعنية بمعايير الويبو (لجنة المعايير)</w:t>
      </w:r>
    </w:p>
    <w:p w14:paraId="4B06696A" w14:textId="77777777" w:rsidR="008B2CC1" w:rsidRPr="00F5407A" w:rsidRDefault="004B14C9" w:rsidP="008B2CC1">
      <w:pPr>
        <w:bidi/>
        <w:rPr>
          <w:rFonts w:ascii="Calibri" w:hAnsi="Calibri" w:cs="Calibri"/>
          <w:b/>
          <w:sz w:val="24"/>
          <w:szCs w:val="24"/>
          <w:rtl/>
        </w:rPr>
      </w:pPr>
      <w:r w:rsidRPr="00F5407A">
        <w:rPr>
          <w:rFonts w:ascii="Calibri" w:hAnsi="Calibri" w:cs="Calibri"/>
          <w:b/>
          <w:bCs/>
          <w:sz w:val="24"/>
          <w:szCs w:val="24"/>
          <w:rtl/>
        </w:rPr>
        <w:t>الدورة الرابعة عشرة</w:t>
      </w:r>
    </w:p>
    <w:p w14:paraId="5006D522" w14:textId="77777777" w:rsidR="008B2CC1" w:rsidRPr="00F5407A" w:rsidRDefault="000817DB" w:rsidP="00CE65D4">
      <w:pPr>
        <w:bidi/>
        <w:spacing w:after="720"/>
        <w:rPr>
          <w:rFonts w:ascii="Calibri" w:hAnsi="Calibri" w:cs="Calibri"/>
          <w:sz w:val="24"/>
          <w:szCs w:val="24"/>
          <w:rtl/>
        </w:rPr>
      </w:pPr>
      <w:r w:rsidRPr="00F5407A">
        <w:rPr>
          <w:rFonts w:ascii="Calibri" w:hAnsi="Calibri" w:cs="Calibri"/>
          <w:b/>
          <w:bCs/>
          <w:sz w:val="24"/>
          <w:szCs w:val="24"/>
          <w:rtl/>
        </w:rPr>
        <w:t>جنيف، من 23 إلى 27 نوفمبر 2026</w:t>
      </w:r>
    </w:p>
    <w:p w14:paraId="312B5A16" w14:textId="5787405A" w:rsidR="008B2CC1" w:rsidRPr="00F5407A" w:rsidRDefault="00C76CDB" w:rsidP="00CE65D4">
      <w:pPr>
        <w:bidi/>
        <w:spacing w:after="360"/>
        <w:rPr>
          <w:rFonts w:ascii="Calibri" w:hAnsi="Calibri" w:cs="Calibri"/>
          <w:caps/>
          <w:sz w:val="24"/>
          <w:szCs w:val="24"/>
          <w:rtl/>
        </w:rPr>
      </w:pPr>
      <w:bookmarkStart w:id="1" w:name="TitleOfDoc"/>
      <w:r w:rsidRPr="00F5407A">
        <w:rPr>
          <w:rFonts w:ascii="Calibri" w:hAnsi="Calibri" w:cs="Calibri"/>
          <w:caps/>
          <w:sz w:val="24"/>
          <w:szCs w:val="24"/>
          <w:rtl/>
        </w:rPr>
        <w:t>تحليل نتائج الدراسة الاستقصائية بشأن تبادل بيانات الملكية الفكرية</w:t>
      </w:r>
      <w:r w:rsidRPr="00F5407A">
        <w:rPr>
          <w:rFonts w:ascii="Calibri" w:hAnsi="Calibri" w:cs="Calibri"/>
          <w:sz w:val="24"/>
          <w:szCs w:val="24"/>
          <w:rtl/>
        </w:rPr>
        <w:t xml:space="preserve"> </w:t>
      </w:r>
    </w:p>
    <w:p w14:paraId="672BC493" w14:textId="1884E05E" w:rsidR="008B2CC1" w:rsidRPr="00F5407A" w:rsidRDefault="003A4E85" w:rsidP="009112A6">
      <w:pPr>
        <w:bidi/>
        <w:spacing w:after="960"/>
        <w:rPr>
          <w:rFonts w:ascii="Calibri" w:hAnsi="Calibri" w:cs="Calibri"/>
          <w:i/>
          <w:szCs w:val="22"/>
          <w:rtl/>
        </w:rPr>
      </w:pPr>
      <w:bookmarkStart w:id="2" w:name="Prepared"/>
      <w:bookmarkEnd w:id="1"/>
      <w:r w:rsidRPr="00F5407A">
        <w:rPr>
          <w:rFonts w:ascii="Calibri" w:hAnsi="Calibri" w:cs="Calibri"/>
          <w:i/>
          <w:iCs/>
          <w:szCs w:val="22"/>
          <w:rtl/>
        </w:rPr>
        <w:t>وثيقة من إعداد الأمانة</w:t>
      </w:r>
    </w:p>
    <w:bookmarkEnd w:id="2"/>
    <w:p w14:paraId="6BD3AFE5" w14:textId="12D3F0C3" w:rsidR="004B76A7" w:rsidRPr="007E4202" w:rsidRDefault="007E7611" w:rsidP="009112A6">
      <w:pPr>
        <w:pStyle w:val="Heading2"/>
        <w:bidi/>
        <w:rPr>
          <w:rFonts w:ascii="Calibri" w:hAnsi="Calibri" w:cs="Calibri"/>
          <w:b/>
          <w:bCs w:val="0"/>
          <w:i/>
          <w:iCs w:val="0"/>
          <w:sz w:val="24"/>
          <w:szCs w:val="24"/>
          <w:rtl/>
        </w:rPr>
      </w:pPr>
      <w:r w:rsidRPr="007E4202">
        <w:rPr>
          <w:rFonts w:ascii="Calibri" w:hAnsi="Calibri" w:cs="Calibri"/>
          <w:b/>
          <w:bCs w:val="0"/>
          <w:i/>
          <w:iCs w:val="0"/>
          <w:sz w:val="24"/>
          <w:szCs w:val="24"/>
          <w:rtl/>
        </w:rPr>
        <w:t>ملخص</w:t>
      </w:r>
    </w:p>
    <w:p w14:paraId="15392A0F" w14:textId="239BF6D0" w:rsidR="0081280E" w:rsidRPr="00F4502A" w:rsidRDefault="0081280E" w:rsidP="009C1AF0">
      <w:pPr>
        <w:pStyle w:val="ONUME"/>
        <w:bidi/>
        <w:rPr>
          <w:rFonts w:ascii="Calibri" w:hAnsi="Calibri" w:cs="Calibri"/>
          <w:sz w:val="24"/>
          <w:szCs w:val="22"/>
          <w:rtl/>
        </w:rPr>
      </w:pPr>
      <w:r w:rsidRPr="00F4502A">
        <w:rPr>
          <w:rFonts w:ascii="Calibri" w:hAnsi="Calibri" w:cs="Calibri"/>
          <w:sz w:val="24"/>
          <w:szCs w:val="22"/>
          <w:rtl/>
        </w:rPr>
        <w:t>أجرت الأمانة تحليلاً لنتائج الدراسة الاستقصائية بشأن ممارسات تبادل بيانات الملكية الفكرية بين مكاتب الملكية الفكرية، وهي تعرض النتائج التي خلصت إليها الدراسة على اللجنة المعنية بمعايير الويبو (لجنة المعايير) لتنظر فيها وتوافق على نشرها.</w:t>
      </w:r>
    </w:p>
    <w:p w14:paraId="0A3967B4" w14:textId="45A6EE14" w:rsidR="0099416B" w:rsidRPr="007E4202" w:rsidRDefault="007E7611" w:rsidP="00685153">
      <w:pPr>
        <w:pStyle w:val="Heading2"/>
        <w:bidi/>
        <w:spacing w:before="0" w:after="0"/>
        <w:rPr>
          <w:rFonts w:ascii="Calibri" w:hAnsi="Calibri" w:cs="Calibri"/>
          <w:b/>
          <w:bCs w:val="0"/>
          <w:i/>
          <w:iCs w:val="0"/>
          <w:sz w:val="24"/>
          <w:szCs w:val="24"/>
          <w:rtl/>
        </w:rPr>
      </w:pPr>
      <w:r w:rsidRPr="007E4202">
        <w:rPr>
          <w:rFonts w:ascii="Calibri" w:hAnsi="Calibri" w:cs="Calibri"/>
          <w:b/>
          <w:bCs w:val="0"/>
          <w:i/>
          <w:iCs w:val="0"/>
          <w:sz w:val="24"/>
          <w:szCs w:val="24"/>
          <w:rtl/>
        </w:rPr>
        <w:t>معلومات أساسية</w:t>
      </w:r>
    </w:p>
    <w:p w14:paraId="3A77F62D" w14:textId="24FBCE56" w:rsidR="00DE00DD" w:rsidRPr="00F5407A" w:rsidRDefault="00B71B02" w:rsidP="004A634D">
      <w:pPr>
        <w:pStyle w:val="ONUME"/>
        <w:bidi/>
        <w:rPr>
          <w:rFonts w:ascii="Calibri" w:hAnsi="Calibri" w:cs="Calibri"/>
          <w:szCs w:val="22"/>
          <w:rtl/>
        </w:rPr>
      </w:pPr>
      <w:r w:rsidRPr="00F5407A">
        <w:rPr>
          <w:rFonts w:ascii="Calibri" w:hAnsi="Calibri" w:cs="Calibri"/>
          <w:szCs w:val="22"/>
          <w:rtl/>
        </w:rPr>
        <w:t xml:space="preserve">في الدورة الثالثة عشرة للجنة المعايير التي عُقدت في نوفمبر 2025، طلبت اللجنة من فرقة العمل المعنية بتبادل بيانات الملكية الفكرية التابعة لها إعداد استبيان خاص بالدراسة الاستقصائية لجمع معلومات بشأن الممارسات الحالية لمكاتب الملكية الفكرية واقتراحاتها فيما يتعلق بتسهيل تبادل بيانات الملكية الفكرية.  علاوة على ذلك، طلبت لجنة المعايير من الأمانة أن تصدر تعميماً تدعو فيه مكاتب الملكية الفكرية إلى الرد على هذه الدراسة الاستقصائية (انظر(ي) الفقرة 91 من الوثيقة </w:t>
      </w:r>
      <w:r w:rsidRPr="00F5407A">
        <w:rPr>
          <w:rFonts w:ascii="Calibri" w:hAnsi="Calibri" w:cs="Calibri"/>
          <w:szCs w:val="22"/>
        </w:rPr>
        <w:t>CWS/13/33</w:t>
      </w:r>
      <w:r w:rsidRPr="00F5407A">
        <w:rPr>
          <w:rFonts w:ascii="Calibri" w:hAnsi="Calibri" w:cs="Calibri"/>
          <w:szCs w:val="22"/>
          <w:rtl/>
        </w:rPr>
        <w:t>).</w:t>
      </w:r>
    </w:p>
    <w:p w14:paraId="1335CC01" w14:textId="154BC296" w:rsidR="00EA1FA4" w:rsidRPr="00F5407A" w:rsidRDefault="00E21567" w:rsidP="004A634D">
      <w:pPr>
        <w:pStyle w:val="ONUME"/>
        <w:bidi/>
        <w:rPr>
          <w:rFonts w:ascii="Calibri" w:hAnsi="Calibri" w:cs="Calibri"/>
          <w:szCs w:val="22"/>
          <w:rtl/>
        </w:rPr>
      </w:pPr>
      <w:r w:rsidRPr="00F5407A">
        <w:rPr>
          <w:rFonts w:ascii="Calibri" w:hAnsi="Calibri" w:cs="Calibri"/>
          <w:szCs w:val="22"/>
          <w:rtl/>
        </w:rPr>
        <w:t xml:space="preserve">بناءً على ذلك، أعدت فرقة العمل المعنية بتبادل بيانات الملكية الفكرية الاستبيان الخاص بالدراسة الاستقصائية لجمع معلومات بشأن الآليات الحالية التي تعتمدها مكاتب الملكية الفكرية </w:t>
      </w:r>
      <w:r w:rsidR="00E42555">
        <w:rPr>
          <w:rFonts w:ascii="Calibri" w:hAnsi="Calibri" w:cs="Calibri" w:hint="cs"/>
          <w:szCs w:val="22"/>
          <w:rtl/>
          <w:lang w:bidi="ar-EG"/>
        </w:rPr>
        <w:t xml:space="preserve">في </w:t>
      </w:r>
      <w:r w:rsidRPr="00F5407A">
        <w:rPr>
          <w:rFonts w:ascii="Calibri" w:hAnsi="Calibri" w:cs="Calibri"/>
          <w:szCs w:val="22"/>
          <w:rtl/>
        </w:rPr>
        <w:t xml:space="preserve">تبادل بيانات الملكية الفكرية واستخدامها، بصفتها مقدماً و/أو مستفيداً، من أجل تحديد الفرص المتاحة لتحسين الممارسات الدولية المتعلقة بتبادل بيانات الملكية الفكرية والمواءمة بينها.  </w:t>
      </w:r>
    </w:p>
    <w:p w14:paraId="2C03C52E" w14:textId="58ECA532" w:rsidR="00E77B75" w:rsidRPr="00F5407A" w:rsidRDefault="00E77B75" w:rsidP="004A634D">
      <w:pPr>
        <w:pStyle w:val="ONUME"/>
        <w:bidi/>
        <w:rPr>
          <w:rFonts w:ascii="Calibri" w:hAnsi="Calibri" w:cs="Calibri"/>
          <w:szCs w:val="22"/>
          <w:rtl/>
        </w:rPr>
      </w:pPr>
      <w:r w:rsidRPr="00F5407A">
        <w:rPr>
          <w:rFonts w:ascii="Calibri" w:hAnsi="Calibri" w:cs="Calibri"/>
          <w:szCs w:val="22"/>
          <w:rtl/>
        </w:rPr>
        <w:t xml:space="preserve">وفي إطار إعداد الاستبيان الخاص بالدراسة الاستقصائية، ركزت فرقة العمل المعنية بتبادل بيانات الملكية الفكرية على المجالات الموضوعية التالية: </w:t>
      </w:r>
    </w:p>
    <w:p w14:paraId="27B0448A" w14:textId="4B9F0CF8" w:rsidR="00E77B75" w:rsidRPr="00F5407A" w:rsidRDefault="00272582" w:rsidP="00501DD2">
      <w:pPr>
        <w:pStyle w:val="ListParagraph"/>
        <w:numPr>
          <w:ilvl w:val="0"/>
          <w:numId w:val="34"/>
        </w:numPr>
        <w:bidi/>
        <w:spacing w:after="220"/>
        <w:ind w:left="924" w:hanging="357"/>
        <w:contextualSpacing w:val="0"/>
        <w:rPr>
          <w:rFonts w:ascii="Calibri" w:hAnsi="Calibri" w:cs="Calibri"/>
          <w:szCs w:val="22"/>
          <w:rtl/>
        </w:rPr>
      </w:pPr>
      <w:r w:rsidRPr="00F5407A">
        <w:rPr>
          <w:rFonts w:ascii="Calibri" w:hAnsi="Calibri" w:cs="Calibri"/>
          <w:szCs w:val="22"/>
          <w:rtl/>
        </w:rPr>
        <w:t xml:space="preserve">جمع معلومات متسقة وشاملة عن الممارسات الحالية لمكاتب الملكية الفكرية في مجال تقديم بيانات الملكية الفكرية وجمعها؛  </w:t>
      </w:r>
    </w:p>
    <w:p w14:paraId="304218E8" w14:textId="5ABB5953" w:rsidR="00E77B75" w:rsidRPr="00F5407A" w:rsidRDefault="00272582" w:rsidP="00501DD2">
      <w:pPr>
        <w:pStyle w:val="ListParagraph"/>
        <w:numPr>
          <w:ilvl w:val="0"/>
          <w:numId w:val="34"/>
        </w:numPr>
        <w:bidi/>
        <w:spacing w:after="220"/>
        <w:ind w:left="924" w:hanging="357"/>
        <w:contextualSpacing w:val="0"/>
        <w:rPr>
          <w:rFonts w:ascii="Calibri" w:hAnsi="Calibri" w:cs="Calibri"/>
          <w:szCs w:val="22"/>
          <w:rtl/>
        </w:rPr>
      </w:pPr>
      <w:r w:rsidRPr="00F5407A">
        <w:rPr>
          <w:rFonts w:ascii="Calibri" w:hAnsi="Calibri" w:cs="Calibri"/>
          <w:szCs w:val="22"/>
          <w:rtl/>
        </w:rPr>
        <w:t xml:space="preserve">تحديد التحديات والعوائق التي تواجهها مكاتب الملكية الفكرية فيما يتعلق بتقديم بيانات الملكية الفكرية وجمعها </w:t>
      </w:r>
      <w:r w:rsidR="00E42555">
        <w:rPr>
          <w:rFonts w:ascii="Calibri" w:hAnsi="Calibri" w:cs="Calibri" w:hint="cs"/>
          <w:szCs w:val="22"/>
          <w:rtl/>
        </w:rPr>
        <w:t>أيضاً</w:t>
      </w:r>
      <w:r w:rsidRPr="00F5407A">
        <w:rPr>
          <w:rFonts w:ascii="Calibri" w:hAnsi="Calibri" w:cs="Calibri"/>
          <w:szCs w:val="22"/>
          <w:rtl/>
        </w:rPr>
        <w:t>، بما في ذلك البيانات ذات الطبيعة التقنية أو القانونية</w:t>
      </w:r>
      <w:r w:rsidR="00E42555">
        <w:rPr>
          <w:rFonts w:ascii="Calibri" w:hAnsi="Calibri" w:cs="Calibri" w:hint="cs"/>
          <w:szCs w:val="22"/>
          <w:rtl/>
        </w:rPr>
        <w:t xml:space="preserve"> أو</w:t>
      </w:r>
      <w:r w:rsidR="00E42555" w:rsidRPr="00E42555">
        <w:rPr>
          <w:rFonts w:ascii="Calibri" w:hAnsi="Calibri" w:cs="Calibri"/>
          <w:szCs w:val="22"/>
          <w:rtl/>
        </w:rPr>
        <w:t xml:space="preserve"> </w:t>
      </w:r>
      <w:r w:rsidR="00E42555" w:rsidRPr="00F5407A">
        <w:rPr>
          <w:rFonts w:ascii="Calibri" w:hAnsi="Calibri" w:cs="Calibri"/>
          <w:szCs w:val="22"/>
          <w:rtl/>
        </w:rPr>
        <w:t>السياسية</w:t>
      </w:r>
      <w:r w:rsidRPr="00F5407A">
        <w:rPr>
          <w:rFonts w:ascii="Calibri" w:hAnsi="Calibri" w:cs="Calibri"/>
          <w:szCs w:val="22"/>
          <w:rtl/>
        </w:rPr>
        <w:t xml:space="preserve"> أو المرتبطة بالموارد؛  </w:t>
      </w:r>
    </w:p>
    <w:p w14:paraId="72C24DA7" w14:textId="54CA52BD" w:rsidR="00E77B75" w:rsidRPr="00F5407A" w:rsidRDefault="00272582" w:rsidP="00501DD2">
      <w:pPr>
        <w:pStyle w:val="ListParagraph"/>
        <w:numPr>
          <w:ilvl w:val="0"/>
          <w:numId w:val="34"/>
        </w:numPr>
        <w:bidi/>
        <w:spacing w:after="220"/>
        <w:ind w:left="924" w:hanging="357"/>
        <w:contextualSpacing w:val="0"/>
        <w:rPr>
          <w:rFonts w:ascii="Calibri" w:hAnsi="Calibri" w:cs="Calibri"/>
          <w:szCs w:val="22"/>
          <w:rtl/>
        </w:rPr>
      </w:pPr>
      <w:r w:rsidRPr="00F5407A">
        <w:rPr>
          <w:rFonts w:ascii="Calibri" w:hAnsi="Calibri" w:cs="Calibri"/>
          <w:szCs w:val="22"/>
          <w:rtl/>
        </w:rPr>
        <w:lastRenderedPageBreak/>
        <w:t>فهم ممارسات المكاتب وتوقعاتها وسياساتها فيما يتعلق باستخدام بيانات الملكية الفكرية وإعادة توزيعها والمعاملة بالمثل؛</w:t>
      </w:r>
    </w:p>
    <w:p w14:paraId="2329E38D" w14:textId="21EAF91F" w:rsidR="00E77B75" w:rsidRPr="00F5407A" w:rsidRDefault="00272582" w:rsidP="00501DD2">
      <w:pPr>
        <w:pStyle w:val="ListParagraph"/>
        <w:numPr>
          <w:ilvl w:val="0"/>
          <w:numId w:val="34"/>
        </w:numPr>
        <w:bidi/>
        <w:spacing w:after="220"/>
        <w:ind w:left="924" w:hanging="357"/>
        <w:contextualSpacing w:val="0"/>
        <w:rPr>
          <w:rFonts w:ascii="Calibri" w:hAnsi="Calibri" w:cs="Calibri"/>
          <w:szCs w:val="22"/>
          <w:rtl/>
        </w:rPr>
      </w:pPr>
      <w:r w:rsidRPr="00F5407A">
        <w:rPr>
          <w:rFonts w:ascii="Calibri" w:hAnsi="Calibri" w:cs="Calibri"/>
          <w:szCs w:val="22"/>
          <w:rtl/>
        </w:rPr>
        <w:t>فهم توقعات المك</w:t>
      </w:r>
      <w:r w:rsidR="00E42555">
        <w:rPr>
          <w:rFonts w:ascii="Calibri" w:hAnsi="Calibri" w:cs="Calibri" w:hint="cs"/>
          <w:szCs w:val="22"/>
          <w:rtl/>
        </w:rPr>
        <w:t>ا</w:t>
      </w:r>
      <w:r w:rsidRPr="00F5407A">
        <w:rPr>
          <w:rFonts w:ascii="Calibri" w:hAnsi="Calibri" w:cs="Calibri"/>
          <w:szCs w:val="22"/>
          <w:rtl/>
        </w:rPr>
        <w:t>تب فيما يتعلق بصياغة توصيات من شأنها تحسين عملية تبادل بيانات الملكية الفكرية على الصعيد العالمي، إلى جانب المساهمة في تعزيز كفاءة نظم معلومات الملكية الفكرية وتيسير النفاذ إليها وتحسين قابليتها للتشغيل البيني؛</w:t>
      </w:r>
    </w:p>
    <w:p w14:paraId="190B50A5" w14:textId="28DB29E3" w:rsidR="00E77B75" w:rsidRPr="00F5407A" w:rsidRDefault="00272582" w:rsidP="00501DD2">
      <w:pPr>
        <w:pStyle w:val="ListParagraph"/>
        <w:numPr>
          <w:ilvl w:val="0"/>
          <w:numId w:val="34"/>
        </w:numPr>
        <w:bidi/>
        <w:spacing w:after="220"/>
        <w:ind w:left="924" w:hanging="357"/>
        <w:contextualSpacing w:val="0"/>
        <w:rPr>
          <w:rFonts w:ascii="Calibri" w:hAnsi="Calibri" w:cs="Calibri"/>
          <w:szCs w:val="22"/>
          <w:rtl/>
        </w:rPr>
      </w:pPr>
      <w:r w:rsidRPr="00F5407A">
        <w:rPr>
          <w:rFonts w:ascii="Calibri" w:hAnsi="Calibri" w:cs="Calibri"/>
          <w:szCs w:val="22"/>
          <w:rtl/>
        </w:rPr>
        <w:t xml:space="preserve">جمع معلومات بشأن الحلول المحتملة، بما في ذلك إمكانية وضع معيار جديد للويبو </w:t>
      </w:r>
      <w:r w:rsidR="00E42555">
        <w:rPr>
          <w:rFonts w:ascii="Calibri" w:hAnsi="Calibri" w:cs="Calibri" w:hint="cs"/>
          <w:szCs w:val="22"/>
          <w:rtl/>
        </w:rPr>
        <w:t>وإنشاء</w:t>
      </w:r>
      <w:r w:rsidR="00E42555" w:rsidRPr="00F5407A">
        <w:rPr>
          <w:rFonts w:ascii="Calibri" w:hAnsi="Calibri" w:cs="Calibri"/>
          <w:szCs w:val="22"/>
          <w:rtl/>
        </w:rPr>
        <w:t xml:space="preserve"> </w:t>
      </w:r>
      <w:r w:rsidRPr="00F5407A">
        <w:rPr>
          <w:rFonts w:ascii="Calibri" w:hAnsi="Calibri" w:cs="Calibri"/>
          <w:szCs w:val="22"/>
          <w:rtl/>
        </w:rPr>
        <w:t>منصات للتواصل وتحسين البنية التحتية لتبادل بيانات الملكية الفكرية.</w:t>
      </w:r>
    </w:p>
    <w:p w14:paraId="5EDF9E83" w14:textId="7E85DE01" w:rsidR="00B13472" w:rsidRPr="00E42555" w:rsidRDefault="00D17411" w:rsidP="009112A6">
      <w:pPr>
        <w:pStyle w:val="Heading2"/>
        <w:bidi/>
        <w:rPr>
          <w:rFonts w:ascii="Calibri" w:hAnsi="Calibri" w:cs="Calibri"/>
          <w:b/>
          <w:bCs w:val="0"/>
          <w:i/>
          <w:iCs w:val="0"/>
          <w:sz w:val="24"/>
          <w:szCs w:val="24"/>
          <w:rtl/>
        </w:rPr>
      </w:pPr>
      <w:r w:rsidRPr="00E42555">
        <w:rPr>
          <w:rFonts w:ascii="Calibri" w:hAnsi="Calibri" w:cs="Calibri"/>
          <w:b/>
          <w:bCs w:val="0"/>
          <w:i/>
          <w:iCs w:val="0"/>
          <w:sz w:val="24"/>
          <w:szCs w:val="24"/>
          <w:rtl/>
        </w:rPr>
        <w:t>نتائج الدراسة الاستقصائية</w:t>
      </w:r>
    </w:p>
    <w:p w14:paraId="6E9E5E45" w14:textId="1A0DE600" w:rsidR="00B92844" w:rsidRPr="00F5407A" w:rsidRDefault="00B92844" w:rsidP="001A65BE">
      <w:pPr>
        <w:pStyle w:val="ONUME"/>
        <w:bidi/>
        <w:rPr>
          <w:rFonts w:ascii="Calibri" w:hAnsi="Calibri" w:cs="Calibri"/>
          <w:szCs w:val="22"/>
          <w:rtl/>
        </w:rPr>
      </w:pPr>
      <w:r w:rsidRPr="00F5407A">
        <w:rPr>
          <w:rFonts w:ascii="Calibri" w:hAnsi="Calibri" w:cs="Calibri"/>
          <w:szCs w:val="22"/>
          <w:rtl/>
        </w:rPr>
        <w:t xml:space="preserve">في يونيو 2026، أصدرت الأمانة التعميم </w:t>
      </w:r>
      <w:hyperlink r:id="rId16" w:history="1">
        <w:r w:rsidRPr="00222956">
          <w:rPr>
            <w:rStyle w:val="Hyperlink"/>
            <w:rFonts w:ascii="Calibri" w:hAnsi="Calibri" w:cs="Calibri"/>
            <w:szCs w:val="22"/>
          </w:rPr>
          <w:t>C.CWS.211</w:t>
        </w:r>
      </w:hyperlink>
      <w:r w:rsidRPr="00F5407A">
        <w:rPr>
          <w:rFonts w:ascii="Calibri" w:hAnsi="Calibri" w:cs="Calibri"/>
          <w:szCs w:val="22"/>
          <w:rtl/>
        </w:rPr>
        <w:t xml:space="preserve"> داعيةً فيه مكاتب الملكية الفكرية إلى المشاركة في الدراسة الاستقصائية بشأن تبادل بيانات الملكية الفكرية.  وقد أُجريت الدراسة الاستقصائية في الفترة من يونيو إلى أغسطس 2026.  وفي وقت إعداد هذه الوثيقة، كانت الأمانة العامة بصدد الانتهاء من نشر الردود الفردية والنتائج المستخلصة.  وستُتاح هذه المواد، إلى جانب الاستبيان الخاص بالدراسة الاستقصائية، في </w:t>
      </w:r>
      <w:hyperlink r:id="rId17" w:history="1">
        <w:r w:rsidRPr="00F5407A">
          <w:rPr>
            <w:rStyle w:val="Hyperlink"/>
            <w:rFonts w:ascii="Calibri" w:hAnsi="Calibri" w:cs="Calibri"/>
            <w:szCs w:val="22"/>
            <w:rtl/>
          </w:rPr>
          <w:t>الجزء 7 من دليل الويبو</w:t>
        </w:r>
      </w:hyperlink>
      <w:r w:rsidRPr="00F5407A">
        <w:rPr>
          <w:rFonts w:ascii="Calibri" w:hAnsi="Calibri" w:cs="Calibri"/>
          <w:szCs w:val="22"/>
          <w:rtl/>
        </w:rPr>
        <w:t xml:space="preserve"> للمعلومات والتوثيق في مجال الملكية الفكرية، ضمن قسم جديد هو </w:t>
      </w:r>
      <w:r w:rsidR="00222956">
        <w:rPr>
          <w:rFonts w:ascii="Calibri" w:hAnsi="Calibri" w:cs="Calibri" w:hint="cs"/>
          <w:szCs w:val="22"/>
          <w:rtl/>
        </w:rPr>
        <w:t>"</w:t>
      </w:r>
      <w:r w:rsidRPr="00F5407A">
        <w:rPr>
          <w:rFonts w:ascii="Calibri" w:hAnsi="Calibri" w:cs="Calibri"/>
          <w:szCs w:val="22"/>
          <w:rtl/>
        </w:rPr>
        <w:t>الجزء 7.20</w:t>
      </w:r>
      <w:r w:rsidR="00222956">
        <w:rPr>
          <w:rFonts w:ascii="Calibri" w:hAnsi="Calibri" w:cs="Calibri" w:hint="cs"/>
          <w:szCs w:val="22"/>
          <w:rtl/>
        </w:rPr>
        <w:t>"،</w:t>
      </w:r>
      <w:r w:rsidRPr="00F5407A">
        <w:rPr>
          <w:rFonts w:ascii="Calibri" w:hAnsi="Calibri" w:cs="Calibri"/>
          <w:szCs w:val="22"/>
          <w:rtl/>
        </w:rPr>
        <w:t xml:space="preserve"> بعنوان </w:t>
      </w:r>
      <w:r w:rsidRPr="00F5407A">
        <w:rPr>
          <w:rFonts w:ascii="Calibri" w:hAnsi="Calibri" w:cs="Calibri"/>
          <w:i/>
          <w:iCs/>
          <w:szCs w:val="22"/>
          <w:rtl/>
        </w:rPr>
        <w:t>ممارسات تبادل بيانات الملكية الفكرية</w:t>
      </w:r>
      <w:r w:rsidRPr="00F5407A">
        <w:rPr>
          <w:rFonts w:ascii="Calibri" w:hAnsi="Calibri" w:cs="Calibri"/>
          <w:szCs w:val="22"/>
          <w:rtl/>
        </w:rPr>
        <w:t xml:space="preserve">.  </w:t>
      </w:r>
    </w:p>
    <w:p w14:paraId="6DBEC71D" w14:textId="602A7191" w:rsidR="008D4EC3" w:rsidRPr="00F5407A" w:rsidRDefault="00102514" w:rsidP="008D4EC3">
      <w:pPr>
        <w:pStyle w:val="ONUME"/>
        <w:bidi/>
        <w:rPr>
          <w:rFonts w:ascii="Calibri" w:hAnsi="Calibri" w:cs="Calibri"/>
          <w:szCs w:val="22"/>
          <w:rtl/>
        </w:rPr>
      </w:pPr>
      <w:r w:rsidRPr="00F5407A">
        <w:rPr>
          <w:rFonts w:ascii="Calibri" w:hAnsi="Calibri" w:cs="Calibri"/>
          <w:szCs w:val="22"/>
          <w:rtl/>
        </w:rPr>
        <w:t>وقد شارك في الإجابة على الدراسة الاستقصائية ما مجموعه 42 مجيباً، بما في ذلك مكاتب الملكية الفكرية للبلدان التالية:  الجزائر، وأستراليا، وأذربيجان، والبحرين، وبلجيكا، والبوسنة والهرسك، والبرازيل، وبلغاريا، وكندا، وتشيلي، والصين، وكوستاريكا، وكرواتيا، والجمهورية التشيكية، والدنمارك، وغينيا الاستوائية، وإستونيا، وفرنسا، وجورجيا، وألمانيا، وهنغاريا، والهند، وأيرلندا، وإسرائيل، وجامايكا، واليابان، ولاتفيا، وليتوانيا، والمكسيك، وموزمبيق، ونيوزيلندا، والنرويج، وعمان، وباراغواي، وبيرو، والفلبين، وبولندا، وجمهورية كوريا، وجمهورية مولدوفا، ورومانيا، والاتحاد الروسي، والمملكة العربية السعودية، وصربيا، وسنغافورة، وسلوفاكيا، وإسبانيا، وسريلانكا، والسويد، وتركيا، والمملكة المتحدة، وجمهورية تنزانيا المتحدة، والولايات المتحدة الأمريكية؛ والمنظمات التالية:  المكتب الأوروبي الآسيوي للبراءات، والمكتب الأوروبي للبراءات، ومكتب الاتحاد الأوروبي للملكية الفكرية.</w:t>
      </w:r>
    </w:p>
    <w:p w14:paraId="01F309DD" w14:textId="661E1385" w:rsidR="009D155E" w:rsidRPr="00F5407A" w:rsidRDefault="009D155E" w:rsidP="008D4EC3">
      <w:pPr>
        <w:pStyle w:val="ONUME"/>
        <w:bidi/>
        <w:rPr>
          <w:rFonts w:ascii="Calibri" w:hAnsi="Calibri" w:cs="Calibri"/>
          <w:szCs w:val="22"/>
          <w:rtl/>
        </w:rPr>
      </w:pPr>
      <w:r w:rsidRPr="00F5407A">
        <w:rPr>
          <w:rFonts w:ascii="Calibri" w:hAnsi="Calibri" w:cs="Calibri"/>
          <w:szCs w:val="22"/>
          <w:rtl/>
        </w:rPr>
        <w:t xml:space="preserve">وقد أجرت فرقة العمل المعنية بتبادل بيانات الملكية الفكرية مراجعة لنتائج الدراسة الاستقصائية، بما في ذلك النتائج الرئيسية والتحديات التي أشار إليها المشاركون في الدراسة، إلى جانب الحلول المقترحة لتحسين تبادل بيانات الملكية الفكرية.  وركزت مناقشات فرقة العمل على جودة البيانات وقابلية التوافق بين الأنساق وطرق التسليم، والاعتبارات القانونية </w:t>
      </w:r>
      <w:r w:rsidR="00D96806">
        <w:rPr>
          <w:rFonts w:ascii="Calibri" w:hAnsi="Calibri" w:cs="Calibri" w:hint="cs"/>
          <w:szCs w:val="22"/>
          <w:rtl/>
        </w:rPr>
        <w:t>والسياسية</w:t>
      </w:r>
      <w:r w:rsidRPr="00F5407A">
        <w:rPr>
          <w:rFonts w:ascii="Calibri" w:hAnsi="Calibri" w:cs="Calibri"/>
          <w:szCs w:val="22"/>
          <w:rtl/>
        </w:rPr>
        <w:t>، والمعاملة بالمثل، وإعادة التوزيع، فضلاً عن إمكانية صياغة توصيات أو وضع معيار جديد للويبو بهدف تعزيز تبادل بيانات الملكية الفكرية بشكل أكثر اتساقاً وكفاءة بين المكاتب والمنظمات.</w:t>
      </w:r>
    </w:p>
    <w:p w14:paraId="4D2225CD" w14:textId="48270083" w:rsidR="00AD333C" w:rsidRPr="007E4202" w:rsidRDefault="007E7611" w:rsidP="009112A6">
      <w:pPr>
        <w:pStyle w:val="Heading2"/>
        <w:bidi/>
        <w:rPr>
          <w:rFonts w:ascii="Calibri" w:hAnsi="Calibri" w:cs="Calibri"/>
          <w:b/>
          <w:bCs w:val="0"/>
          <w:i/>
          <w:iCs w:val="0"/>
          <w:sz w:val="24"/>
          <w:szCs w:val="24"/>
          <w:rtl/>
        </w:rPr>
      </w:pPr>
      <w:r w:rsidRPr="007E4202">
        <w:rPr>
          <w:rFonts w:ascii="Calibri" w:hAnsi="Calibri" w:cs="Calibri"/>
          <w:b/>
          <w:bCs w:val="0"/>
          <w:i/>
          <w:iCs w:val="0"/>
          <w:sz w:val="24"/>
          <w:szCs w:val="24"/>
          <w:rtl/>
        </w:rPr>
        <w:t>تحليل الدراسة الاستقصائية</w:t>
      </w:r>
    </w:p>
    <w:p w14:paraId="5F60CC28" w14:textId="33BBF310" w:rsidR="00AD333C" w:rsidRPr="00F5407A" w:rsidRDefault="00866974" w:rsidP="001A65BE">
      <w:pPr>
        <w:pStyle w:val="ONUME"/>
        <w:bidi/>
        <w:rPr>
          <w:rFonts w:ascii="Calibri" w:hAnsi="Calibri" w:cs="Calibri"/>
          <w:szCs w:val="22"/>
          <w:rtl/>
        </w:rPr>
      </w:pPr>
      <w:r w:rsidRPr="00F5407A">
        <w:rPr>
          <w:rFonts w:ascii="Calibri" w:hAnsi="Calibri" w:cs="Calibri"/>
          <w:szCs w:val="22"/>
          <w:rtl/>
        </w:rPr>
        <w:t>ستعرض الأمانة أدناه تحليلاً للردود الواردة على الدراسة الاستقصائية، لتنظر فيها لجنة المعايير.</w:t>
      </w:r>
    </w:p>
    <w:p w14:paraId="32F271B0" w14:textId="5E5944FD" w:rsidR="00832C85" w:rsidRPr="007E4202" w:rsidRDefault="00832C85" w:rsidP="009112A6">
      <w:pPr>
        <w:pStyle w:val="Heading3"/>
        <w:bidi/>
        <w:rPr>
          <w:rFonts w:ascii="Calibri" w:hAnsi="Calibri" w:cs="Calibri"/>
          <w:b/>
          <w:bCs w:val="0"/>
          <w:szCs w:val="22"/>
          <w:rtl/>
        </w:rPr>
      </w:pPr>
      <w:r w:rsidRPr="007E4202">
        <w:rPr>
          <w:rFonts w:ascii="Calibri" w:hAnsi="Calibri" w:cs="Calibri"/>
          <w:b/>
          <w:bCs w:val="0"/>
          <w:szCs w:val="22"/>
          <w:rtl/>
        </w:rPr>
        <w:t>أنواع بيانات الملكية الفكرية المتبادلة</w:t>
      </w:r>
    </w:p>
    <w:p w14:paraId="04B2143C" w14:textId="3F24C899" w:rsidR="00C11996" w:rsidRPr="00F5407A" w:rsidRDefault="00230ACF" w:rsidP="001A65BE">
      <w:pPr>
        <w:pStyle w:val="ONUME"/>
        <w:bidi/>
        <w:rPr>
          <w:rFonts w:ascii="Calibri" w:hAnsi="Calibri" w:cs="Calibri"/>
          <w:szCs w:val="22"/>
          <w:rtl/>
        </w:rPr>
      </w:pPr>
      <w:r w:rsidRPr="00F5407A">
        <w:rPr>
          <w:rFonts w:ascii="Calibri" w:hAnsi="Calibri" w:cs="Calibri"/>
          <w:szCs w:val="22"/>
          <w:rtl/>
        </w:rPr>
        <w:t>تُظهر نتائج الدراسة الاستقصائية أن تبادل بيانات الملكية الفكرية يُعد ممارسة راسخة ومستخدمة على نطاق واسع بين المكاتب والمنظمات.  ومن بين 42 مجيباً، يتبادل 36 منهم حالياً (أي ما نسبته 85.7 في المائة) بيانات الملكية الفكرية.  كما يقدم 14 مجيباً (33.3 في المائة) البيانات</w:t>
      </w:r>
      <w:r w:rsidR="00D96806">
        <w:rPr>
          <w:rFonts w:ascii="Calibri" w:hAnsi="Calibri" w:cs="Calibri" w:hint="cs"/>
          <w:szCs w:val="22"/>
          <w:rtl/>
        </w:rPr>
        <w:t xml:space="preserve"> فقط</w:t>
      </w:r>
      <w:r w:rsidRPr="00F5407A">
        <w:rPr>
          <w:rFonts w:ascii="Calibri" w:hAnsi="Calibri" w:cs="Calibri"/>
          <w:szCs w:val="22"/>
          <w:rtl/>
        </w:rPr>
        <w:t xml:space="preserve">، في حين </w:t>
      </w:r>
      <w:r w:rsidR="00D96806">
        <w:rPr>
          <w:rFonts w:ascii="Calibri" w:hAnsi="Calibri" w:cs="Calibri" w:hint="cs"/>
          <w:szCs w:val="22"/>
          <w:rtl/>
        </w:rPr>
        <w:t>يقدم</w:t>
      </w:r>
      <w:r w:rsidR="00D96806" w:rsidRPr="00F5407A">
        <w:rPr>
          <w:rFonts w:ascii="Calibri" w:hAnsi="Calibri" w:cs="Calibri"/>
          <w:szCs w:val="22"/>
          <w:rtl/>
        </w:rPr>
        <w:t xml:space="preserve"> </w:t>
      </w:r>
      <w:r w:rsidRPr="00F5407A">
        <w:rPr>
          <w:rFonts w:ascii="Calibri" w:hAnsi="Calibri" w:cs="Calibri"/>
          <w:szCs w:val="22"/>
          <w:rtl/>
        </w:rPr>
        <w:t xml:space="preserve">22 مجيباً آخر البيانات </w:t>
      </w:r>
      <w:r w:rsidR="00D96806">
        <w:rPr>
          <w:rFonts w:ascii="Calibri" w:hAnsi="Calibri" w:cs="Calibri" w:hint="cs"/>
          <w:szCs w:val="22"/>
          <w:rtl/>
        </w:rPr>
        <w:t>ويجمعها</w:t>
      </w:r>
      <w:r w:rsidR="00D96806" w:rsidRPr="00F5407A">
        <w:rPr>
          <w:rFonts w:ascii="Calibri" w:hAnsi="Calibri" w:cs="Calibri"/>
          <w:szCs w:val="22"/>
          <w:rtl/>
        </w:rPr>
        <w:t xml:space="preserve"> </w:t>
      </w:r>
      <w:r w:rsidRPr="00F5407A">
        <w:rPr>
          <w:rFonts w:ascii="Calibri" w:hAnsi="Calibri" w:cs="Calibri"/>
          <w:szCs w:val="22"/>
          <w:rtl/>
        </w:rPr>
        <w:t>أيضاً.  ولم يذكر أي مجيب أنه يجمع البيانات دون تقديمها في المقابل، مما يشير إلى أن علاقات تبادل البيانات نادرًا ما تكون احادية الاتجاه من وجهة نظر الجهة المتلقية.  وهناك أيضاً مجيبان (4.8 في المائة) لا يتبادلان حالياً البيانات ولكنهما يخططان لذلك، في حين أفاد 4 مجيبين (9.5 في المائة) بعدم مشاركتهم في عملية تبادل البيانات.  وترد هذه النتائج في الشكل 1.</w:t>
      </w:r>
    </w:p>
    <w:p w14:paraId="62350618" w14:textId="5F771316" w:rsidR="008516E0" w:rsidRPr="00F5407A" w:rsidRDefault="002E6774" w:rsidP="00BC5611">
      <w:pPr>
        <w:bidi/>
        <w:spacing w:after="220"/>
        <w:rPr>
          <w:rFonts w:ascii="Calibri" w:hAnsi="Calibri" w:cs="Calibri"/>
          <w:szCs w:val="22"/>
          <w:rtl/>
        </w:rPr>
      </w:pPr>
      <w:r w:rsidRPr="00F5407A">
        <w:rPr>
          <w:rFonts w:ascii="Calibri" w:hAnsi="Calibri" w:cs="Calibri"/>
          <w:noProof/>
          <w:szCs w:val="22"/>
          <w:rtl/>
        </w:rPr>
        <w:drawing>
          <wp:inline distT="0" distB="0" distL="0" distR="0" wp14:anchorId="7624093B" wp14:editId="0D661F24">
            <wp:extent cx="5705856" cy="2289175"/>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D6A131" w14:textId="148A0A5F" w:rsidR="00FF44A7" w:rsidRPr="007E4202" w:rsidRDefault="00FF44A7" w:rsidP="00BC5611">
      <w:pPr>
        <w:pStyle w:val="Caption"/>
        <w:bidi/>
        <w:spacing w:after="220"/>
        <w:rPr>
          <w:rStyle w:val="IntenseEmphasis"/>
          <w:rFonts w:ascii="Calibri" w:hAnsi="Calibri" w:cs="Calibri"/>
          <w:i w:val="0"/>
          <w:iCs w:val="0"/>
          <w:color w:val="auto"/>
          <w:szCs w:val="18"/>
          <w:rtl/>
        </w:rPr>
      </w:pPr>
      <w:r w:rsidRPr="007E4202">
        <w:rPr>
          <w:rFonts w:ascii="Calibri" w:hAnsi="Calibri" w:cs="Calibri"/>
          <w:szCs w:val="18"/>
          <w:rtl/>
        </w:rPr>
        <w:t>الشكل 1:</w:t>
      </w:r>
      <w:r w:rsidRPr="007E4202">
        <w:rPr>
          <w:rStyle w:val="IntenseEmphasis"/>
          <w:rFonts w:ascii="Calibri" w:hAnsi="Calibri" w:cs="Calibri"/>
          <w:i w:val="0"/>
          <w:iCs w:val="0"/>
          <w:color w:val="auto"/>
          <w:szCs w:val="18"/>
          <w:rtl/>
        </w:rPr>
        <w:t xml:space="preserve">  المشاركون في الدراسة الاستقصائية الذين يتبادلون بيانات الملكية الفكرية</w:t>
      </w:r>
    </w:p>
    <w:p w14:paraId="2BEF4D0F" w14:textId="73E37D08" w:rsidR="00C93639" w:rsidRPr="00F5407A" w:rsidRDefault="009012FC" w:rsidP="001A65BE">
      <w:pPr>
        <w:pStyle w:val="ONUME"/>
        <w:bidi/>
        <w:rPr>
          <w:rFonts w:ascii="Calibri" w:hAnsi="Calibri" w:cs="Calibri"/>
          <w:szCs w:val="22"/>
          <w:rtl/>
        </w:rPr>
      </w:pPr>
      <w:r>
        <w:rPr>
          <w:rFonts w:ascii="Calibri" w:hAnsi="Calibri" w:cs="Calibri" w:hint="cs"/>
          <w:szCs w:val="22"/>
          <w:rtl/>
        </w:rPr>
        <w:t>و</w:t>
      </w:r>
      <w:r w:rsidR="008A020F" w:rsidRPr="00F5407A">
        <w:rPr>
          <w:rFonts w:ascii="Calibri" w:hAnsi="Calibri" w:cs="Calibri"/>
          <w:szCs w:val="22"/>
          <w:rtl/>
        </w:rPr>
        <w:t xml:space="preserve">شكلت الاتفاقات الثنائية الأساس القانوني الأكثر شيوعًا لتبادل بيانات الملكية الفكرية، وفقاً لما أشار إليه 34 مجيباً، يلي ذلك عمليات التحميل أو التنزيل المباشر للبيانات الضخمة (25 مجيباً)، ثم الاتفاقات المتعددة الأطراف (19 مجيباً).  ولا تزال ترتيبات ترخيص البيانات المفتوحة نادرة نسبيًا، إذ أفاد 6 مجيبين باستخدام رخصة موحدة للبيانات المفتوحة، في حين أفاد مجيب واحد فقط باستخدام رخصة مقيدة للبيانات المفتوحة.  وترد هذه النتائج في الشكل 2.  </w:t>
      </w:r>
    </w:p>
    <w:p w14:paraId="4FA9EE14" w14:textId="451F448A" w:rsidR="00675B5E" w:rsidRPr="00F5407A" w:rsidRDefault="00675B5E" w:rsidP="00D421A3">
      <w:pPr>
        <w:bidi/>
        <w:spacing w:after="240"/>
        <w:rPr>
          <w:rFonts w:ascii="Calibri" w:hAnsi="Calibri" w:cs="Calibri"/>
          <w:kern w:val="2"/>
          <w:szCs w:val="22"/>
          <w:rtl/>
          <w14:textOutline w14:w="9525" w14:cap="rnd" w14:cmpd="sng" w14:algn="ctr">
            <w14:solidFill>
              <w14:schemeClr w14:val="accent1"/>
            </w14:solidFill>
            <w14:prstDash w14:val="solid"/>
            <w14:bevel/>
          </w14:textOutline>
          <w14:ligatures w14:val="standardContextual"/>
        </w:rPr>
      </w:pPr>
      <w:r w:rsidRPr="00F5407A">
        <w:rPr>
          <w:rFonts w:ascii="Calibri" w:hAnsi="Calibri" w:cs="Calibri"/>
          <w:noProof/>
          <w:szCs w:val="22"/>
          <w:rtl/>
        </w:rPr>
        <w:drawing>
          <wp:inline distT="0" distB="0" distL="0" distR="0" wp14:anchorId="5B9542B7" wp14:editId="2CCBD772">
            <wp:extent cx="5832000" cy="2165299"/>
            <wp:effectExtent l="0" t="0" r="0" b="6985"/>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2AF718" w14:textId="234AFC59" w:rsidR="001C5B75" w:rsidRPr="007E4202" w:rsidRDefault="001C5B75" w:rsidP="00375FE8">
      <w:pPr>
        <w:pStyle w:val="Caption"/>
        <w:bidi/>
        <w:spacing w:after="220"/>
        <w:rPr>
          <w:rStyle w:val="IntenseEmphasis"/>
          <w:rFonts w:ascii="Calibri" w:hAnsi="Calibri" w:cs="Calibri"/>
          <w:b w:val="0"/>
          <w:bCs w:val="0"/>
          <w:i w:val="0"/>
          <w:iCs w:val="0"/>
          <w:szCs w:val="18"/>
          <w:rtl/>
        </w:rPr>
      </w:pPr>
      <w:r w:rsidRPr="007E4202">
        <w:rPr>
          <w:rStyle w:val="IntenseEmphasis"/>
          <w:rFonts w:ascii="Calibri" w:hAnsi="Calibri" w:cs="Calibri"/>
          <w:i w:val="0"/>
          <w:iCs w:val="0"/>
          <w:color w:val="auto"/>
          <w:szCs w:val="18"/>
          <w:rtl/>
        </w:rPr>
        <w:t>الشكل 2:  الأساسات القانونية والترتيبات الخاصة بتبادل بيانات الملكية الفكرية</w:t>
      </w:r>
    </w:p>
    <w:p w14:paraId="2CEE214D" w14:textId="180A020F" w:rsidR="00BD17F4" w:rsidRPr="00F5407A" w:rsidRDefault="00BD17F4" w:rsidP="00375FE8">
      <w:pPr>
        <w:pStyle w:val="ONUME"/>
        <w:bidi/>
        <w:rPr>
          <w:rFonts w:ascii="Calibri" w:hAnsi="Calibri" w:cs="Calibri"/>
          <w:kern w:val="2"/>
          <w:szCs w:val="22"/>
          <w:rtl/>
          <w14:ligatures w14:val="standardContextual"/>
        </w:rPr>
      </w:pPr>
      <w:r w:rsidRPr="00F5407A">
        <w:rPr>
          <w:rFonts w:ascii="Calibri" w:hAnsi="Calibri" w:cs="Calibri"/>
          <w:szCs w:val="22"/>
          <w:rtl/>
        </w:rPr>
        <w:t>ومن بين مجالات الملكية الفكرية الأربعة التي شملتها الدراسة الاستقصائية، جاءت بيانات البراءات في مقدمة البيانات المتبادلة، سواء من ناحية تقديمها أو جمعها، وفقاً لما أشار إليه 35 مجيباً.  وتجدر الإشارة إلى أن نماذج المنفعة كانت تُعتبر بمثابة براءة اختراع.  وجاءت بيانات العلامات التجارية في المرتبة التالية مباشرة، بحسب ما أشار إليه 34 مجيباً، تليها بيانات التصاميم الصناعية (33 مجيباً).  وقد تبادل عدد أقل بكثير من ذلك (15 مجيباً) البيانات المتعلقة بالمؤشرات الجغرافية، في حين أشار 21 مجيباً إلى أن هذا المجال لا ينطبق على عملهم.  ويشير الارتفاع المستمر لمستويات تبادل البيانات بشأن البراءات والعلامات التجارية والتصاميم الصناعية إلى أن الممارسات في هذه المجالات هي ممارسات راسخة ومتكاملة على نطاق واسع ضمن الأطر التشغيلية لمعظم المجيبين.  كما تشير الاختلافات الطفيفة بين هذه المجالات الثلاثة إلى وجود مستوى ناضج ومتجانس نسبيًا من المشاركة عبر هذه الأنواع من الملكية الفكرية.  وترد هذه النتائج في الشكل 3.</w:t>
      </w:r>
    </w:p>
    <w:p w14:paraId="34479D06" w14:textId="77777777" w:rsidR="005F6C83" w:rsidRPr="00F5407A" w:rsidRDefault="005F6C83" w:rsidP="00D421A3">
      <w:pPr>
        <w:bidi/>
        <w:spacing w:after="240"/>
        <w:jc w:val="center"/>
        <w:rPr>
          <w:rFonts w:ascii="Calibri" w:hAnsi="Calibri" w:cs="Calibri"/>
          <w:szCs w:val="22"/>
          <w:rtl/>
        </w:rPr>
      </w:pPr>
      <w:r w:rsidRPr="00F5407A">
        <w:rPr>
          <w:rFonts w:ascii="Calibri" w:hAnsi="Calibri" w:cs="Calibri"/>
          <w:noProof/>
          <w:szCs w:val="22"/>
          <w:rtl/>
        </w:rPr>
        <w:drawing>
          <wp:inline distT="0" distB="0" distL="0" distR="0" wp14:anchorId="04F7F5CA" wp14:editId="5F2DA1DA">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A0B9F4" w14:textId="58BD43ED" w:rsidR="00BD17F4" w:rsidRPr="007E4202" w:rsidRDefault="00BD17F4" w:rsidP="00375FE8">
      <w:pPr>
        <w:pStyle w:val="Caption"/>
        <w:bidi/>
        <w:spacing w:after="220"/>
        <w:rPr>
          <w:rStyle w:val="IntenseEmphasis"/>
          <w:rFonts w:ascii="Calibri" w:hAnsi="Calibri" w:cs="Calibri"/>
          <w:b w:val="0"/>
          <w:bCs w:val="0"/>
          <w:i w:val="0"/>
          <w:iCs w:val="0"/>
          <w:color w:val="auto"/>
          <w:szCs w:val="18"/>
          <w:rtl/>
        </w:rPr>
      </w:pPr>
      <w:r w:rsidRPr="007E4202">
        <w:rPr>
          <w:rStyle w:val="IntenseEmphasis"/>
          <w:rFonts w:ascii="Calibri" w:hAnsi="Calibri" w:cs="Calibri"/>
          <w:i w:val="0"/>
          <w:iCs w:val="0"/>
          <w:color w:val="auto"/>
          <w:szCs w:val="18"/>
          <w:rtl/>
        </w:rPr>
        <w:t>الشكل 3:  تبادل بيانات الملكية الفكرية بحسب مجال الملكية الفكرية</w:t>
      </w:r>
    </w:p>
    <w:p w14:paraId="487ED084" w14:textId="01307292" w:rsidR="002E1211" w:rsidRPr="00F5407A" w:rsidRDefault="00DF6604" w:rsidP="00375FE8">
      <w:pPr>
        <w:pStyle w:val="ONUME"/>
        <w:bidi/>
        <w:rPr>
          <w:rFonts w:ascii="Calibri" w:hAnsi="Calibri" w:cs="Calibri"/>
          <w:szCs w:val="22"/>
          <w:rtl/>
        </w:rPr>
      </w:pPr>
      <w:r w:rsidRPr="00F5407A">
        <w:rPr>
          <w:rFonts w:ascii="Calibri" w:hAnsi="Calibri" w:cs="Calibri"/>
          <w:szCs w:val="22"/>
          <w:rtl/>
        </w:rPr>
        <w:t>فيما يتعلق بالبراءات، جاءت البيانات الببليوغرافية في مقدمة أنواع البيانات المتبادلة (35 مجيباً)، يلي ذلك بيانات المنشورات ذات النص الكامل (34 مجيباً).  ويتم تبادل البيانات المتعلقة بالمنشورات ذات الصور الكاملة والرسومات أو الصور ثنائية الأبعاد أو ثلاثية الأبعاد من قبل 32 مجيباً لكل منها.  ويتبادل 27 مجيباً بيانات قوائم التسلسل، في حين يتبادل 27 مجيباً بيانات الوضع القانوني.  ويتبادل 23 مجيباً معلومات الاقتباس المستمدة من البحث أو الفحص.  وقد تبين وجود مستويات أكثر انخفاضاً في تبادل أنواع البيانات المتعلقة بعمليات محددة والبيانات المتعلقة بالقيمة المضافة:</w:t>
      </w:r>
      <w:r w:rsidR="00AB70F1">
        <w:rPr>
          <w:rFonts w:ascii="Calibri" w:hAnsi="Calibri" w:cs="Calibri" w:hint="cs"/>
          <w:szCs w:val="22"/>
          <w:rtl/>
        </w:rPr>
        <w:t xml:space="preserve"> </w:t>
      </w:r>
      <w:r w:rsidRPr="00F5407A">
        <w:rPr>
          <w:rFonts w:ascii="Calibri" w:hAnsi="Calibri" w:cs="Calibri"/>
          <w:szCs w:val="22"/>
          <w:rtl/>
        </w:rPr>
        <w:t xml:space="preserve"> إذ يتبادل 20 مجيباً تقارير الفحص أو البحث، و يتبادل 20 مجيباً البيانات الإحصائية، ويتبادل 17 مجيباً الإجراءات الإدارية.</w:t>
      </w:r>
    </w:p>
    <w:p w14:paraId="08FDA8AE" w14:textId="3A658BE3" w:rsidR="00AB430A" w:rsidRPr="00F5407A" w:rsidRDefault="00F60180" w:rsidP="00375FE8">
      <w:pPr>
        <w:pStyle w:val="ONUME"/>
        <w:bidi/>
        <w:rPr>
          <w:rFonts w:ascii="Calibri" w:hAnsi="Calibri" w:cs="Calibri"/>
          <w:szCs w:val="22"/>
          <w:rtl/>
        </w:rPr>
      </w:pPr>
      <w:r w:rsidRPr="00F5407A">
        <w:rPr>
          <w:rFonts w:ascii="Calibri" w:hAnsi="Calibri" w:cs="Calibri"/>
          <w:szCs w:val="22"/>
          <w:rtl/>
        </w:rPr>
        <w:t>وفي مجال العلامات التجارية، جاءت البيانات الببليوغرافية (34 مجيباً)، وبيانات تمثيل العلامة (31 مجيباً)، وبيانات الوضع القانوني (29 مجيباً) في مقدمة البيانات الشائعة التبادل (سواء من ناحية جمعها أو تقديمها)، مما يعكس دورها الأساسي في عمليات التسجيل والنشر.  وأظهرت بيانات المنشورات ذات النص الكامل مستوى أقل للتبادل (20 مجيباً)، في حين أظهرت أنواع أخرى من البيانات مستوى تبادل أقل بكثير، إذ يتبادل 17 مجيباً البيانات الإحصائية، ويتبادل 14 مجيباً الإجراءات الإدارية، كما يتبادل 7 مجيبين فقط تقارير الفحص أو البحث، وهو أدنى معدل بين جميع أنواع بيانات العلامات التجارية.</w:t>
      </w:r>
    </w:p>
    <w:p w14:paraId="63ED66AC" w14:textId="7A60CC70" w:rsidR="00574EF8" w:rsidRPr="00F5407A" w:rsidRDefault="00574EF8" w:rsidP="001A65BE">
      <w:pPr>
        <w:pStyle w:val="ONUME"/>
        <w:bidi/>
        <w:rPr>
          <w:rFonts w:ascii="Calibri" w:hAnsi="Calibri" w:cs="Calibri"/>
          <w:szCs w:val="22"/>
          <w:rtl/>
        </w:rPr>
      </w:pPr>
      <w:r w:rsidRPr="00F5407A">
        <w:rPr>
          <w:rFonts w:ascii="Calibri" w:hAnsi="Calibri" w:cs="Calibri"/>
          <w:szCs w:val="22"/>
          <w:rtl/>
        </w:rPr>
        <w:t xml:space="preserve">وفي مجال التصميم الصناعي، جاءت البيانات الببليوغرافية (33 مجيباً)، وبيانات تمثيل التصاميم (30 مجيباً)، وبيانات الوضع القانوني (28 مجيباً) في مقدمة أنواع البيانات المتبادلة، وهو ما يعكس الاتجاهات الملحوظة في مجال البراءات والعلامات التجارية.  كما تبين من بيانات المنشورات ذات النص الكامل والبيانات الإحصائية أن التبادل كان محدودًا بشكل أكبر (19 </w:t>
      </w:r>
      <w:r w:rsidR="002F7890">
        <w:rPr>
          <w:rFonts w:ascii="Calibri" w:hAnsi="Calibri" w:cs="Calibri" w:hint="cs"/>
          <w:szCs w:val="22"/>
          <w:rtl/>
        </w:rPr>
        <w:t xml:space="preserve">مجيباً </w:t>
      </w:r>
      <w:r w:rsidRPr="00F5407A">
        <w:rPr>
          <w:rFonts w:ascii="Calibri" w:hAnsi="Calibri" w:cs="Calibri"/>
          <w:szCs w:val="22"/>
          <w:rtl/>
        </w:rPr>
        <w:t>و17 مجيباً، على التوالي).  وكما هو الحال في أماكن أخرى، كانت أنواع البيانات المتعلقة بعمليات محددة هي الأقل تبادلاً، إذ لم يقدم سوى 11 مجيباً ردوداً بشأن الإجراءات الإدارية، ولم يقدم سوى 6 مجيبين ردوداً بشأن تقارير الفحص أو البحث.</w:t>
      </w:r>
    </w:p>
    <w:p w14:paraId="49525A47" w14:textId="2E019B70" w:rsidR="00236114" w:rsidRPr="00F5407A" w:rsidRDefault="00EA49B1" w:rsidP="001A65BE">
      <w:pPr>
        <w:pStyle w:val="ONUME"/>
        <w:bidi/>
        <w:rPr>
          <w:rFonts w:ascii="Calibri" w:hAnsi="Calibri" w:cs="Calibri"/>
          <w:szCs w:val="22"/>
          <w:rtl/>
        </w:rPr>
      </w:pPr>
      <w:r w:rsidRPr="00F5407A">
        <w:rPr>
          <w:rFonts w:ascii="Calibri" w:hAnsi="Calibri" w:cs="Calibri"/>
          <w:szCs w:val="22"/>
          <w:rtl/>
        </w:rPr>
        <w:t>و</w:t>
      </w:r>
      <w:r w:rsidR="004B7824">
        <w:rPr>
          <w:rFonts w:ascii="Calibri" w:hAnsi="Calibri" w:cs="Calibri" w:hint="cs"/>
          <w:szCs w:val="22"/>
          <w:rtl/>
        </w:rPr>
        <w:t xml:space="preserve">بشكل عام، </w:t>
      </w:r>
      <w:r w:rsidRPr="00F5407A">
        <w:rPr>
          <w:rFonts w:ascii="Calibri" w:hAnsi="Calibri" w:cs="Calibri"/>
          <w:szCs w:val="22"/>
          <w:rtl/>
        </w:rPr>
        <w:t xml:space="preserve">كانت مستويات تبادل البيانات في مجال المؤشرات الجغرافية أقل بشكل ملحوظ، مما يشير إلى وجود عدد </w:t>
      </w:r>
      <w:r w:rsidR="004B7824">
        <w:rPr>
          <w:rFonts w:ascii="Calibri" w:hAnsi="Calibri" w:cs="Calibri" w:hint="cs"/>
          <w:szCs w:val="22"/>
          <w:rtl/>
        </w:rPr>
        <w:t>قليل</w:t>
      </w:r>
      <w:r w:rsidR="004B7824" w:rsidRPr="00F5407A">
        <w:rPr>
          <w:rFonts w:ascii="Calibri" w:hAnsi="Calibri" w:cs="Calibri"/>
          <w:szCs w:val="22"/>
          <w:rtl/>
        </w:rPr>
        <w:t xml:space="preserve"> </w:t>
      </w:r>
      <w:r w:rsidRPr="00F5407A">
        <w:rPr>
          <w:rFonts w:ascii="Calibri" w:hAnsi="Calibri" w:cs="Calibri"/>
          <w:szCs w:val="22"/>
          <w:rtl/>
        </w:rPr>
        <w:t xml:space="preserve">من المجيبين الذين يطبقون أنظمة المؤشرات الجغرافية.  وقد جاءت البيانات الببليوغرافية في مقدمة البيانات المتداولة (14 مجيباً)، </w:t>
      </w:r>
      <w:r w:rsidR="004B7824">
        <w:rPr>
          <w:rFonts w:ascii="Calibri" w:hAnsi="Calibri" w:cs="Calibri" w:hint="cs"/>
          <w:szCs w:val="22"/>
          <w:rtl/>
        </w:rPr>
        <w:t>يلي ذلك</w:t>
      </w:r>
      <w:r w:rsidR="004B7824" w:rsidRPr="00F5407A">
        <w:rPr>
          <w:rFonts w:ascii="Calibri" w:hAnsi="Calibri" w:cs="Calibri"/>
          <w:szCs w:val="22"/>
          <w:rtl/>
        </w:rPr>
        <w:t xml:space="preserve"> </w:t>
      </w:r>
      <w:r w:rsidRPr="00F5407A">
        <w:rPr>
          <w:rFonts w:ascii="Calibri" w:hAnsi="Calibri" w:cs="Calibri"/>
          <w:szCs w:val="22"/>
          <w:rtl/>
        </w:rPr>
        <w:t xml:space="preserve">بيانات تمثيل المؤشرات الجغرافية (12 مجيباً)، ثم بيانات الوضع القانوني (11 مجيباً).  </w:t>
      </w:r>
      <w:r w:rsidR="004B7824">
        <w:rPr>
          <w:rFonts w:ascii="Calibri" w:hAnsi="Calibri" w:cs="Calibri" w:hint="cs"/>
          <w:szCs w:val="22"/>
          <w:rtl/>
        </w:rPr>
        <w:t xml:space="preserve">ويتبادل </w:t>
      </w:r>
      <w:r w:rsidR="004B7824" w:rsidRPr="00F5407A">
        <w:rPr>
          <w:rFonts w:ascii="Calibri" w:hAnsi="Calibri" w:cs="Calibri"/>
          <w:szCs w:val="22"/>
          <w:rtl/>
        </w:rPr>
        <w:t xml:space="preserve"> </w:t>
      </w:r>
      <w:r w:rsidRPr="00F5407A">
        <w:rPr>
          <w:rFonts w:ascii="Calibri" w:hAnsi="Calibri" w:cs="Calibri"/>
          <w:szCs w:val="22"/>
          <w:rtl/>
        </w:rPr>
        <w:t xml:space="preserve">7 مجيبين بيانات المنشورات ذات النص الكامل والبيانات الإحصائية على حد سواء، بينما مثلت الإجراءات الإدارية أقل أنواع البيانات تبادلًا بشكل عام (مجيبان).  </w:t>
      </w:r>
    </w:p>
    <w:p w14:paraId="6E454BE6" w14:textId="5D50B4B8" w:rsidR="003A6161" w:rsidRPr="00F5407A" w:rsidRDefault="00963A83" w:rsidP="001A65BE">
      <w:pPr>
        <w:pStyle w:val="ONUME"/>
        <w:bidi/>
        <w:rPr>
          <w:rFonts w:ascii="Calibri" w:hAnsi="Calibri" w:cs="Calibri"/>
          <w:szCs w:val="22"/>
          <w:rtl/>
        </w:rPr>
      </w:pPr>
      <w:r w:rsidRPr="00F5407A">
        <w:rPr>
          <w:rFonts w:ascii="Calibri" w:hAnsi="Calibri" w:cs="Calibri"/>
          <w:szCs w:val="22"/>
          <w:rtl/>
        </w:rPr>
        <w:t xml:space="preserve">وفيما يتعلق بفئات أنساق الملفات التي شملتها الدراسة الاستقصائية، أظهرت أنساق الوثائق والأرشيف أعلى معدلات اعتماد في ممارسات تبادل بيانات الملكية الفكرية وأكثرها توحيداً، إذ تصدر نسق </w:t>
      </w:r>
      <w:r w:rsidR="004B7824">
        <w:rPr>
          <w:rFonts w:ascii="Calibri" w:hAnsi="Calibri" w:cs="Calibri" w:hint="cs"/>
          <w:szCs w:val="22"/>
          <w:rtl/>
        </w:rPr>
        <w:t>"</w:t>
      </w:r>
      <w:r w:rsidRPr="00F5407A">
        <w:rPr>
          <w:rFonts w:ascii="Calibri" w:hAnsi="Calibri" w:cs="Calibri"/>
          <w:szCs w:val="22"/>
        </w:rPr>
        <w:t>XML</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(36</w:t>
      </w:r>
      <w:r w:rsidRPr="00F5407A">
        <w:rPr>
          <w:rFonts w:ascii="Calibri" w:hAnsi="Calibri" w:cs="Calibri"/>
          <w:szCs w:val="22"/>
          <w:rtl/>
        </w:rPr>
        <w:t xml:space="preserve"> مجيباً) ونسق </w:t>
      </w:r>
      <w:r w:rsidR="004B7824">
        <w:rPr>
          <w:rFonts w:ascii="Calibri" w:hAnsi="Calibri" w:cs="Calibri" w:hint="cs"/>
          <w:szCs w:val="22"/>
          <w:rtl/>
        </w:rPr>
        <w:t>"</w:t>
      </w:r>
      <w:r w:rsidRPr="00F5407A">
        <w:rPr>
          <w:rFonts w:ascii="Calibri" w:hAnsi="Calibri" w:cs="Calibri"/>
          <w:szCs w:val="22"/>
        </w:rPr>
        <w:t>PDF</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(31</w:t>
      </w:r>
      <w:r w:rsidRPr="00F5407A">
        <w:rPr>
          <w:rFonts w:ascii="Calibri" w:hAnsi="Calibri" w:cs="Calibri"/>
          <w:szCs w:val="22"/>
          <w:rtl/>
        </w:rPr>
        <w:t xml:space="preserve"> مجيباً) مقدمة الأنساق الأكثر استخداماً، يلي ذلك ضغط البيانات والأرشفة باستخدام نسق </w:t>
      </w:r>
      <w:r w:rsidR="004B7824">
        <w:rPr>
          <w:rFonts w:ascii="Calibri" w:hAnsi="Calibri" w:cs="Calibri" w:hint="cs"/>
          <w:szCs w:val="22"/>
          <w:rtl/>
        </w:rPr>
        <w:t>"</w:t>
      </w:r>
      <w:r w:rsidRPr="00F5407A">
        <w:rPr>
          <w:rFonts w:ascii="Calibri" w:hAnsi="Calibri" w:cs="Calibri"/>
          <w:szCs w:val="22"/>
        </w:rPr>
        <w:t>ZIP</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w:t>
      </w:r>
      <w:r w:rsidRPr="00F5407A">
        <w:rPr>
          <w:rFonts w:ascii="Calibri" w:hAnsi="Calibri" w:cs="Calibri"/>
          <w:szCs w:val="22"/>
          <w:rtl/>
        </w:rPr>
        <w:t xml:space="preserve">21 مجيباً) لنقل البيانات الضخمة، في حين شهدت أنساق مثل نسق </w:t>
      </w:r>
      <w:r w:rsidR="004B7824">
        <w:rPr>
          <w:rFonts w:ascii="Calibri" w:hAnsi="Calibri" w:cs="Calibri" w:hint="cs"/>
          <w:szCs w:val="22"/>
          <w:rtl/>
        </w:rPr>
        <w:t>"</w:t>
      </w:r>
      <w:r w:rsidRPr="00F5407A">
        <w:rPr>
          <w:rFonts w:ascii="Calibri" w:hAnsi="Calibri" w:cs="Calibri"/>
          <w:szCs w:val="22"/>
        </w:rPr>
        <w:t>JSON</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w:t>
      </w:r>
      <w:r w:rsidRPr="00F5407A">
        <w:rPr>
          <w:rFonts w:ascii="Calibri" w:hAnsi="Calibri" w:cs="Calibri"/>
          <w:szCs w:val="22"/>
          <w:rtl/>
        </w:rPr>
        <w:t xml:space="preserve">14 مجيباً)، ونسق </w:t>
      </w:r>
      <w:r w:rsidR="004B7824">
        <w:rPr>
          <w:rFonts w:ascii="Calibri" w:hAnsi="Calibri" w:cs="Calibri" w:hint="cs"/>
          <w:szCs w:val="22"/>
          <w:rtl/>
        </w:rPr>
        <w:t>"</w:t>
      </w:r>
      <w:r w:rsidRPr="00F5407A">
        <w:rPr>
          <w:rFonts w:ascii="Calibri" w:hAnsi="Calibri" w:cs="Calibri"/>
          <w:szCs w:val="22"/>
        </w:rPr>
        <w:t>CSV</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w:t>
      </w:r>
      <w:r w:rsidRPr="00F5407A">
        <w:rPr>
          <w:rFonts w:ascii="Calibri" w:hAnsi="Calibri" w:cs="Calibri"/>
          <w:szCs w:val="22"/>
          <w:rtl/>
        </w:rPr>
        <w:t xml:space="preserve">11 مجيباً)، ونسق </w:t>
      </w:r>
      <w:r w:rsidR="004B7824">
        <w:rPr>
          <w:rFonts w:ascii="Calibri" w:hAnsi="Calibri" w:cs="Calibri" w:hint="cs"/>
          <w:szCs w:val="22"/>
          <w:rtl/>
        </w:rPr>
        <w:t>"</w:t>
      </w:r>
      <w:r w:rsidRPr="00F5407A">
        <w:rPr>
          <w:rFonts w:ascii="Calibri" w:hAnsi="Calibri" w:cs="Calibri"/>
          <w:szCs w:val="22"/>
        </w:rPr>
        <w:t>DOCX</w:t>
      </w:r>
      <w:r w:rsidR="004B7824">
        <w:rPr>
          <w:rFonts w:ascii="Calibri" w:hAnsi="Calibri" w:cs="Calibri" w:hint="cs"/>
          <w:szCs w:val="22"/>
          <w:rtl/>
        </w:rPr>
        <w:t>"</w:t>
      </w:r>
      <w:r w:rsidR="004B7824" w:rsidRPr="00F5407A">
        <w:rPr>
          <w:rFonts w:ascii="Calibri" w:hAnsi="Calibri" w:cs="Calibri"/>
          <w:szCs w:val="22"/>
        </w:rPr>
        <w:t xml:space="preserve"> </w:t>
      </w:r>
      <w:r w:rsidR="004B7824">
        <w:rPr>
          <w:rFonts w:ascii="Calibri" w:hAnsi="Calibri" w:cs="Calibri" w:hint="cs"/>
          <w:szCs w:val="22"/>
          <w:rtl/>
        </w:rPr>
        <w:t>(</w:t>
      </w:r>
      <w:r w:rsidRPr="00F5407A">
        <w:rPr>
          <w:rFonts w:ascii="Calibri" w:hAnsi="Calibri" w:cs="Calibri"/>
          <w:szCs w:val="22"/>
          <w:rtl/>
        </w:rPr>
        <w:t xml:space="preserve">9 مجيبين) معدلات استخدام أكثر اعتدالاً.  وبالنسبة للصور ثنائية الأبعاد، جاء نسق </w:t>
      </w:r>
      <w:r w:rsidR="00316C3B">
        <w:rPr>
          <w:rFonts w:ascii="Calibri" w:hAnsi="Calibri" w:cs="Calibri" w:hint="cs"/>
          <w:szCs w:val="22"/>
          <w:rtl/>
        </w:rPr>
        <w:t>"</w:t>
      </w:r>
      <w:r w:rsidRPr="00F5407A">
        <w:rPr>
          <w:rFonts w:ascii="Calibri" w:hAnsi="Calibri" w:cs="Calibri"/>
          <w:szCs w:val="22"/>
        </w:rPr>
        <w:t>JPEG</w:t>
      </w:r>
      <w:r w:rsidR="00316C3B">
        <w:rPr>
          <w:rFonts w:ascii="Calibri" w:hAnsi="Calibri" w:cs="Calibri" w:hint="cs"/>
          <w:szCs w:val="22"/>
          <w:rtl/>
        </w:rPr>
        <w:t>"</w:t>
      </w:r>
      <w:r w:rsidR="00316C3B" w:rsidRPr="00F5407A">
        <w:rPr>
          <w:rFonts w:ascii="Calibri" w:hAnsi="Calibri" w:cs="Calibri"/>
          <w:szCs w:val="22"/>
        </w:rPr>
        <w:t xml:space="preserve"> </w:t>
      </w:r>
      <w:r w:rsidR="00316C3B">
        <w:rPr>
          <w:rFonts w:ascii="Calibri" w:hAnsi="Calibri" w:cs="Calibri" w:hint="cs"/>
          <w:szCs w:val="22"/>
          <w:rtl/>
        </w:rPr>
        <w:t>(</w:t>
      </w:r>
      <w:r w:rsidRPr="00F5407A">
        <w:rPr>
          <w:rFonts w:ascii="Calibri" w:hAnsi="Calibri" w:cs="Calibri"/>
          <w:szCs w:val="22"/>
          <w:rtl/>
        </w:rPr>
        <w:t xml:space="preserve">34 مجيباً) ونسق </w:t>
      </w:r>
      <w:r w:rsidR="00316C3B">
        <w:rPr>
          <w:rFonts w:ascii="Calibri" w:hAnsi="Calibri" w:cs="Calibri" w:hint="cs"/>
          <w:szCs w:val="22"/>
          <w:rtl/>
        </w:rPr>
        <w:t>"</w:t>
      </w:r>
      <w:r w:rsidRPr="00F5407A">
        <w:rPr>
          <w:rFonts w:ascii="Calibri" w:hAnsi="Calibri" w:cs="Calibri"/>
          <w:szCs w:val="22"/>
        </w:rPr>
        <w:t>TIFF</w:t>
      </w:r>
      <w:r w:rsidR="00316C3B">
        <w:rPr>
          <w:rFonts w:ascii="Calibri" w:hAnsi="Calibri" w:cs="Calibri" w:hint="cs"/>
          <w:szCs w:val="22"/>
          <w:rtl/>
        </w:rPr>
        <w:t>"</w:t>
      </w:r>
      <w:r w:rsidR="00316C3B" w:rsidRPr="00F5407A">
        <w:rPr>
          <w:rFonts w:ascii="Calibri" w:hAnsi="Calibri" w:cs="Calibri"/>
          <w:szCs w:val="22"/>
        </w:rPr>
        <w:t xml:space="preserve"> </w:t>
      </w:r>
      <w:r w:rsidR="00316C3B">
        <w:rPr>
          <w:rFonts w:ascii="Calibri" w:hAnsi="Calibri" w:cs="Calibri" w:hint="cs"/>
          <w:szCs w:val="22"/>
          <w:rtl/>
        </w:rPr>
        <w:t>(</w:t>
      </w:r>
      <w:r w:rsidRPr="00F5407A">
        <w:rPr>
          <w:rFonts w:ascii="Calibri" w:hAnsi="Calibri" w:cs="Calibri"/>
          <w:szCs w:val="22"/>
          <w:rtl/>
        </w:rPr>
        <w:t xml:space="preserve">26 مجيباً) في مقدمة الأنساق الأكثر اعتماداً، وعلى الرغم من استخدام نسق </w:t>
      </w:r>
      <w:r w:rsidR="00316C3B">
        <w:rPr>
          <w:rFonts w:ascii="Calibri" w:hAnsi="Calibri" w:cs="Calibri" w:hint="cs"/>
          <w:szCs w:val="22"/>
          <w:rtl/>
        </w:rPr>
        <w:t>"</w:t>
      </w:r>
      <w:r w:rsidRPr="00F5407A">
        <w:rPr>
          <w:rFonts w:ascii="Calibri" w:hAnsi="Calibri" w:cs="Calibri"/>
          <w:szCs w:val="22"/>
        </w:rPr>
        <w:t>PNG</w:t>
      </w:r>
      <w:r w:rsidR="00316C3B">
        <w:rPr>
          <w:rFonts w:ascii="Calibri" w:hAnsi="Calibri" w:cs="Calibri" w:hint="cs"/>
          <w:szCs w:val="22"/>
          <w:rtl/>
        </w:rPr>
        <w:t>"</w:t>
      </w:r>
      <w:r w:rsidR="00316C3B" w:rsidRPr="00F5407A">
        <w:rPr>
          <w:rFonts w:ascii="Calibri" w:hAnsi="Calibri" w:cs="Calibri"/>
          <w:szCs w:val="22"/>
        </w:rPr>
        <w:t xml:space="preserve"> </w:t>
      </w:r>
      <w:r w:rsidR="00316C3B">
        <w:rPr>
          <w:rFonts w:ascii="Calibri" w:hAnsi="Calibri" w:cs="Calibri" w:hint="cs"/>
          <w:szCs w:val="22"/>
          <w:rtl/>
        </w:rPr>
        <w:t>(</w:t>
      </w:r>
      <w:r w:rsidRPr="00F5407A">
        <w:rPr>
          <w:rFonts w:ascii="Calibri" w:hAnsi="Calibri" w:cs="Calibri"/>
          <w:szCs w:val="22"/>
          <w:rtl/>
        </w:rPr>
        <w:t>21 مجيباً) بشكل شائع أيضاً، أشار مجيبان إلى أن هذا النسق لا ينطبق عليهما.  كما شهدت أنساق الصوت والفيديو والوسائط المتعددة معدل اعتماد إجمالي أقل بكثير، إذ أشار 15 مجيباً إلى أن هذه الفئة لا تنطبق عليهم؛ أما بالنسبة للمجيبين الذين بتبادلون بيانات الوسائط المتعددة، فقد جاءت أنساق</w:t>
      </w:r>
      <w:r w:rsidR="00316C3B">
        <w:rPr>
          <w:rFonts w:ascii="Calibri" w:hAnsi="Calibri" w:cs="Calibri" w:hint="cs"/>
          <w:szCs w:val="22"/>
          <w:rtl/>
        </w:rPr>
        <w:t>"</w:t>
      </w:r>
      <w:r w:rsidRPr="00F5407A">
        <w:rPr>
          <w:rFonts w:ascii="Calibri" w:hAnsi="Calibri" w:cs="Calibri"/>
          <w:szCs w:val="22"/>
        </w:rPr>
        <w:t>MP3</w:t>
      </w:r>
      <w:r w:rsidR="00316C3B">
        <w:rPr>
          <w:rFonts w:ascii="Calibri" w:hAnsi="Calibri" w:cs="Calibri" w:hint="cs"/>
          <w:szCs w:val="22"/>
          <w:rtl/>
        </w:rPr>
        <w:t>"</w:t>
      </w:r>
      <w:r w:rsidR="00316C3B" w:rsidRPr="00F5407A">
        <w:rPr>
          <w:rFonts w:ascii="Calibri" w:hAnsi="Calibri" w:cs="Calibri"/>
          <w:szCs w:val="22"/>
        </w:rPr>
        <w:t xml:space="preserve"> </w:t>
      </w:r>
      <w:r w:rsidR="00316C3B">
        <w:rPr>
          <w:rFonts w:ascii="Calibri" w:hAnsi="Calibri" w:cs="Calibri" w:hint="cs"/>
          <w:szCs w:val="22"/>
          <w:rtl/>
        </w:rPr>
        <w:t>(</w:t>
      </w:r>
      <w:r w:rsidRPr="00F5407A">
        <w:rPr>
          <w:rFonts w:ascii="Calibri" w:hAnsi="Calibri" w:cs="Calibri"/>
          <w:szCs w:val="22"/>
          <w:rtl/>
        </w:rPr>
        <w:t>16 مجيباً) و</w:t>
      </w:r>
      <w:r w:rsidR="00316C3B">
        <w:rPr>
          <w:rFonts w:ascii="Calibri" w:hAnsi="Calibri" w:cs="Calibri" w:hint="cs"/>
          <w:szCs w:val="22"/>
          <w:rtl/>
        </w:rPr>
        <w:t>"</w:t>
      </w:r>
      <w:r w:rsidRPr="00F5407A">
        <w:rPr>
          <w:rFonts w:ascii="Calibri" w:hAnsi="Calibri" w:cs="Calibri"/>
          <w:szCs w:val="22"/>
        </w:rPr>
        <w:t>MP4</w:t>
      </w:r>
      <w:r w:rsidR="00316C3B">
        <w:rPr>
          <w:rFonts w:ascii="Calibri" w:hAnsi="Calibri" w:cs="Calibri" w:hint="cs"/>
          <w:szCs w:val="22"/>
          <w:rtl/>
        </w:rPr>
        <w:t>"</w:t>
      </w:r>
      <w:r w:rsidR="00316C3B" w:rsidRPr="00F5407A">
        <w:rPr>
          <w:rFonts w:ascii="Calibri" w:hAnsi="Calibri" w:cs="Calibri"/>
          <w:szCs w:val="22"/>
        </w:rPr>
        <w:t xml:space="preserve"> </w:t>
      </w:r>
      <w:r w:rsidR="00316C3B">
        <w:rPr>
          <w:rFonts w:ascii="Calibri" w:hAnsi="Calibri" w:cs="Calibri" w:hint="cs"/>
          <w:szCs w:val="22"/>
          <w:rtl/>
        </w:rPr>
        <w:t>(</w:t>
      </w:r>
      <w:r w:rsidRPr="00F5407A">
        <w:rPr>
          <w:rFonts w:ascii="Calibri" w:hAnsi="Calibri" w:cs="Calibri"/>
          <w:szCs w:val="22"/>
          <w:rtl/>
        </w:rPr>
        <w:t xml:space="preserve">12 مجيباً) في مقدمة الأنساق الأكثر شيوعًا، ويرتبط ذلك على الأرجح بتمثيل العلامات الصوتية.  </w:t>
      </w:r>
    </w:p>
    <w:p w14:paraId="3A7C8E05" w14:textId="7A35A34B" w:rsidR="0063537D" w:rsidRPr="00F5407A" w:rsidRDefault="00505ED3" w:rsidP="001A65BE">
      <w:pPr>
        <w:pStyle w:val="ONUME"/>
        <w:bidi/>
        <w:rPr>
          <w:rFonts w:ascii="Calibri" w:hAnsi="Calibri" w:cs="Calibri"/>
          <w:szCs w:val="22"/>
          <w:rtl/>
        </w:rPr>
      </w:pPr>
      <w:r w:rsidRPr="00F5407A">
        <w:rPr>
          <w:rFonts w:ascii="Calibri" w:hAnsi="Calibri" w:cs="Calibri"/>
          <w:szCs w:val="22"/>
          <w:rtl/>
        </w:rPr>
        <w:t>وكانت أنساق النماذج والصور ثلاثية الأبعاد هي الفئة الأقل انتشارًا، إذ أفاد 27 مجيباً بعدم انطباقها</w:t>
      </w:r>
      <w:r w:rsidR="00900735">
        <w:rPr>
          <w:rFonts w:ascii="Calibri" w:hAnsi="Calibri" w:cs="Calibri" w:hint="cs"/>
          <w:szCs w:val="22"/>
          <w:rtl/>
        </w:rPr>
        <w:t xml:space="preserve"> على حالتهم</w:t>
      </w:r>
      <w:r w:rsidRPr="00F5407A">
        <w:rPr>
          <w:rFonts w:ascii="Calibri" w:hAnsi="Calibri" w:cs="Calibri"/>
          <w:szCs w:val="22"/>
          <w:rtl/>
        </w:rPr>
        <w:t xml:space="preserve">، على الرغم من أن نسقي </w:t>
      </w:r>
      <w:r w:rsidR="00900735">
        <w:rPr>
          <w:rFonts w:ascii="Calibri" w:hAnsi="Calibri" w:cs="Calibri" w:hint="cs"/>
          <w:szCs w:val="22"/>
          <w:rtl/>
        </w:rPr>
        <w:t>"</w:t>
      </w:r>
      <w:r w:rsidRPr="00F5407A">
        <w:rPr>
          <w:rFonts w:ascii="Calibri" w:hAnsi="Calibri" w:cs="Calibri"/>
          <w:szCs w:val="22"/>
        </w:rPr>
        <w:t>OBJ</w:t>
      </w:r>
      <w:r w:rsidR="00900735">
        <w:rPr>
          <w:rFonts w:ascii="Calibri" w:hAnsi="Calibri" w:cs="Calibri" w:hint="cs"/>
          <w:szCs w:val="22"/>
          <w:rtl/>
        </w:rPr>
        <w:t>"</w:t>
      </w:r>
      <w:r w:rsidR="00900735" w:rsidRPr="00F5407A">
        <w:rPr>
          <w:rFonts w:ascii="Calibri" w:hAnsi="Calibri" w:cs="Calibri"/>
          <w:szCs w:val="22"/>
          <w:rtl/>
        </w:rPr>
        <w:t xml:space="preserve"> </w:t>
      </w:r>
      <w:r w:rsidRPr="00F5407A">
        <w:rPr>
          <w:rFonts w:ascii="Calibri" w:hAnsi="Calibri" w:cs="Calibri"/>
          <w:szCs w:val="22"/>
          <w:rtl/>
        </w:rPr>
        <w:t>و</w:t>
      </w:r>
      <w:r w:rsidR="00900735">
        <w:rPr>
          <w:rFonts w:ascii="Calibri" w:hAnsi="Calibri" w:cs="Calibri" w:hint="cs"/>
          <w:szCs w:val="22"/>
          <w:rtl/>
        </w:rPr>
        <w:t>"</w:t>
      </w:r>
      <w:r w:rsidRPr="00F5407A">
        <w:rPr>
          <w:rFonts w:ascii="Calibri" w:hAnsi="Calibri" w:cs="Calibri"/>
          <w:szCs w:val="22"/>
        </w:rPr>
        <w:t>STL</w:t>
      </w:r>
      <w:r w:rsidR="00900735">
        <w:rPr>
          <w:rFonts w:ascii="Calibri" w:hAnsi="Calibri" w:cs="Calibri" w:hint="cs"/>
          <w:szCs w:val="22"/>
          <w:rtl/>
        </w:rPr>
        <w:t>"</w:t>
      </w:r>
      <w:r w:rsidR="00900735" w:rsidRPr="00F5407A">
        <w:rPr>
          <w:rFonts w:ascii="Calibri" w:hAnsi="Calibri" w:cs="Calibri"/>
          <w:szCs w:val="22"/>
        </w:rPr>
        <w:t xml:space="preserve"> </w:t>
      </w:r>
      <w:r w:rsidR="00900735">
        <w:rPr>
          <w:rFonts w:ascii="Calibri" w:hAnsi="Calibri" w:cs="Calibri" w:hint="cs"/>
          <w:szCs w:val="22"/>
          <w:rtl/>
        </w:rPr>
        <w:t>(</w:t>
      </w:r>
      <w:r w:rsidRPr="00F5407A">
        <w:rPr>
          <w:rFonts w:ascii="Calibri" w:hAnsi="Calibri" w:cs="Calibri"/>
          <w:szCs w:val="22"/>
          <w:rtl/>
        </w:rPr>
        <w:t>8 مجيبين لكل منها) كانا ضمن الأنساق الأكثر استخدامًا بالنسبة لعدد قليل من المجيبين، مما يشير إلى أن تبادل البيانات ثلاثية الأبعاد لا يزال ممارسة ناشئة ترتبط في المقام الأول بتسجيل التصاميم الصناعية.  كما أشار بعض المجيبين إلى ممارسات إضافية تتعلق بالأنساق، بما في ذلك أنساق الصور البديلة، ونسق "</w:t>
      </w:r>
      <w:r w:rsidRPr="00F5407A">
        <w:rPr>
          <w:rFonts w:ascii="Calibri" w:hAnsi="Calibri" w:cs="Calibri"/>
          <w:color w:val="000000"/>
          <w:szCs w:val="22"/>
        </w:rPr>
        <w:t>GIF</w:t>
      </w:r>
      <w:r w:rsidR="00900735">
        <w:rPr>
          <w:rFonts w:ascii="Calibri" w:hAnsi="Calibri" w:cs="Calibri" w:hint="cs"/>
          <w:color w:val="000000"/>
          <w:szCs w:val="22"/>
          <w:rtl/>
        </w:rPr>
        <w:t>"</w:t>
      </w:r>
      <w:r w:rsidR="00900735" w:rsidRPr="00F5407A">
        <w:rPr>
          <w:rFonts w:ascii="Calibri" w:hAnsi="Calibri" w:cs="Calibri"/>
          <w:color w:val="000000"/>
          <w:szCs w:val="22"/>
          <w:rtl/>
        </w:rPr>
        <w:t xml:space="preserve"> </w:t>
      </w:r>
      <w:r w:rsidRPr="00F5407A">
        <w:rPr>
          <w:rFonts w:ascii="Calibri" w:hAnsi="Calibri" w:cs="Calibri"/>
          <w:color w:val="000000"/>
          <w:szCs w:val="22"/>
          <w:rtl/>
        </w:rPr>
        <w:t>من غير أنساق الحركة للعلامات التجارية</w:t>
      </w:r>
      <w:r w:rsidRPr="00F5407A">
        <w:rPr>
          <w:rFonts w:ascii="Calibri" w:hAnsi="Calibri" w:cs="Calibri"/>
          <w:szCs w:val="22"/>
          <w:rtl/>
        </w:rPr>
        <w:t xml:space="preserve">، ونسق </w:t>
      </w:r>
      <w:r w:rsidR="00DF60AE">
        <w:rPr>
          <w:rFonts w:ascii="Calibri" w:hAnsi="Calibri" w:cs="Calibri" w:hint="cs"/>
          <w:szCs w:val="22"/>
          <w:rtl/>
        </w:rPr>
        <w:t>"</w:t>
      </w:r>
      <w:r w:rsidRPr="00F5407A">
        <w:rPr>
          <w:rFonts w:ascii="Calibri" w:hAnsi="Calibri" w:cs="Calibri"/>
          <w:szCs w:val="22"/>
        </w:rPr>
        <w:t>PDF</w:t>
      </w:r>
      <w:r w:rsidR="00DF60AE">
        <w:rPr>
          <w:rFonts w:ascii="Calibri" w:hAnsi="Calibri" w:cs="Calibri" w:hint="cs"/>
          <w:szCs w:val="22"/>
          <w:rtl/>
        </w:rPr>
        <w:t>"</w:t>
      </w:r>
      <w:r w:rsidRPr="00F5407A">
        <w:rPr>
          <w:rFonts w:ascii="Calibri" w:hAnsi="Calibri" w:cs="Calibri"/>
          <w:szCs w:val="22"/>
          <w:rtl/>
        </w:rPr>
        <w:t xml:space="preserve"> ثلاثي الأبعاد، ونسق </w:t>
      </w:r>
      <w:r w:rsidR="00DF60AE">
        <w:rPr>
          <w:rFonts w:ascii="Calibri" w:hAnsi="Calibri" w:cs="Calibri" w:hint="cs"/>
          <w:szCs w:val="22"/>
          <w:rtl/>
        </w:rPr>
        <w:t>"</w:t>
      </w:r>
      <w:r w:rsidRPr="00F5407A">
        <w:rPr>
          <w:rFonts w:ascii="Calibri" w:hAnsi="Calibri" w:cs="Calibri"/>
          <w:szCs w:val="22"/>
        </w:rPr>
        <w:t>URL</w:t>
      </w:r>
      <w:r w:rsidR="00DF60AE">
        <w:rPr>
          <w:rFonts w:ascii="Calibri" w:hAnsi="Calibri" w:cs="Calibri" w:hint="cs"/>
          <w:szCs w:val="22"/>
          <w:rtl/>
        </w:rPr>
        <w:t>"</w:t>
      </w:r>
      <w:r w:rsidR="00DF60AE" w:rsidRPr="00F5407A">
        <w:rPr>
          <w:rFonts w:ascii="Calibri" w:hAnsi="Calibri" w:cs="Calibri"/>
          <w:szCs w:val="22"/>
          <w:rtl/>
        </w:rPr>
        <w:t xml:space="preserve"> </w:t>
      </w:r>
      <w:r w:rsidRPr="00F5407A">
        <w:rPr>
          <w:rFonts w:ascii="Calibri" w:hAnsi="Calibri" w:cs="Calibri"/>
          <w:szCs w:val="22"/>
          <w:rtl/>
        </w:rPr>
        <w:t>لتسليم المرفقات، إلى جانب خطط لاعتماد نماذج ثلاثية الأبعاد في المستقبل للتصاميم الصناعية.</w:t>
      </w:r>
    </w:p>
    <w:p w14:paraId="7D5B0D93" w14:textId="07611CE5" w:rsidR="00A25743" w:rsidRPr="00F5407A" w:rsidRDefault="00D5128B" w:rsidP="001A65BE">
      <w:pPr>
        <w:pStyle w:val="ONUME"/>
        <w:bidi/>
        <w:rPr>
          <w:rFonts w:ascii="Calibri" w:hAnsi="Calibri" w:cs="Calibri"/>
          <w:szCs w:val="22"/>
          <w:rtl/>
        </w:rPr>
      </w:pPr>
      <w:r w:rsidRPr="00F5407A">
        <w:rPr>
          <w:rFonts w:ascii="Calibri" w:hAnsi="Calibri" w:cs="Calibri"/>
          <w:szCs w:val="22"/>
          <w:rtl/>
        </w:rPr>
        <w:t xml:space="preserve">وفيما يتعلق بمعايير الويبو المستخدمة في تبادل بيانات الملكية الفكرية، كان معيار الويبو </w:t>
      </w:r>
      <w:r w:rsidRPr="00F5407A">
        <w:rPr>
          <w:rFonts w:ascii="Calibri" w:hAnsi="Calibri" w:cs="Calibri"/>
          <w:szCs w:val="22"/>
        </w:rPr>
        <w:t>ST.96</w:t>
      </w:r>
      <w:r w:rsidRPr="00F5407A">
        <w:rPr>
          <w:rFonts w:ascii="Calibri" w:hAnsi="Calibri" w:cs="Calibri"/>
          <w:szCs w:val="22"/>
          <w:rtl/>
        </w:rPr>
        <w:t xml:space="preserve"> (معالجة معلومات الملكية الفكرية باستخدام لغة الترميز </w:t>
      </w:r>
      <w:r w:rsidRPr="00F5407A">
        <w:rPr>
          <w:rFonts w:ascii="Calibri" w:hAnsi="Calibri" w:cs="Calibri"/>
          <w:szCs w:val="22"/>
        </w:rPr>
        <w:t>XML</w:t>
      </w:r>
      <w:r w:rsidRPr="00F5407A">
        <w:rPr>
          <w:rFonts w:ascii="Calibri" w:hAnsi="Calibri" w:cs="Calibri"/>
          <w:szCs w:val="22"/>
          <w:rtl/>
        </w:rPr>
        <w:t xml:space="preserve">) هو الأكثر استخداماً؛ إذ طبقه 18 مجيباً في مجال العلامات التجارية، كما تم تطبيقه في مجالي البراءات والتصاميم الصناعية (17 مجيباً لكل منهما).  وقد أظهر معيار الويبو </w:t>
      </w:r>
      <w:r w:rsidRPr="00F5407A">
        <w:rPr>
          <w:rFonts w:ascii="Calibri" w:hAnsi="Calibri" w:cs="Calibri"/>
          <w:szCs w:val="22"/>
        </w:rPr>
        <w:t>ST.97</w:t>
      </w:r>
      <w:r w:rsidRPr="00F5407A">
        <w:rPr>
          <w:rFonts w:ascii="Calibri" w:hAnsi="Calibri" w:cs="Calibri"/>
          <w:szCs w:val="22"/>
          <w:rtl/>
        </w:rPr>
        <w:t xml:space="preserve"> (معالجة بيانات الملكية الفكرية باستخدام نسق </w:t>
      </w:r>
      <w:r w:rsidRPr="00F5407A">
        <w:rPr>
          <w:rFonts w:ascii="Calibri" w:hAnsi="Calibri" w:cs="Calibri"/>
          <w:szCs w:val="22"/>
        </w:rPr>
        <w:t>JSON</w:t>
      </w:r>
      <w:r w:rsidRPr="00F5407A">
        <w:rPr>
          <w:rFonts w:ascii="Calibri" w:hAnsi="Calibri" w:cs="Calibri"/>
          <w:szCs w:val="22"/>
          <w:rtl/>
        </w:rPr>
        <w:t xml:space="preserve">) مستوى تنفيذ أقل نسبياً، إذ طبقه 7 مجيبين فقط في البراءات، ومجيبان اثنان في كل من العلامات التجارية والحقوق الصناعية، ومجيب واحد فقط في المؤشرات الجغرافية، في حين أفاد 29 مجيباً بأن معيار الويبو </w:t>
      </w:r>
      <w:r w:rsidRPr="00F5407A">
        <w:rPr>
          <w:rFonts w:ascii="Calibri" w:hAnsi="Calibri" w:cs="Calibri"/>
          <w:szCs w:val="22"/>
        </w:rPr>
        <w:t>ST.97</w:t>
      </w:r>
      <w:r w:rsidRPr="00F5407A">
        <w:rPr>
          <w:rFonts w:ascii="Calibri" w:hAnsi="Calibri" w:cs="Calibri"/>
          <w:szCs w:val="22"/>
          <w:rtl/>
        </w:rPr>
        <w:t xml:space="preserve"> لا ينطبق عليهم، مما يسلط الضوء على أن المعايير القائمة على نسق </w:t>
      </w:r>
      <w:r w:rsidR="00515002">
        <w:rPr>
          <w:rFonts w:ascii="Calibri" w:hAnsi="Calibri" w:cs="Calibri" w:hint="cs"/>
          <w:szCs w:val="22"/>
          <w:rtl/>
        </w:rPr>
        <w:t>"</w:t>
      </w:r>
      <w:r w:rsidRPr="00F5407A">
        <w:rPr>
          <w:rFonts w:ascii="Calibri" w:hAnsi="Calibri" w:cs="Calibri"/>
          <w:szCs w:val="22"/>
        </w:rPr>
        <w:t>JSON</w:t>
      </w:r>
      <w:r w:rsidR="00515002">
        <w:rPr>
          <w:rFonts w:ascii="Calibri" w:hAnsi="Calibri" w:cs="Calibri" w:hint="cs"/>
          <w:szCs w:val="22"/>
          <w:rtl/>
        </w:rPr>
        <w:t xml:space="preserve">" </w:t>
      </w:r>
      <w:r w:rsidRPr="00F5407A">
        <w:rPr>
          <w:rFonts w:ascii="Calibri" w:hAnsi="Calibri" w:cs="Calibri"/>
          <w:szCs w:val="22"/>
          <w:rtl/>
        </w:rPr>
        <w:t>لا تزال في مراحلها الأولى مقارنةً بالمعايير القائمة على نسق</w:t>
      </w:r>
      <w:r w:rsidR="00515002">
        <w:rPr>
          <w:rFonts w:ascii="Calibri" w:hAnsi="Calibri" w:cs="Calibri" w:hint="cs"/>
          <w:szCs w:val="22"/>
          <w:rtl/>
        </w:rPr>
        <w:t xml:space="preserve"> "</w:t>
      </w:r>
      <w:r w:rsidRPr="00F5407A">
        <w:rPr>
          <w:rFonts w:ascii="Calibri" w:hAnsi="Calibri" w:cs="Calibri"/>
          <w:szCs w:val="22"/>
        </w:rPr>
        <w:t>XML</w:t>
      </w:r>
      <w:r w:rsidR="00515002">
        <w:rPr>
          <w:rFonts w:ascii="Calibri" w:hAnsi="Calibri" w:cs="Calibri" w:hint="cs"/>
          <w:szCs w:val="22"/>
          <w:rtl/>
        </w:rPr>
        <w:t>"</w:t>
      </w:r>
      <w:r w:rsidRPr="00F5407A">
        <w:rPr>
          <w:rFonts w:ascii="Calibri" w:hAnsi="Calibri" w:cs="Calibri"/>
          <w:szCs w:val="22"/>
          <w:rtl/>
        </w:rPr>
        <w:t xml:space="preserve">.  ومن بين عدة معايير، جاء معيار الويبو </w:t>
      </w:r>
      <w:r w:rsidRPr="00F5407A">
        <w:rPr>
          <w:rFonts w:ascii="Calibri" w:hAnsi="Calibri" w:cs="Calibri"/>
          <w:szCs w:val="22"/>
        </w:rPr>
        <w:t>ST.36</w:t>
      </w:r>
      <w:r w:rsidRPr="00F5407A">
        <w:rPr>
          <w:rFonts w:ascii="Calibri" w:hAnsi="Calibri" w:cs="Calibri"/>
          <w:szCs w:val="22"/>
          <w:rtl/>
        </w:rPr>
        <w:t xml:space="preserve"> (معالجة معلومات البراءات باستخدام لغة الترميز الموسعة </w:t>
      </w:r>
      <w:r w:rsidRPr="00F5407A">
        <w:rPr>
          <w:rFonts w:ascii="Calibri" w:hAnsi="Calibri" w:cs="Calibri"/>
          <w:szCs w:val="22"/>
        </w:rPr>
        <w:t>XML</w:t>
      </w:r>
      <w:r w:rsidRPr="00F5407A">
        <w:rPr>
          <w:rFonts w:ascii="Calibri" w:hAnsi="Calibri" w:cs="Calibri"/>
          <w:szCs w:val="22"/>
          <w:rtl/>
        </w:rPr>
        <w:t xml:space="preserve">) ومعيار الويبو </w:t>
      </w:r>
      <w:r w:rsidRPr="00F5407A">
        <w:rPr>
          <w:rFonts w:ascii="Calibri" w:hAnsi="Calibri" w:cs="Calibri"/>
          <w:szCs w:val="22"/>
        </w:rPr>
        <w:t>ST.26</w:t>
      </w:r>
      <w:r w:rsidRPr="00F5407A">
        <w:rPr>
          <w:rFonts w:ascii="Calibri" w:hAnsi="Calibri" w:cs="Calibri"/>
          <w:szCs w:val="22"/>
          <w:rtl/>
        </w:rPr>
        <w:t xml:space="preserve"> (عرض قوائم تسلسل النوويدات والأحماض الأمينية باستخدام لغة الترميز الموسعة </w:t>
      </w:r>
      <w:r w:rsidRPr="00F5407A">
        <w:rPr>
          <w:rFonts w:ascii="Calibri" w:hAnsi="Calibri" w:cs="Calibri"/>
          <w:szCs w:val="22"/>
        </w:rPr>
        <w:t>XML</w:t>
      </w:r>
      <w:r w:rsidRPr="00F5407A">
        <w:rPr>
          <w:rFonts w:ascii="Calibri" w:hAnsi="Calibri" w:cs="Calibri"/>
          <w:szCs w:val="22"/>
          <w:rtl/>
        </w:rPr>
        <w:t xml:space="preserve">) في مقدمة المعاير الأكثر استخداماً (25 مجيباً و24 مجيباً على التوالي)، </w:t>
      </w:r>
      <w:r w:rsidR="00A57E38">
        <w:rPr>
          <w:rFonts w:ascii="Calibri" w:hAnsi="Calibri" w:cs="Calibri" w:hint="cs"/>
          <w:szCs w:val="22"/>
          <w:rtl/>
        </w:rPr>
        <w:t>يلي ذلك</w:t>
      </w:r>
      <w:r w:rsidR="00A57E38" w:rsidRPr="00F5407A">
        <w:rPr>
          <w:rFonts w:ascii="Calibri" w:hAnsi="Calibri" w:cs="Calibri"/>
          <w:szCs w:val="22"/>
          <w:rtl/>
        </w:rPr>
        <w:t xml:space="preserve"> </w:t>
      </w:r>
      <w:r w:rsidRPr="00F5407A">
        <w:rPr>
          <w:rFonts w:ascii="Calibri" w:hAnsi="Calibri" w:cs="Calibri"/>
          <w:szCs w:val="22"/>
          <w:rtl/>
        </w:rPr>
        <w:t xml:space="preserve">معيار الويبو </w:t>
      </w:r>
      <w:r w:rsidRPr="00F5407A">
        <w:rPr>
          <w:rFonts w:ascii="Calibri" w:hAnsi="Calibri" w:cs="Calibri"/>
          <w:szCs w:val="22"/>
        </w:rPr>
        <w:t>ST.37</w:t>
      </w:r>
      <w:r w:rsidRPr="00F5407A">
        <w:rPr>
          <w:rFonts w:ascii="Calibri" w:hAnsi="Calibri" w:cs="Calibri"/>
          <w:szCs w:val="22"/>
          <w:rtl/>
        </w:rPr>
        <w:t xml:space="preserve"> (ملفات الإدارة لوثائق البراءات المنشورة) الذي أشار إليه 21 مجيباً، في حين اعتمد 14 مجيباً معيار الويبو </w:t>
      </w:r>
      <w:r w:rsidRPr="00F5407A">
        <w:rPr>
          <w:rFonts w:ascii="Calibri" w:hAnsi="Calibri" w:cs="Calibri"/>
          <w:szCs w:val="22"/>
        </w:rPr>
        <w:t>ST.27</w:t>
      </w:r>
      <w:r w:rsidRPr="00F5407A">
        <w:rPr>
          <w:rFonts w:ascii="Calibri" w:hAnsi="Calibri" w:cs="Calibri"/>
          <w:szCs w:val="22"/>
          <w:rtl/>
        </w:rPr>
        <w:t xml:space="preserve"> (تبادل بيانات الوضع القانوني للبراءات).  </w:t>
      </w:r>
    </w:p>
    <w:p w14:paraId="3B8D392F" w14:textId="2791682D" w:rsidR="00D5128B" w:rsidRPr="00F5407A" w:rsidRDefault="00D5128B" w:rsidP="001A65BE">
      <w:pPr>
        <w:pStyle w:val="ONUME"/>
        <w:bidi/>
        <w:rPr>
          <w:rFonts w:ascii="Calibri" w:hAnsi="Calibri" w:cs="Calibri"/>
          <w:szCs w:val="22"/>
          <w:rtl/>
        </w:rPr>
      </w:pPr>
      <w:r w:rsidRPr="00F5407A">
        <w:rPr>
          <w:rFonts w:ascii="Calibri" w:hAnsi="Calibri" w:cs="Calibri"/>
          <w:szCs w:val="22"/>
          <w:rtl/>
        </w:rPr>
        <w:t>و</w:t>
      </w:r>
      <w:r w:rsidR="00907F6E">
        <w:rPr>
          <w:rFonts w:ascii="Calibri" w:hAnsi="Calibri" w:cs="Calibri" w:hint="cs"/>
          <w:szCs w:val="22"/>
          <w:rtl/>
        </w:rPr>
        <w:t xml:space="preserve">قد </w:t>
      </w:r>
      <w:r w:rsidRPr="00F5407A">
        <w:rPr>
          <w:rFonts w:ascii="Calibri" w:hAnsi="Calibri" w:cs="Calibri"/>
          <w:szCs w:val="22"/>
          <w:rtl/>
        </w:rPr>
        <w:t xml:space="preserve">شهدت معايير الويبو المتعلقة بالعلامات التجارية والتصاميم مستوى اعتماد معتدل، بما في ذلك معيار الويبو </w:t>
      </w:r>
      <w:r w:rsidRPr="00F5407A">
        <w:rPr>
          <w:rFonts w:ascii="Calibri" w:hAnsi="Calibri" w:cs="Calibri"/>
          <w:szCs w:val="22"/>
        </w:rPr>
        <w:t>ST.66</w:t>
      </w:r>
      <w:r w:rsidRPr="00F5407A">
        <w:rPr>
          <w:rFonts w:ascii="Calibri" w:hAnsi="Calibri" w:cs="Calibri"/>
          <w:szCs w:val="22"/>
          <w:rtl/>
        </w:rPr>
        <w:t xml:space="preserve"> (معالجة معلومات العلامات التجارية باستخدام لغة الترميز الموسعة </w:t>
      </w:r>
      <w:r w:rsidRPr="00F5407A">
        <w:rPr>
          <w:rFonts w:ascii="Calibri" w:hAnsi="Calibri" w:cs="Calibri"/>
          <w:szCs w:val="22"/>
        </w:rPr>
        <w:t>XML</w:t>
      </w:r>
      <w:r w:rsidRPr="00F5407A">
        <w:rPr>
          <w:rFonts w:ascii="Calibri" w:hAnsi="Calibri" w:cs="Calibri"/>
          <w:szCs w:val="22"/>
          <w:rtl/>
        </w:rPr>
        <w:t xml:space="preserve">) الذي </w:t>
      </w:r>
      <w:r w:rsidR="00907F6E">
        <w:rPr>
          <w:rFonts w:ascii="Calibri" w:hAnsi="Calibri" w:cs="Calibri" w:hint="cs"/>
          <w:szCs w:val="22"/>
          <w:rtl/>
        </w:rPr>
        <w:t>يتبناه</w:t>
      </w:r>
      <w:r w:rsidR="00907F6E" w:rsidRPr="00F5407A">
        <w:rPr>
          <w:rFonts w:ascii="Calibri" w:hAnsi="Calibri" w:cs="Calibri"/>
          <w:szCs w:val="22"/>
          <w:rtl/>
        </w:rPr>
        <w:t xml:space="preserve"> </w:t>
      </w:r>
      <w:r w:rsidRPr="00F5407A">
        <w:rPr>
          <w:rFonts w:ascii="Calibri" w:hAnsi="Calibri" w:cs="Calibri"/>
          <w:szCs w:val="22"/>
          <w:rtl/>
        </w:rPr>
        <w:t xml:space="preserve">16 مجيباً، ومعيار الويبو </w:t>
      </w:r>
      <w:r w:rsidRPr="00F5407A">
        <w:rPr>
          <w:rFonts w:ascii="Calibri" w:hAnsi="Calibri" w:cs="Calibri"/>
          <w:szCs w:val="22"/>
        </w:rPr>
        <w:t>ST.86</w:t>
      </w:r>
      <w:r w:rsidRPr="00F5407A">
        <w:rPr>
          <w:rFonts w:ascii="Calibri" w:hAnsi="Calibri" w:cs="Calibri"/>
          <w:szCs w:val="22"/>
          <w:rtl/>
        </w:rPr>
        <w:t xml:space="preserve"> (معالجة معلومات التصاميم الصناعية باستخدام لغة الترميز الموسعة </w:t>
      </w:r>
      <w:r w:rsidRPr="00F5407A">
        <w:rPr>
          <w:rFonts w:ascii="Calibri" w:hAnsi="Calibri" w:cs="Calibri"/>
          <w:szCs w:val="22"/>
        </w:rPr>
        <w:t>XML</w:t>
      </w:r>
      <w:r w:rsidRPr="00F5407A">
        <w:rPr>
          <w:rFonts w:ascii="Calibri" w:hAnsi="Calibri" w:cs="Calibri"/>
          <w:szCs w:val="22"/>
          <w:rtl/>
        </w:rPr>
        <w:t xml:space="preserve">) الذي </w:t>
      </w:r>
      <w:r w:rsidR="00907F6E">
        <w:rPr>
          <w:rFonts w:ascii="Calibri" w:hAnsi="Calibri" w:cs="Calibri" w:hint="cs"/>
          <w:szCs w:val="22"/>
          <w:rtl/>
        </w:rPr>
        <w:t>يتبناه</w:t>
      </w:r>
      <w:r w:rsidR="00907F6E" w:rsidRPr="00F5407A">
        <w:rPr>
          <w:rFonts w:ascii="Calibri" w:hAnsi="Calibri" w:cs="Calibri"/>
          <w:szCs w:val="22"/>
          <w:rtl/>
        </w:rPr>
        <w:t xml:space="preserve"> </w:t>
      </w:r>
      <w:r w:rsidRPr="00F5407A">
        <w:rPr>
          <w:rFonts w:ascii="Calibri" w:hAnsi="Calibri" w:cs="Calibri"/>
          <w:szCs w:val="22"/>
          <w:rtl/>
        </w:rPr>
        <w:t xml:space="preserve">15 مجيباً.  أما المعايير الأخرى للويبو، مثل المعيار </w:t>
      </w:r>
      <w:r w:rsidRPr="00F5407A">
        <w:rPr>
          <w:rFonts w:ascii="Calibri" w:hAnsi="Calibri" w:cs="Calibri"/>
          <w:szCs w:val="22"/>
        </w:rPr>
        <w:t>ST.91</w:t>
      </w:r>
      <w:r w:rsidRPr="00F5407A">
        <w:rPr>
          <w:rFonts w:ascii="Calibri" w:hAnsi="Calibri" w:cs="Calibri"/>
          <w:szCs w:val="22"/>
          <w:rtl/>
        </w:rPr>
        <w:t xml:space="preserve"> (توصيات بشأن النماذج الرقمية ثلاثية الأبعاد والصور ثلاثية الأبعاد) والمعيار </w:t>
      </w:r>
      <w:r w:rsidRPr="00F5407A">
        <w:rPr>
          <w:rFonts w:ascii="Calibri" w:hAnsi="Calibri" w:cs="Calibri"/>
          <w:szCs w:val="22"/>
        </w:rPr>
        <w:t>ST.69</w:t>
      </w:r>
      <w:r w:rsidRPr="00F5407A">
        <w:rPr>
          <w:rFonts w:ascii="Calibri" w:hAnsi="Calibri" w:cs="Calibri"/>
          <w:szCs w:val="22"/>
          <w:rtl/>
        </w:rPr>
        <w:t xml:space="preserve"> (الإدارة الإلكترونية لعلامات الحركة وعلامات الوسائط المتعددة)، فقد أشار 5 مجيبين فقط إلى اعتمادهما.  وأشار 4 مجيبين فقط إلى أنه لا ينطبق أي معيار من معايير الويبو على عملياتهم، مما يؤكد الأهمية الكبيرة التي تكتسيها معايير الويبو </w:t>
      </w:r>
      <w:r w:rsidR="00907F6E">
        <w:rPr>
          <w:rFonts w:ascii="Calibri" w:hAnsi="Calibri" w:cs="Calibri" w:hint="cs"/>
          <w:szCs w:val="22"/>
          <w:rtl/>
        </w:rPr>
        <w:t>فيما يتعلق</w:t>
      </w:r>
      <w:r w:rsidR="00907F6E" w:rsidRPr="00F5407A">
        <w:rPr>
          <w:rFonts w:ascii="Calibri" w:hAnsi="Calibri" w:cs="Calibri"/>
          <w:szCs w:val="22"/>
          <w:rtl/>
        </w:rPr>
        <w:t xml:space="preserve"> </w:t>
      </w:r>
      <w:r w:rsidRPr="00F5407A">
        <w:rPr>
          <w:rFonts w:ascii="Calibri" w:hAnsi="Calibri" w:cs="Calibri"/>
          <w:szCs w:val="22"/>
          <w:rtl/>
        </w:rPr>
        <w:t>بتبادل بيانات الملكية الفكرية بشكل عام.</w:t>
      </w:r>
    </w:p>
    <w:p w14:paraId="41A41C36" w14:textId="5493E0BA" w:rsidR="00705D91" w:rsidRPr="007E4202" w:rsidRDefault="00705D91" w:rsidP="009112A6">
      <w:pPr>
        <w:pStyle w:val="Heading3"/>
        <w:bidi/>
        <w:rPr>
          <w:rFonts w:ascii="Calibri" w:hAnsi="Calibri" w:cs="Calibri"/>
          <w:b/>
          <w:bCs w:val="0"/>
          <w:szCs w:val="22"/>
          <w:rtl/>
        </w:rPr>
      </w:pPr>
      <w:r w:rsidRPr="007E4202">
        <w:rPr>
          <w:rFonts w:ascii="Calibri" w:hAnsi="Calibri" w:cs="Calibri"/>
          <w:b/>
          <w:bCs w:val="0"/>
          <w:szCs w:val="22"/>
          <w:rtl/>
        </w:rPr>
        <w:t>أسباب جمع بيانات الملكية الفكرية</w:t>
      </w:r>
    </w:p>
    <w:p w14:paraId="75C2844D" w14:textId="5045C514" w:rsidR="00C11996" w:rsidRPr="00F5407A" w:rsidRDefault="00271E39" w:rsidP="001A65BE">
      <w:pPr>
        <w:pStyle w:val="ONUME"/>
        <w:bidi/>
        <w:rPr>
          <w:rFonts w:ascii="Calibri" w:hAnsi="Calibri" w:cs="Calibri"/>
          <w:kern w:val="2"/>
          <w:szCs w:val="22"/>
          <w:rtl/>
          <w14:ligatures w14:val="standardContextual"/>
        </w:rPr>
      </w:pPr>
      <w:r w:rsidRPr="00F5407A">
        <w:rPr>
          <w:rFonts w:ascii="Calibri" w:hAnsi="Calibri" w:cs="Calibri"/>
          <w:szCs w:val="22"/>
          <w:rtl/>
        </w:rPr>
        <w:t>بالدرجة الأولى، يجمع المجيبون بيانات الملكية الفكرية من المكاتب الأخرى لأغراض داخلية.  ووفقاً لما أشار إليه 20 مجيباً، جاءت أنشطة الفحص، بما في ذلك البحث عن الحالة الفنية السابقة، في مقدمة الأنشطة الأكثر استخداماً.  ومن بين الاستخدامات الشائعة الأخرى إعداد التقارير الداخلية والتحليلات (14 مجيباً)، بالإضافة إلى تدريب نماذج الذكاء الاصطناعي والتعلم الآلي (10 مجيبين).  كما أشار عدد قليل من المجيبين إلى استخدام البيانات لأغراض أخرى، مثل دعم أدوات البحث الإقليمية التي تشاركها مع مكاتبها الوطنية.</w:t>
      </w:r>
    </w:p>
    <w:p w14:paraId="5B3E38E5" w14:textId="105659BF" w:rsidR="00C11996" w:rsidRPr="00F5407A" w:rsidRDefault="00AF59AE"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ومن بين الاستخدامات الشائعة أيضاً نشر بيانات الملكية الفكرية المُجمّعة على نطاق أوسع يشمل الجمهور.  </w:t>
      </w:r>
      <w:r w:rsidR="003E6047">
        <w:rPr>
          <w:rFonts w:ascii="Calibri" w:hAnsi="Calibri" w:cs="Calibri" w:hint="cs"/>
          <w:szCs w:val="22"/>
          <w:rtl/>
        </w:rPr>
        <w:t>إذ</w:t>
      </w:r>
      <w:r w:rsidRPr="00F5407A">
        <w:rPr>
          <w:rFonts w:ascii="Calibri" w:hAnsi="Calibri" w:cs="Calibri"/>
          <w:szCs w:val="22"/>
          <w:rtl/>
        </w:rPr>
        <w:t xml:space="preserve"> أفاد 17 مجيباً بأنهم يستخدمون هذه البيانات لإثراء أدوات البحث المجانية المتاحة للجمهور وقواعد البيانات.  ويستخدم 5 مجيبين هذه البيانات لإعداد ونشر تقارير ذات قيمة مضافة أو تحليلات إحصائية، في حين أشار 17 مجيباً إلى أن نشر هذه البيانات على نطاق أوسع يشمل الجمهور لا ينطبق على أنشطتهم.  كما أشار بعض المجيبين إلى أن البيانات المُجمّعة قد يتم دمجها في منتجات البيانات الضخمة أو استخدامها في أدوات البحث الداخلية وفي الأدوات المتاحة للجمهور أيضاً.  وأشار مجيب واحد إلى أن بعض المنشورات الناتجة عن ذلك قد تخضع لرسوم.</w:t>
      </w:r>
    </w:p>
    <w:p w14:paraId="37145B55" w14:textId="0EEFAB1A" w:rsidR="00C11996" w:rsidRPr="00F5407A" w:rsidRDefault="005E12AB"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وجاءت إعادة التوزيع الخارجي في مقدمة الاستخدامات الأقل شيوعاً لبيانات الملكية الفكرية المُجمّعة.  </w:t>
      </w:r>
      <w:r w:rsidR="007D2058">
        <w:rPr>
          <w:rFonts w:ascii="Calibri" w:hAnsi="Calibri" w:cs="Calibri" w:hint="cs"/>
          <w:szCs w:val="22"/>
          <w:rtl/>
        </w:rPr>
        <w:t>إذ</w:t>
      </w:r>
      <w:r w:rsidR="007D2058" w:rsidRPr="00F5407A">
        <w:rPr>
          <w:rFonts w:ascii="Calibri" w:hAnsi="Calibri" w:cs="Calibri"/>
          <w:szCs w:val="22"/>
          <w:rtl/>
        </w:rPr>
        <w:t xml:space="preserve"> </w:t>
      </w:r>
      <w:r w:rsidRPr="00F5407A">
        <w:rPr>
          <w:rFonts w:ascii="Calibri" w:hAnsi="Calibri" w:cs="Calibri"/>
          <w:szCs w:val="22"/>
          <w:rtl/>
        </w:rPr>
        <w:t xml:space="preserve">أشار 6 مجيبين إلى مشاركة التقارير والتحليلات مع أطراف ثالثة، مثل الوكالات الحكومية أو المؤسسات البحثية، في حين أفاد 3 مجيبين فقط </w:t>
      </w:r>
      <w:r w:rsidR="007D2058">
        <w:rPr>
          <w:rFonts w:ascii="Calibri" w:hAnsi="Calibri" w:cs="Calibri" w:hint="cs"/>
          <w:szCs w:val="22"/>
          <w:rtl/>
        </w:rPr>
        <w:t>ب</w:t>
      </w:r>
      <w:r w:rsidRPr="00F5407A">
        <w:rPr>
          <w:rFonts w:ascii="Calibri" w:hAnsi="Calibri" w:cs="Calibri"/>
          <w:szCs w:val="22"/>
          <w:rtl/>
        </w:rPr>
        <w:t xml:space="preserve">مشاركة البيانات المُجمّعة مع مقدمي البيانات التجاريين.  وأشار 25 مجيباً إلى أن إعادة التوزيع الخارجي لا تنطبق على أنشطتهم، مما يشير إلى أن معظم المكاتب تقصر استخدام بيانات الملكية الفكرية المُجمّعة على العمليات الداخلية أو الخدمات الموجهة للجمهور.  </w:t>
      </w:r>
    </w:p>
    <w:p w14:paraId="1FCD01E0" w14:textId="1C335086" w:rsidR="009474F2" w:rsidRPr="00F5407A" w:rsidRDefault="00922F1D" w:rsidP="0015730F">
      <w:pPr>
        <w:pStyle w:val="ONUME"/>
        <w:bidi/>
        <w:rPr>
          <w:rFonts w:ascii="Calibri" w:hAnsi="Calibri" w:cs="Calibri"/>
          <w:szCs w:val="22"/>
          <w:rtl/>
        </w:rPr>
      </w:pPr>
      <w:r w:rsidRPr="00F5407A">
        <w:rPr>
          <w:rFonts w:ascii="Calibri" w:hAnsi="Calibri" w:cs="Calibri"/>
          <w:szCs w:val="22"/>
          <w:rtl/>
        </w:rPr>
        <w:t>وبشكل عام، تشير النتائج المحصلة إلى أن المكاتب تسعى بشكل أساسي إلى جمع بيانات الملكية الفكرية لدعم عملياتها الداخلية.  بالإضافة إلى ذلك، يعد النشر العام للبيانات أمراً شائعاً نسبياً، في حين تظل إعادة التوزيع على مقدمي البيانات التجاريين أو الأطراف الثالثة الأخرى أمراً محدوداً.  وترد هذه النتائج في الجدول 1 أدناه.</w:t>
      </w:r>
    </w:p>
    <w:tbl>
      <w:tblPr>
        <w:tblStyle w:val="TableGridLight"/>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014"/>
        <w:gridCol w:w="1134"/>
      </w:tblGrid>
      <w:tr w:rsidR="00A0668E" w:rsidRPr="00A06AB9" w14:paraId="159F65B6" w14:textId="77777777" w:rsidTr="006E4EDC">
        <w:trPr>
          <w:trHeight w:val="454"/>
        </w:trPr>
        <w:tc>
          <w:tcPr>
            <w:tcW w:w="1175" w:type="pct"/>
            <w:shd w:val="clear" w:color="auto" w:fill="1F497D" w:themeFill="text2"/>
            <w:vAlign w:val="center"/>
            <w:hideMark/>
          </w:tcPr>
          <w:p w14:paraId="7A84F9E7" w14:textId="5E37C92D" w:rsidR="00A0668E" w:rsidRPr="00A06AB9" w:rsidRDefault="00A0668E" w:rsidP="002076E7">
            <w:pPr>
              <w:keepNext/>
              <w:bidi/>
              <w:spacing w:before="40" w:after="40"/>
              <w:rPr>
                <w:rFonts w:ascii="Calibri" w:hAnsi="Calibri" w:cs="Calibri"/>
                <w:b/>
                <w:color w:val="FFFFFF" w:themeColor="background1"/>
                <w:sz w:val="20"/>
                <w:rtl/>
              </w:rPr>
            </w:pPr>
            <w:r w:rsidRPr="00A06AB9">
              <w:rPr>
                <w:rFonts w:ascii="Calibri" w:hAnsi="Calibri" w:cs="Calibri"/>
                <w:b/>
                <w:bCs/>
                <w:color w:val="FFFFFF" w:themeColor="background1"/>
                <w:sz w:val="20"/>
                <w:rtl/>
              </w:rPr>
              <w:t>المجموعة</w:t>
            </w:r>
          </w:p>
        </w:tc>
        <w:tc>
          <w:tcPr>
            <w:tcW w:w="3218" w:type="pct"/>
            <w:shd w:val="clear" w:color="auto" w:fill="1F497D" w:themeFill="text2"/>
            <w:vAlign w:val="center"/>
            <w:hideMark/>
          </w:tcPr>
          <w:p w14:paraId="5A741152" w14:textId="7C5290D1" w:rsidR="00A0668E" w:rsidRPr="00A06AB9" w:rsidRDefault="006C1BF8" w:rsidP="002076E7">
            <w:pPr>
              <w:keepNext/>
              <w:bidi/>
              <w:spacing w:before="40" w:after="40"/>
              <w:rPr>
                <w:rFonts w:ascii="Calibri" w:hAnsi="Calibri" w:cs="Calibri"/>
                <w:b/>
                <w:color w:val="FFFFFF" w:themeColor="background1"/>
                <w:sz w:val="20"/>
                <w:rtl/>
              </w:rPr>
            </w:pPr>
            <w:r w:rsidRPr="00A06AB9">
              <w:rPr>
                <w:rFonts w:ascii="Calibri" w:hAnsi="Calibri" w:cs="Calibri"/>
                <w:b/>
                <w:bCs/>
                <w:color w:val="FFFFFF" w:themeColor="background1"/>
                <w:sz w:val="20"/>
                <w:rtl/>
              </w:rPr>
              <w:t>سبب جمع بيانات الملكية الفكرية</w:t>
            </w:r>
          </w:p>
        </w:tc>
        <w:tc>
          <w:tcPr>
            <w:tcW w:w="607" w:type="pct"/>
            <w:shd w:val="clear" w:color="auto" w:fill="1F497D" w:themeFill="text2"/>
            <w:vAlign w:val="center"/>
            <w:hideMark/>
          </w:tcPr>
          <w:p w14:paraId="31C9611D" w14:textId="1154E853" w:rsidR="00A0668E" w:rsidRPr="00A06AB9" w:rsidRDefault="00A0668E" w:rsidP="002076E7">
            <w:pPr>
              <w:keepNext/>
              <w:bidi/>
              <w:spacing w:before="40" w:after="40"/>
              <w:rPr>
                <w:rFonts w:ascii="Calibri" w:hAnsi="Calibri" w:cs="Calibri"/>
                <w:b/>
                <w:color w:val="FFFFFF" w:themeColor="background1"/>
                <w:sz w:val="20"/>
                <w:rtl/>
              </w:rPr>
            </w:pPr>
            <w:r w:rsidRPr="00A06AB9">
              <w:rPr>
                <w:rFonts w:ascii="Calibri" w:hAnsi="Calibri" w:cs="Calibri"/>
                <w:b/>
                <w:bCs/>
                <w:color w:val="FFFFFF" w:themeColor="background1"/>
                <w:sz w:val="20"/>
                <w:rtl/>
              </w:rPr>
              <w:t>العدد</w:t>
            </w:r>
          </w:p>
        </w:tc>
      </w:tr>
      <w:tr w:rsidR="00A0668E" w:rsidRPr="00A06AB9" w14:paraId="0F7BB9E6" w14:textId="77777777" w:rsidTr="001E1907">
        <w:trPr>
          <w:trHeight w:val="170"/>
        </w:trPr>
        <w:tc>
          <w:tcPr>
            <w:tcW w:w="1175" w:type="pct"/>
            <w:vMerge w:val="restart"/>
            <w:vAlign w:val="center"/>
            <w:hideMark/>
          </w:tcPr>
          <w:p w14:paraId="6C61835A" w14:textId="2CB11DA8" w:rsidR="00A0668E" w:rsidRPr="00A06AB9" w:rsidRDefault="00A0668E" w:rsidP="002076E7">
            <w:pPr>
              <w:keepNext/>
              <w:bidi/>
              <w:spacing w:before="40" w:after="40"/>
              <w:rPr>
                <w:rFonts w:ascii="Calibri" w:hAnsi="Calibri" w:cs="Calibri"/>
                <w:b/>
                <w:bCs/>
                <w:sz w:val="20"/>
                <w:rtl/>
              </w:rPr>
            </w:pPr>
            <w:r w:rsidRPr="00A06AB9">
              <w:rPr>
                <w:rFonts w:ascii="Calibri" w:hAnsi="Calibri" w:cs="Calibri"/>
                <w:b/>
                <w:bCs/>
                <w:sz w:val="20"/>
                <w:rtl/>
              </w:rPr>
              <w:t>الاستخدام الداخلي</w:t>
            </w:r>
          </w:p>
        </w:tc>
        <w:tc>
          <w:tcPr>
            <w:tcW w:w="3218" w:type="pct"/>
            <w:vAlign w:val="center"/>
            <w:hideMark/>
          </w:tcPr>
          <w:p w14:paraId="73F8FE51" w14:textId="2B968E10" w:rsidR="00A0668E" w:rsidRPr="00A06AB9" w:rsidRDefault="002D0D6D" w:rsidP="002076E7">
            <w:pPr>
              <w:keepNext/>
              <w:bidi/>
              <w:spacing w:before="40" w:after="40"/>
              <w:rPr>
                <w:rFonts w:ascii="Calibri" w:hAnsi="Calibri" w:cs="Calibri"/>
                <w:sz w:val="20"/>
                <w:rtl/>
              </w:rPr>
            </w:pPr>
            <w:r>
              <w:rPr>
                <w:rFonts w:ascii="Calibri" w:hAnsi="Calibri" w:cs="Calibri" w:hint="cs"/>
                <w:sz w:val="20"/>
                <w:rtl/>
              </w:rPr>
              <w:t>ل</w:t>
            </w:r>
            <w:r w:rsidR="00A0668E" w:rsidRPr="00A06AB9">
              <w:rPr>
                <w:rFonts w:ascii="Calibri" w:hAnsi="Calibri" w:cs="Calibri"/>
                <w:sz w:val="20"/>
                <w:rtl/>
              </w:rPr>
              <w:t>أغراض الفحص (مثل البحث في الحالة الفنية السابقة والفحص)</w:t>
            </w:r>
          </w:p>
        </w:tc>
        <w:tc>
          <w:tcPr>
            <w:tcW w:w="607" w:type="pct"/>
            <w:vAlign w:val="center"/>
            <w:hideMark/>
          </w:tcPr>
          <w:p w14:paraId="3241558C"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20</w:t>
            </w:r>
          </w:p>
        </w:tc>
      </w:tr>
      <w:tr w:rsidR="00A0668E" w:rsidRPr="00A06AB9" w14:paraId="557DC780" w14:textId="77777777" w:rsidTr="001E1907">
        <w:trPr>
          <w:trHeight w:val="170"/>
        </w:trPr>
        <w:tc>
          <w:tcPr>
            <w:tcW w:w="1175" w:type="pct"/>
            <w:vMerge/>
            <w:vAlign w:val="center"/>
            <w:hideMark/>
          </w:tcPr>
          <w:p w14:paraId="18975E76" w14:textId="77777777" w:rsidR="00A0668E" w:rsidRPr="00A06AB9" w:rsidRDefault="00A0668E" w:rsidP="002076E7">
            <w:pPr>
              <w:keepNext/>
              <w:spacing w:before="40" w:after="40" w:line="278" w:lineRule="auto"/>
              <w:rPr>
                <w:rFonts w:ascii="Calibri" w:hAnsi="Calibri" w:cs="Calibri"/>
                <w:b/>
                <w:bCs/>
                <w:sz w:val="20"/>
              </w:rPr>
            </w:pPr>
          </w:p>
        </w:tc>
        <w:tc>
          <w:tcPr>
            <w:tcW w:w="3218" w:type="pct"/>
            <w:vAlign w:val="center"/>
            <w:hideMark/>
          </w:tcPr>
          <w:p w14:paraId="020F874C" w14:textId="6970C9F4"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ل</w:t>
            </w:r>
            <w:r w:rsidR="00A0668E" w:rsidRPr="00A06AB9">
              <w:rPr>
                <w:rFonts w:ascii="Calibri" w:hAnsi="Calibri" w:cs="Calibri"/>
                <w:sz w:val="20"/>
                <w:rtl/>
              </w:rPr>
              <w:t>تدريب</w:t>
            </w:r>
            <w:r w:rsidR="002D0D6D">
              <w:rPr>
                <w:rFonts w:ascii="Calibri" w:hAnsi="Calibri" w:cs="Calibri" w:hint="cs"/>
                <w:sz w:val="20"/>
                <w:rtl/>
              </w:rPr>
              <w:t xml:space="preserve"> نماذج</w:t>
            </w:r>
            <w:r w:rsidR="00A0668E" w:rsidRPr="00A06AB9">
              <w:rPr>
                <w:rFonts w:ascii="Calibri" w:hAnsi="Calibri" w:cs="Calibri"/>
                <w:sz w:val="20"/>
                <w:rtl/>
              </w:rPr>
              <w:t xml:space="preserve"> الذكاء الاصطناعي</w:t>
            </w:r>
            <w:r w:rsidR="002D0D6D">
              <w:rPr>
                <w:rFonts w:ascii="Calibri" w:hAnsi="Calibri" w:cs="Calibri" w:hint="cs"/>
                <w:sz w:val="20"/>
                <w:rtl/>
              </w:rPr>
              <w:t xml:space="preserve"> و</w:t>
            </w:r>
            <w:r w:rsidR="00A0668E" w:rsidRPr="00A06AB9">
              <w:rPr>
                <w:rFonts w:ascii="Calibri" w:hAnsi="Calibri" w:cs="Calibri"/>
                <w:sz w:val="20"/>
                <w:rtl/>
              </w:rPr>
              <w:t xml:space="preserve">التعلم الآلي </w:t>
            </w:r>
            <w:r w:rsidR="002D0D6D">
              <w:rPr>
                <w:rFonts w:ascii="Calibri" w:hAnsi="Calibri" w:cs="Calibri" w:hint="cs"/>
                <w:sz w:val="20"/>
                <w:rtl/>
              </w:rPr>
              <w:t>التي يستخدمها</w:t>
            </w:r>
            <w:r w:rsidR="00A0668E" w:rsidRPr="00A06AB9">
              <w:rPr>
                <w:rFonts w:ascii="Calibri" w:hAnsi="Calibri" w:cs="Calibri"/>
                <w:sz w:val="20"/>
                <w:rtl/>
              </w:rPr>
              <w:t xml:space="preserve"> مكتبنا</w:t>
            </w:r>
          </w:p>
        </w:tc>
        <w:tc>
          <w:tcPr>
            <w:tcW w:w="607" w:type="pct"/>
            <w:vAlign w:val="center"/>
            <w:hideMark/>
          </w:tcPr>
          <w:p w14:paraId="28C62B74"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10</w:t>
            </w:r>
          </w:p>
        </w:tc>
      </w:tr>
      <w:tr w:rsidR="00A0668E" w:rsidRPr="00A06AB9" w14:paraId="2D3884ED" w14:textId="77777777" w:rsidTr="001E1907">
        <w:trPr>
          <w:trHeight w:val="170"/>
        </w:trPr>
        <w:tc>
          <w:tcPr>
            <w:tcW w:w="1175" w:type="pct"/>
            <w:vMerge/>
            <w:vAlign w:val="center"/>
            <w:hideMark/>
          </w:tcPr>
          <w:p w14:paraId="555B597B" w14:textId="77777777" w:rsidR="00A0668E" w:rsidRPr="00A06AB9" w:rsidRDefault="00A0668E" w:rsidP="002076E7">
            <w:pPr>
              <w:keepNext/>
              <w:spacing w:before="40" w:after="40" w:line="278" w:lineRule="auto"/>
              <w:rPr>
                <w:rFonts w:ascii="Calibri" w:hAnsi="Calibri" w:cs="Calibri"/>
                <w:b/>
                <w:bCs/>
                <w:sz w:val="20"/>
              </w:rPr>
            </w:pPr>
          </w:p>
        </w:tc>
        <w:tc>
          <w:tcPr>
            <w:tcW w:w="3218" w:type="pct"/>
            <w:vAlign w:val="center"/>
            <w:hideMark/>
          </w:tcPr>
          <w:p w14:paraId="2C84B7AD" w14:textId="78E583B6"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 xml:space="preserve">لاستخدامها </w:t>
            </w:r>
            <w:r w:rsidR="00A555E9">
              <w:rPr>
                <w:rFonts w:ascii="Calibri" w:hAnsi="Calibri" w:cs="Calibri" w:hint="cs"/>
                <w:sz w:val="20"/>
                <w:rtl/>
              </w:rPr>
              <w:t xml:space="preserve">في </w:t>
            </w:r>
            <w:r w:rsidR="00A0668E" w:rsidRPr="00A06AB9">
              <w:rPr>
                <w:rFonts w:ascii="Calibri" w:hAnsi="Calibri" w:cs="Calibri"/>
                <w:sz w:val="20"/>
                <w:rtl/>
              </w:rPr>
              <w:t>التقارير الداخلية والتحليلات</w:t>
            </w:r>
          </w:p>
        </w:tc>
        <w:tc>
          <w:tcPr>
            <w:tcW w:w="607" w:type="pct"/>
            <w:vAlign w:val="center"/>
            <w:hideMark/>
          </w:tcPr>
          <w:p w14:paraId="7A872237"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14</w:t>
            </w:r>
          </w:p>
        </w:tc>
      </w:tr>
      <w:tr w:rsidR="00A0668E" w:rsidRPr="00A06AB9" w14:paraId="3549A063" w14:textId="77777777" w:rsidTr="001E1907">
        <w:trPr>
          <w:trHeight w:val="170"/>
        </w:trPr>
        <w:tc>
          <w:tcPr>
            <w:tcW w:w="1175" w:type="pct"/>
            <w:vMerge/>
            <w:vAlign w:val="center"/>
            <w:hideMark/>
          </w:tcPr>
          <w:p w14:paraId="6C505621" w14:textId="77777777" w:rsidR="00A0668E" w:rsidRPr="00A06AB9" w:rsidRDefault="00A0668E" w:rsidP="002076E7">
            <w:pPr>
              <w:keepNext/>
              <w:spacing w:before="40" w:after="40" w:line="278" w:lineRule="auto"/>
              <w:rPr>
                <w:rFonts w:ascii="Calibri" w:hAnsi="Calibri" w:cs="Calibri"/>
                <w:b/>
                <w:bCs/>
                <w:sz w:val="20"/>
              </w:rPr>
            </w:pPr>
          </w:p>
        </w:tc>
        <w:tc>
          <w:tcPr>
            <w:tcW w:w="3218" w:type="pct"/>
            <w:vAlign w:val="center"/>
            <w:hideMark/>
          </w:tcPr>
          <w:p w14:paraId="61052E9E"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استخدامات داخلية أخرى (يُرجى التحديد)</w:t>
            </w:r>
          </w:p>
        </w:tc>
        <w:tc>
          <w:tcPr>
            <w:tcW w:w="607" w:type="pct"/>
            <w:vAlign w:val="center"/>
            <w:hideMark/>
          </w:tcPr>
          <w:p w14:paraId="1EDA3C57"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‎2</w:t>
            </w:r>
          </w:p>
        </w:tc>
      </w:tr>
      <w:tr w:rsidR="00A0668E" w:rsidRPr="00A06AB9" w14:paraId="6A0A4F99" w14:textId="77777777" w:rsidTr="001E1907">
        <w:trPr>
          <w:trHeight w:val="170"/>
        </w:trPr>
        <w:tc>
          <w:tcPr>
            <w:tcW w:w="1175" w:type="pct"/>
            <w:vMerge/>
            <w:vAlign w:val="center"/>
            <w:hideMark/>
          </w:tcPr>
          <w:p w14:paraId="649AB414" w14:textId="77777777" w:rsidR="00A0668E" w:rsidRPr="00A06AB9" w:rsidRDefault="00A0668E" w:rsidP="002076E7">
            <w:pPr>
              <w:keepNext/>
              <w:spacing w:before="40" w:after="40"/>
              <w:rPr>
                <w:rFonts w:ascii="Calibri" w:hAnsi="Calibri" w:cs="Calibri"/>
                <w:b/>
                <w:bCs/>
                <w:sz w:val="20"/>
              </w:rPr>
            </w:pPr>
          </w:p>
        </w:tc>
        <w:tc>
          <w:tcPr>
            <w:tcW w:w="3218" w:type="pct"/>
            <w:vAlign w:val="center"/>
            <w:hideMark/>
          </w:tcPr>
          <w:p w14:paraId="1DFB535C"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لا ينطبق</w:t>
            </w:r>
          </w:p>
        </w:tc>
        <w:tc>
          <w:tcPr>
            <w:tcW w:w="607" w:type="pct"/>
            <w:vAlign w:val="center"/>
            <w:hideMark/>
          </w:tcPr>
          <w:p w14:paraId="4DB9C012"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13</w:t>
            </w:r>
          </w:p>
        </w:tc>
      </w:tr>
      <w:tr w:rsidR="00A0668E" w:rsidRPr="00A06AB9" w14:paraId="4D1723C9" w14:textId="77777777" w:rsidTr="001E1907">
        <w:trPr>
          <w:trHeight w:val="170"/>
        </w:trPr>
        <w:tc>
          <w:tcPr>
            <w:tcW w:w="1175" w:type="pct"/>
            <w:vMerge w:val="restart"/>
            <w:vAlign w:val="center"/>
            <w:hideMark/>
          </w:tcPr>
          <w:p w14:paraId="1980EB56" w14:textId="2B4B7E6B" w:rsidR="00A0668E" w:rsidRPr="00A06AB9" w:rsidRDefault="00A0668E" w:rsidP="002076E7">
            <w:pPr>
              <w:keepNext/>
              <w:bidi/>
              <w:spacing w:before="40" w:after="40"/>
              <w:rPr>
                <w:rFonts w:ascii="Calibri" w:hAnsi="Calibri" w:cs="Calibri"/>
                <w:b/>
                <w:bCs/>
                <w:sz w:val="20"/>
                <w:rtl/>
              </w:rPr>
            </w:pPr>
            <w:r w:rsidRPr="00A06AB9">
              <w:rPr>
                <w:rFonts w:ascii="Calibri" w:hAnsi="Calibri" w:cs="Calibri"/>
                <w:b/>
                <w:bCs/>
                <w:sz w:val="20"/>
                <w:rtl/>
              </w:rPr>
              <w:t>النشر العام</w:t>
            </w:r>
          </w:p>
        </w:tc>
        <w:tc>
          <w:tcPr>
            <w:tcW w:w="3218" w:type="pct"/>
            <w:vAlign w:val="center"/>
            <w:hideMark/>
          </w:tcPr>
          <w:p w14:paraId="01D0FA38" w14:textId="5BA11B3A"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للنشر</w:t>
            </w:r>
            <w:r w:rsidR="00A555E9" w:rsidRPr="00A06AB9">
              <w:rPr>
                <w:rFonts w:ascii="Calibri" w:hAnsi="Calibri" w:cs="Calibri"/>
                <w:sz w:val="20"/>
                <w:rtl/>
              </w:rPr>
              <w:t xml:space="preserve"> </w:t>
            </w:r>
            <w:r w:rsidR="00A0668E" w:rsidRPr="00A06AB9">
              <w:rPr>
                <w:rFonts w:ascii="Calibri" w:hAnsi="Calibri" w:cs="Calibri"/>
                <w:sz w:val="20"/>
                <w:rtl/>
              </w:rPr>
              <w:t>على أدوات البحث</w:t>
            </w:r>
            <w:r w:rsidR="00A555E9">
              <w:rPr>
                <w:rFonts w:ascii="Calibri" w:hAnsi="Calibri" w:cs="Calibri" w:hint="cs"/>
                <w:sz w:val="20"/>
                <w:rtl/>
              </w:rPr>
              <w:t xml:space="preserve"> و</w:t>
            </w:r>
            <w:r w:rsidR="00A0668E" w:rsidRPr="00A06AB9">
              <w:rPr>
                <w:rFonts w:ascii="Calibri" w:hAnsi="Calibri" w:cs="Calibri"/>
                <w:sz w:val="20"/>
                <w:rtl/>
              </w:rPr>
              <w:t>قواعد البيانات العامة المجانية التابعة لمكتبنا</w:t>
            </w:r>
          </w:p>
        </w:tc>
        <w:tc>
          <w:tcPr>
            <w:tcW w:w="607" w:type="pct"/>
            <w:vAlign w:val="center"/>
            <w:hideMark/>
          </w:tcPr>
          <w:p w14:paraId="491BDDC1"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17</w:t>
            </w:r>
          </w:p>
        </w:tc>
      </w:tr>
      <w:tr w:rsidR="00A0668E" w:rsidRPr="00A06AB9" w14:paraId="36D9BEBB" w14:textId="77777777" w:rsidTr="001E1907">
        <w:trPr>
          <w:trHeight w:val="170"/>
        </w:trPr>
        <w:tc>
          <w:tcPr>
            <w:tcW w:w="1175" w:type="pct"/>
            <w:vMerge/>
            <w:vAlign w:val="center"/>
            <w:hideMark/>
          </w:tcPr>
          <w:p w14:paraId="0BC4AB5E" w14:textId="77777777" w:rsidR="00A0668E" w:rsidRPr="00A06AB9" w:rsidRDefault="00A0668E" w:rsidP="002076E7">
            <w:pPr>
              <w:keepNext/>
              <w:spacing w:before="40" w:after="40" w:line="278" w:lineRule="auto"/>
              <w:rPr>
                <w:rFonts w:ascii="Calibri" w:hAnsi="Calibri" w:cs="Calibri"/>
                <w:b/>
                <w:bCs/>
                <w:sz w:val="20"/>
              </w:rPr>
            </w:pPr>
          </w:p>
        </w:tc>
        <w:tc>
          <w:tcPr>
            <w:tcW w:w="3218" w:type="pct"/>
            <w:vAlign w:val="center"/>
            <w:hideMark/>
          </w:tcPr>
          <w:p w14:paraId="12EEE45B" w14:textId="2E1098D2"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ل</w:t>
            </w:r>
            <w:r w:rsidR="00A0668E" w:rsidRPr="00A06AB9">
              <w:rPr>
                <w:rFonts w:ascii="Calibri" w:hAnsi="Calibri" w:cs="Calibri"/>
                <w:sz w:val="20"/>
                <w:rtl/>
              </w:rPr>
              <w:t>إعداد ونشر البيانات والتقارير والتحليلات الإحصائية ذات القيمة المضافة مجانًا</w:t>
            </w:r>
          </w:p>
        </w:tc>
        <w:tc>
          <w:tcPr>
            <w:tcW w:w="607" w:type="pct"/>
            <w:vAlign w:val="center"/>
            <w:hideMark/>
          </w:tcPr>
          <w:p w14:paraId="71BB3B2A"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‎5</w:t>
            </w:r>
          </w:p>
        </w:tc>
      </w:tr>
      <w:tr w:rsidR="00A0668E" w:rsidRPr="00A06AB9" w14:paraId="15AAF712" w14:textId="77777777" w:rsidTr="001E1907">
        <w:trPr>
          <w:trHeight w:val="170"/>
        </w:trPr>
        <w:tc>
          <w:tcPr>
            <w:tcW w:w="1175" w:type="pct"/>
            <w:vMerge/>
            <w:vAlign w:val="center"/>
            <w:hideMark/>
          </w:tcPr>
          <w:p w14:paraId="5A76EB2B" w14:textId="77777777" w:rsidR="00A0668E" w:rsidRPr="00A06AB9" w:rsidRDefault="00A0668E" w:rsidP="002076E7">
            <w:pPr>
              <w:keepNext/>
              <w:spacing w:before="40" w:after="40" w:line="278" w:lineRule="auto"/>
              <w:rPr>
                <w:rFonts w:ascii="Calibri" w:hAnsi="Calibri" w:cs="Calibri"/>
                <w:b/>
                <w:bCs/>
                <w:sz w:val="20"/>
              </w:rPr>
            </w:pPr>
          </w:p>
        </w:tc>
        <w:tc>
          <w:tcPr>
            <w:tcW w:w="3218" w:type="pct"/>
            <w:vAlign w:val="center"/>
            <w:hideMark/>
          </w:tcPr>
          <w:p w14:paraId="1F28A54B"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وسائل أخرى للنشر العام (يُرجى التحديد)</w:t>
            </w:r>
          </w:p>
        </w:tc>
        <w:tc>
          <w:tcPr>
            <w:tcW w:w="607" w:type="pct"/>
            <w:vAlign w:val="center"/>
            <w:hideMark/>
          </w:tcPr>
          <w:p w14:paraId="7559EB76"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4</w:t>
            </w:r>
          </w:p>
        </w:tc>
      </w:tr>
      <w:tr w:rsidR="00A0668E" w:rsidRPr="00A06AB9" w14:paraId="2C01C31D" w14:textId="77777777" w:rsidTr="001E1907">
        <w:trPr>
          <w:trHeight w:val="170"/>
        </w:trPr>
        <w:tc>
          <w:tcPr>
            <w:tcW w:w="1175" w:type="pct"/>
            <w:vMerge/>
            <w:vAlign w:val="center"/>
            <w:hideMark/>
          </w:tcPr>
          <w:p w14:paraId="5AD521EA" w14:textId="77777777" w:rsidR="00A0668E" w:rsidRPr="00A06AB9" w:rsidRDefault="00A0668E" w:rsidP="002076E7">
            <w:pPr>
              <w:keepNext/>
              <w:spacing w:before="40" w:after="40"/>
              <w:rPr>
                <w:rFonts w:ascii="Calibri" w:hAnsi="Calibri" w:cs="Calibri"/>
                <w:b/>
                <w:bCs/>
                <w:sz w:val="20"/>
              </w:rPr>
            </w:pPr>
          </w:p>
        </w:tc>
        <w:tc>
          <w:tcPr>
            <w:tcW w:w="3218" w:type="pct"/>
            <w:vAlign w:val="center"/>
            <w:hideMark/>
          </w:tcPr>
          <w:p w14:paraId="3D82E693"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لا ينطبق</w:t>
            </w:r>
          </w:p>
        </w:tc>
        <w:tc>
          <w:tcPr>
            <w:tcW w:w="607" w:type="pct"/>
            <w:vAlign w:val="center"/>
            <w:hideMark/>
          </w:tcPr>
          <w:p w14:paraId="61D463B3"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17</w:t>
            </w:r>
          </w:p>
        </w:tc>
      </w:tr>
      <w:tr w:rsidR="00A0668E" w:rsidRPr="00A06AB9" w14:paraId="7CAEAD83" w14:textId="77777777" w:rsidTr="001E1907">
        <w:trPr>
          <w:trHeight w:val="170"/>
        </w:trPr>
        <w:tc>
          <w:tcPr>
            <w:tcW w:w="1175" w:type="pct"/>
            <w:vMerge w:val="restart"/>
            <w:vAlign w:val="center"/>
            <w:hideMark/>
          </w:tcPr>
          <w:p w14:paraId="526D9896" w14:textId="1CD03B5A" w:rsidR="00A0668E" w:rsidRPr="00A06AB9" w:rsidRDefault="00A0668E" w:rsidP="002076E7">
            <w:pPr>
              <w:keepNext/>
              <w:bidi/>
              <w:spacing w:before="40" w:after="40"/>
              <w:rPr>
                <w:rFonts w:ascii="Calibri" w:hAnsi="Calibri" w:cs="Calibri"/>
                <w:b/>
                <w:bCs/>
                <w:sz w:val="20"/>
                <w:rtl/>
              </w:rPr>
            </w:pPr>
            <w:r w:rsidRPr="00A06AB9">
              <w:rPr>
                <w:rFonts w:ascii="Calibri" w:hAnsi="Calibri" w:cs="Calibri"/>
                <w:b/>
                <w:bCs/>
                <w:sz w:val="20"/>
                <w:rtl/>
              </w:rPr>
              <w:t>التوزيع الخارجي</w:t>
            </w:r>
          </w:p>
        </w:tc>
        <w:tc>
          <w:tcPr>
            <w:tcW w:w="3218" w:type="pct"/>
            <w:vAlign w:val="center"/>
            <w:hideMark/>
          </w:tcPr>
          <w:p w14:paraId="5183837D" w14:textId="1616ED43"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لمشاركتها</w:t>
            </w:r>
            <w:r w:rsidR="00A555E9" w:rsidRPr="00A06AB9">
              <w:rPr>
                <w:rFonts w:ascii="Calibri" w:hAnsi="Calibri" w:cs="Calibri"/>
                <w:sz w:val="20"/>
                <w:rtl/>
              </w:rPr>
              <w:t xml:space="preserve"> </w:t>
            </w:r>
            <w:r w:rsidR="00A555E9">
              <w:rPr>
                <w:rFonts w:ascii="Calibri" w:hAnsi="Calibri" w:cs="Calibri" w:hint="cs"/>
                <w:sz w:val="20"/>
                <w:rtl/>
              </w:rPr>
              <w:t>مع ال</w:t>
            </w:r>
            <w:r w:rsidR="00A0668E" w:rsidRPr="00A06AB9">
              <w:rPr>
                <w:rFonts w:ascii="Calibri" w:hAnsi="Calibri" w:cs="Calibri"/>
                <w:sz w:val="20"/>
                <w:rtl/>
              </w:rPr>
              <w:t xml:space="preserve">شركات التجارية المقدمة </w:t>
            </w:r>
            <w:r w:rsidR="00A555E9">
              <w:rPr>
                <w:rFonts w:ascii="Calibri" w:hAnsi="Calibri" w:cs="Calibri" w:hint="cs"/>
                <w:sz w:val="20"/>
                <w:rtl/>
              </w:rPr>
              <w:t>للبيانات</w:t>
            </w:r>
            <w:r w:rsidR="00A555E9" w:rsidRPr="00A06AB9">
              <w:rPr>
                <w:rFonts w:ascii="Calibri" w:hAnsi="Calibri" w:cs="Calibri"/>
                <w:sz w:val="20"/>
                <w:rtl/>
              </w:rPr>
              <w:t xml:space="preserve"> </w:t>
            </w:r>
          </w:p>
        </w:tc>
        <w:tc>
          <w:tcPr>
            <w:tcW w:w="607" w:type="pct"/>
            <w:vAlign w:val="center"/>
            <w:hideMark/>
          </w:tcPr>
          <w:p w14:paraId="3D5839D0"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‎3</w:t>
            </w:r>
          </w:p>
        </w:tc>
      </w:tr>
      <w:tr w:rsidR="00A0668E" w:rsidRPr="00A06AB9" w14:paraId="48D60E1A" w14:textId="77777777" w:rsidTr="001E1907">
        <w:trPr>
          <w:trHeight w:val="170"/>
        </w:trPr>
        <w:tc>
          <w:tcPr>
            <w:tcW w:w="1175" w:type="pct"/>
            <w:vMerge/>
            <w:vAlign w:val="center"/>
            <w:hideMark/>
          </w:tcPr>
          <w:p w14:paraId="54436955" w14:textId="77777777" w:rsidR="00A0668E" w:rsidRPr="00A06AB9" w:rsidRDefault="00A0668E" w:rsidP="002076E7">
            <w:pPr>
              <w:keepNext/>
              <w:spacing w:before="40" w:after="40" w:line="278" w:lineRule="auto"/>
              <w:rPr>
                <w:rFonts w:ascii="Calibri" w:hAnsi="Calibri" w:cs="Calibri"/>
                <w:sz w:val="20"/>
              </w:rPr>
            </w:pPr>
          </w:p>
        </w:tc>
        <w:tc>
          <w:tcPr>
            <w:tcW w:w="3218" w:type="pct"/>
            <w:vAlign w:val="center"/>
            <w:hideMark/>
          </w:tcPr>
          <w:p w14:paraId="392CCDB4" w14:textId="05057921" w:rsidR="00A0668E" w:rsidRPr="00A06AB9" w:rsidRDefault="00BF1A83" w:rsidP="002076E7">
            <w:pPr>
              <w:keepNext/>
              <w:bidi/>
              <w:spacing w:before="40" w:after="40"/>
              <w:rPr>
                <w:rFonts w:ascii="Calibri" w:hAnsi="Calibri" w:cs="Calibri"/>
                <w:sz w:val="20"/>
                <w:rtl/>
              </w:rPr>
            </w:pPr>
            <w:r>
              <w:rPr>
                <w:rFonts w:ascii="Calibri" w:hAnsi="Calibri" w:cs="Calibri" w:hint="cs"/>
                <w:sz w:val="20"/>
                <w:rtl/>
              </w:rPr>
              <w:t>ل</w:t>
            </w:r>
            <w:r w:rsidR="00A555E9">
              <w:rPr>
                <w:rFonts w:ascii="Calibri" w:hAnsi="Calibri" w:cs="Calibri" w:hint="cs"/>
                <w:sz w:val="20"/>
                <w:rtl/>
              </w:rPr>
              <w:t xml:space="preserve">استخدامها في </w:t>
            </w:r>
            <w:r w:rsidR="00A0668E" w:rsidRPr="00A06AB9">
              <w:rPr>
                <w:rFonts w:ascii="Calibri" w:hAnsi="Calibri" w:cs="Calibri"/>
                <w:sz w:val="20"/>
                <w:rtl/>
              </w:rPr>
              <w:t>التقارير والتحليلات التي يتم تبادلها مع أطراف ثالثة (مثل الهيئات الحكومية ومؤسسات البحث)</w:t>
            </w:r>
          </w:p>
        </w:tc>
        <w:tc>
          <w:tcPr>
            <w:tcW w:w="607" w:type="pct"/>
            <w:vAlign w:val="center"/>
            <w:hideMark/>
          </w:tcPr>
          <w:p w14:paraId="06DC347B"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‎6</w:t>
            </w:r>
          </w:p>
        </w:tc>
      </w:tr>
      <w:tr w:rsidR="00A0668E" w:rsidRPr="00A06AB9" w14:paraId="23C30249" w14:textId="77777777" w:rsidTr="001E1907">
        <w:trPr>
          <w:trHeight w:val="170"/>
        </w:trPr>
        <w:tc>
          <w:tcPr>
            <w:tcW w:w="1175" w:type="pct"/>
            <w:vMerge/>
            <w:vAlign w:val="center"/>
            <w:hideMark/>
          </w:tcPr>
          <w:p w14:paraId="56E7D6DB" w14:textId="77777777" w:rsidR="00A0668E" w:rsidRPr="00A06AB9" w:rsidRDefault="00A0668E" w:rsidP="002076E7">
            <w:pPr>
              <w:keepNext/>
              <w:spacing w:before="40" w:after="40" w:line="278" w:lineRule="auto"/>
              <w:rPr>
                <w:rFonts w:ascii="Calibri" w:hAnsi="Calibri" w:cs="Calibri"/>
                <w:sz w:val="20"/>
              </w:rPr>
            </w:pPr>
          </w:p>
        </w:tc>
        <w:tc>
          <w:tcPr>
            <w:tcW w:w="3218" w:type="pct"/>
            <w:vAlign w:val="center"/>
            <w:hideMark/>
          </w:tcPr>
          <w:p w14:paraId="172A807A"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وسائل أخرى لإعادة التوزيع الخارجي (يُرجى التحديد)</w:t>
            </w:r>
          </w:p>
        </w:tc>
        <w:tc>
          <w:tcPr>
            <w:tcW w:w="607" w:type="pct"/>
            <w:vAlign w:val="center"/>
            <w:hideMark/>
          </w:tcPr>
          <w:p w14:paraId="548F97E5"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‎5</w:t>
            </w:r>
          </w:p>
        </w:tc>
      </w:tr>
      <w:tr w:rsidR="00A0668E" w:rsidRPr="00A06AB9" w14:paraId="038F62C9" w14:textId="77777777" w:rsidTr="001E1907">
        <w:trPr>
          <w:trHeight w:val="170"/>
        </w:trPr>
        <w:tc>
          <w:tcPr>
            <w:tcW w:w="1175" w:type="pct"/>
            <w:vMerge/>
            <w:vAlign w:val="center"/>
            <w:hideMark/>
          </w:tcPr>
          <w:p w14:paraId="0B3B790C" w14:textId="77777777" w:rsidR="00A0668E" w:rsidRPr="00A06AB9" w:rsidRDefault="00A0668E" w:rsidP="002076E7">
            <w:pPr>
              <w:keepNext/>
              <w:spacing w:before="40" w:after="40"/>
              <w:rPr>
                <w:rFonts w:ascii="Calibri" w:hAnsi="Calibri" w:cs="Calibri"/>
                <w:sz w:val="20"/>
              </w:rPr>
            </w:pPr>
          </w:p>
        </w:tc>
        <w:tc>
          <w:tcPr>
            <w:tcW w:w="3218" w:type="pct"/>
            <w:vAlign w:val="center"/>
            <w:hideMark/>
          </w:tcPr>
          <w:p w14:paraId="039F82A0"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لا ينطبق</w:t>
            </w:r>
          </w:p>
        </w:tc>
        <w:tc>
          <w:tcPr>
            <w:tcW w:w="607" w:type="pct"/>
            <w:vAlign w:val="center"/>
            <w:hideMark/>
          </w:tcPr>
          <w:p w14:paraId="1962EF9F" w14:textId="77777777" w:rsidR="00A0668E" w:rsidRPr="00A06AB9" w:rsidRDefault="00A0668E" w:rsidP="002076E7">
            <w:pPr>
              <w:keepNext/>
              <w:bidi/>
              <w:spacing w:before="40" w:after="40"/>
              <w:rPr>
                <w:rFonts w:ascii="Calibri" w:hAnsi="Calibri" w:cs="Calibri"/>
                <w:sz w:val="20"/>
                <w:rtl/>
              </w:rPr>
            </w:pPr>
            <w:r w:rsidRPr="00A06AB9">
              <w:rPr>
                <w:rFonts w:ascii="Calibri" w:hAnsi="Calibri" w:cs="Calibri"/>
                <w:sz w:val="20"/>
                <w:rtl/>
              </w:rPr>
              <w:t>25</w:t>
            </w:r>
          </w:p>
        </w:tc>
      </w:tr>
    </w:tbl>
    <w:p w14:paraId="14B59445" w14:textId="3A8C23B7" w:rsidR="00AC1C14" w:rsidRPr="00F5407A" w:rsidRDefault="00AC1C14" w:rsidP="00BE6D0E">
      <w:pPr>
        <w:pStyle w:val="Caption"/>
        <w:rPr>
          <w:rFonts w:ascii="Calibri" w:hAnsi="Calibri" w:cs="Calibri"/>
          <w:sz w:val="22"/>
          <w:szCs w:val="22"/>
        </w:rPr>
      </w:pPr>
    </w:p>
    <w:p w14:paraId="73738F62" w14:textId="2126871E" w:rsidR="000968B6" w:rsidRPr="007E4202" w:rsidRDefault="000968B6" w:rsidP="00375FE8">
      <w:pPr>
        <w:pStyle w:val="Caption"/>
        <w:bidi/>
        <w:spacing w:after="220"/>
        <w:rPr>
          <w:rFonts w:ascii="Calibri" w:hAnsi="Calibri" w:cs="Calibri"/>
          <w:b w:val="0"/>
          <w:bCs w:val="0"/>
          <w:i/>
          <w:iCs/>
          <w:kern w:val="2"/>
          <w:szCs w:val="18"/>
          <w:rtl/>
          <w14:ligatures w14:val="standardContextual"/>
        </w:rPr>
      </w:pPr>
      <w:r w:rsidRPr="007E4202">
        <w:rPr>
          <w:rStyle w:val="IntenseEmphasis"/>
          <w:rFonts w:ascii="Calibri" w:hAnsi="Calibri" w:cs="Calibri"/>
          <w:i w:val="0"/>
          <w:iCs w:val="0"/>
          <w:color w:val="auto"/>
          <w:szCs w:val="18"/>
          <w:rtl/>
        </w:rPr>
        <w:t>الجدول 1:  أسباب جمع بيانات الملكية الفكرية من المكاتب الأخرى</w:t>
      </w:r>
    </w:p>
    <w:p w14:paraId="2E4D959F" w14:textId="6D869E4A" w:rsidR="00FA24C9" w:rsidRPr="007E4202" w:rsidRDefault="00FA24C9" w:rsidP="009112A6">
      <w:pPr>
        <w:pStyle w:val="Heading3"/>
        <w:bidi/>
        <w:rPr>
          <w:rFonts w:ascii="Calibri" w:hAnsi="Calibri" w:cs="Calibri"/>
          <w:b/>
          <w:bCs w:val="0"/>
          <w:szCs w:val="22"/>
          <w:rtl/>
        </w:rPr>
      </w:pPr>
      <w:r w:rsidRPr="007E4202">
        <w:rPr>
          <w:rFonts w:ascii="Calibri" w:hAnsi="Calibri" w:cs="Calibri"/>
          <w:b/>
          <w:bCs w:val="0"/>
          <w:szCs w:val="22"/>
          <w:rtl/>
        </w:rPr>
        <w:t>طرق</w:t>
      </w:r>
      <w:r w:rsidR="000B7E42">
        <w:rPr>
          <w:rFonts w:ascii="Calibri" w:hAnsi="Calibri" w:cs="Calibri" w:hint="cs"/>
          <w:b/>
          <w:bCs w:val="0"/>
          <w:szCs w:val="22"/>
          <w:rtl/>
        </w:rPr>
        <w:t xml:space="preserve">أ أو </w:t>
      </w:r>
      <w:r w:rsidRPr="007E4202">
        <w:rPr>
          <w:rFonts w:ascii="Calibri" w:hAnsi="Calibri" w:cs="Calibri"/>
          <w:b/>
          <w:bCs w:val="0"/>
          <w:szCs w:val="22"/>
          <w:rtl/>
        </w:rPr>
        <w:t xml:space="preserve">وسائل </w:t>
      </w:r>
      <w:r w:rsidR="000B7E42">
        <w:rPr>
          <w:rFonts w:ascii="Calibri" w:hAnsi="Calibri" w:cs="Calibri" w:hint="cs"/>
          <w:b/>
          <w:bCs w:val="0"/>
          <w:szCs w:val="22"/>
          <w:rtl/>
        </w:rPr>
        <w:t>تقديم</w:t>
      </w:r>
      <w:r w:rsidR="000B7E42" w:rsidRPr="007E4202">
        <w:rPr>
          <w:rFonts w:ascii="Calibri" w:hAnsi="Calibri" w:cs="Calibri"/>
          <w:b/>
          <w:bCs w:val="0"/>
          <w:szCs w:val="22"/>
          <w:rtl/>
        </w:rPr>
        <w:t xml:space="preserve"> </w:t>
      </w:r>
      <w:r w:rsidRPr="007E4202">
        <w:rPr>
          <w:rFonts w:ascii="Calibri" w:hAnsi="Calibri" w:cs="Calibri"/>
          <w:b/>
          <w:bCs w:val="0"/>
          <w:szCs w:val="22"/>
          <w:rtl/>
        </w:rPr>
        <w:t>بيانات الملكية الفكرية</w:t>
      </w:r>
    </w:p>
    <w:p w14:paraId="0773BCDD" w14:textId="5F4BA195" w:rsidR="00740375" w:rsidRPr="00F5407A" w:rsidRDefault="000B7E42" w:rsidP="001A65BE">
      <w:pPr>
        <w:pStyle w:val="ONUME"/>
        <w:bidi/>
        <w:rPr>
          <w:rFonts w:ascii="Calibri" w:hAnsi="Calibri" w:cs="Calibri"/>
          <w:szCs w:val="22"/>
          <w:rtl/>
        </w:rPr>
      </w:pPr>
      <w:r>
        <w:rPr>
          <w:rFonts w:ascii="Calibri" w:hAnsi="Calibri" w:cs="Calibri" w:hint="cs"/>
          <w:szCs w:val="22"/>
          <w:rtl/>
        </w:rPr>
        <w:t>بالنسبة للطر</w:t>
      </w:r>
      <w:r w:rsidR="00740375" w:rsidRPr="00F5407A">
        <w:rPr>
          <w:rFonts w:ascii="Calibri" w:hAnsi="Calibri" w:cs="Calibri"/>
          <w:szCs w:val="22"/>
          <w:rtl/>
        </w:rPr>
        <w:t>ق ال</w:t>
      </w:r>
      <w:r>
        <w:rPr>
          <w:rFonts w:ascii="Calibri" w:hAnsi="Calibri" w:cs="Calibri" w:hint="cs"/>
          <w:szCs w:val="22"/>
          <w:rtl/>
        </w:rPr>
        <w:t xml:space="preserve">مستخدمة حالياً من </w:t>
      </w:r>
      <w:r w:rsidR="00740375" w:rsidRPr="00F5407A">
        <w:rPr>
          <w:rFonts w:ascii="Calibri" w:hAnsi="Calibri" w:cs="Calibri"/>
          <w:szCs w:val="22"/>
          <w:rtl/>
        </w:rPr>
        <w:t>المجيب</w:t>
      </w:r>
      <w:r>
        <w:rPr>
          <w:rFonts w:ascii="Calibri" w:hAnsi="Calibri" w:cs="Calibri" w:hint="cs"/>
          <w:szCs w:val="22"/>
          <w:rtl/>
        </w:rPr>
        <w:t>ب</w:t>
      </w:r>
      <w:r w:rsidR="00740375" w:rsidRPr="00F5407A">
        <w:rPr>
          <w:rFonts w:ascii="Calibri" w:hAnsi="Calibri" w:cs="Calibri"/>
          <w:szCs w:val="22"/>
          <w:rtl/>
        </w:rPr>
        <w:t xml:space="preserve">ن </w:t>
      </w:r>
      <w:r>
        <w:rPr>
          <w:rFonts w:ascii="Calibri" w:hAnsi="Calibri" w:cs="Calibri" w:hint="cs"/>
          <w:szCs w:val="22"/>
          <w:rtl/>
        </w:rPr>
        <w:t>ل</w:t>
      </w:r>
      <w:r w:rsidR="00740375" w:rsidRPr="00F5407A">
        <w:rPr>
          <w:rFonts w:ascii="Calibri" w:hAnsi="Calibri" w:cs="Calibri"/>
          <w:szCs w:val="22"/>
          <w:rtl/>
        </w:rPr>
        <w:t xml:space="preserve">تقديم بيانات الملكية الفكرية، جاءت بروتوكولات </w:t>
      </w:r>
      <w:r>
        <w:rPr>
          <w:rFonts w:ascii="Calibri" w:hAnsi="Calibri" w:cs="Calibri" w:hint="cs"/>
          <w:szCs w:val="22"/>
          <w:rtl/>
        </w:rPr>
        <w:t>"</w:t>
      </w:r>
      <w:r w:rsidR="00740375" w:rsidRPr="00F5407A">
        <w:rPr>
          <w:rFonts w:ascii="Calibri" w:hAnsi="Calibri" w:cs="Calibri"/>
          <w:szCs w:val="22"/>
        </w:rPr>
        <w:t>SFTP</w:t>
      </w:r>
      <w:r>
        <w:rPr>
          <w:rFonts w:ascii="Calibri" w:hAnsi="Calibri" w:cs="Calibri" w:hint="cs"/>
          <w:szCs w:val="22"/>
          <w:rtl/>
        </w:rPr>
        <w:t>"</w:t>
      </w:r>
      <w:r w:rsidR="00740375" w:rsidRPr="00F5407A">
        <w:rPr>
          <w:rFonts w:ascii="Calibri" w:hAnsi="Calibri" w:cs="Calibri"/>
          <w:szCs w:val="22"/>
          <w:rtl/>
        </w:rPr>
        <w:t>و</w:t>
      </w:r>
      <w:r>
        <w:rPr>
          <w:rFonts w:ascii="Calibri" w:hAnsi="Calibri" w:cs="Calibri" w:hint="cs"/>
          <w:szCs w:val="22"/>
          <w:rtl/>
        </w:rPr>
        <w:t>"</w:t>
      </w:r>
      <w:r w:rsidR="00740375" w:rsidRPr="00F5407A">
        <w:rPr>
          <w:rFonts w:ascii="Calibri" w:hAnsi="Calibri" w:cs="Calibri"/>
          <w:szCs w:val="22"/>
        </w:rPr>
        <w:t>FTP</w:t>
      </w:r>
      <w:r>
        <w:rPr>
          <w:rFonts w:ascii="Calibri" w:hAnsi="Calibri" w:cs="Calibri" w:hint="cs"/>
          <w:szCs w:val="22"/>
          <w:rtl/>
        </w:rPr>
        <w:t>"</w:t>
      </w:r>
      <w:r w:rsidR="00740375" w:rsidRPr="00F5407A">
        <w:rPr>
          <w:rFonts w:ascii="Calibri" w:hAnsi="Calibri" w:cs="Calibri"/>
          <w:szCs w:val="22"/>
          <w:rtl/>
        </w:rPr>
        <w:t xml:space="preserve"> و</w:t>
      </w:r>
      <w:r>
        <w:rPr>
          <w:rFonts w:ascii="Calibri" w:hAnsi="Calibri" w:cs="Calibri" w:hint="cs"/>
          <w:szCs w:val="22"/>
          <w:rtl/>
        </w:rPr>
        <w:t>"</w:t>
      </w:r>
      <w:r w:rsidR="00740375" w:rsidRPr="00F5407A">
        <w:rPr>
          <w:rFonts w:ascii="Calibri" w:hAnsi="Calibri" w:cs="Calibri"/>
          <w:szCs w:val="22"/>
        </w:rPr>
        <w:t>FTPS</w:t>
      </w:r>
      <w:r>
        <w:rPr>
          <w:rFonts w:ascii="Calibri" w:hAnsi="Calibri" w:cs="Calibri" w:hint="cs"/>
          <w:szCs w:val="22"/>
          <w:rtl/>
        </w:rPr>
        <w:t>"</w:t>
      </w:r>
      <w:r w:rsidR="00740375" w:rsidRPr="00F5407A">
        <w:rPr>
          <w:rFonts w:ascii="Calibri" w:hAnsi="Calibri" w:cs="Calibri"/>
          <w:szCs w:val="22"/>
          <w:rtl/>
        </w:rPr>
        <w:t xml:space="preserve"> في مقدمة الأساليب الأكثر استخدامًا، إذ اعتمدها 33 مجيباً.  كما جاءت واجهات برمجة التطبيقات </w:t>
      </w:r>
      <w:r>
        <w:rPr>
          <w:rFonts w:ascii="Calibri" w:hAnsi="Calibri" w:cs="Calibri" w:hint="cs"/>
          <w:szCs w:val="22"/>
          <w:rtl/>
        </w:rPr>
        <w:t>"</w:t>
      </w:r>
      <w:r w:rsidR="00740375" w:rsidRPr="00F5407A">
        <w:rPr>
          <w:rFonts w:ascii="Calibri" w:hAnsi="Calibri" w:cs="Calibri"/>
          <w:szCs w:val="22"/>
        </w:rPr>
        <w:t>API</w:t>
      </w:r>
      <w:r>
        <w:rPr>
          <w:rFonts w:ascii="Calibri" w:hAnsi="Calibri" w:cs="Calibri" w:hint="cs"/>
          <w:szCs w:val="22"/>
          <w:rtl/>
        </w:rPr>
        <w:t>"</w:t>
      </w:r>
      <w:r w:rsidRPr="00F5407A">
        <w:rPr>
          <w:rFonts w:ascii="Calibri" w:hAnsi="Calibri" w:cs="Calibri"/>
          <w:szCs w:val="22"/>
          <w:rtl/>
        </w:rPr>
        <w:t xml:space="preserve"> </w:t>
      </w:r>
      <w:r w:rsidR="00740375" w:rsidRPr="00F5407A">
        <w:rPr>
          <w:rFonts w:ascii="Calibri" w:hAnsi="Calibri" w:cs="Calibri"/>
          <w:szCs w:val="22"/>
          <w:rtl/>
        </w:rPr>
        <w:t xml:space="preserve">ضمن الاستخدامات الشائعة أيضًا، (21 مجيباً)، مما يشير إلى تزايد اعتماد بنية تحتية أكثر حداثة لمشاركة البيانات في الوقت الفعلي.  وقد أفاد 17 مجيباً بأنهم يقومون بتنزيل الوثائق الفردية مباشرةً من </w:t>
      </w:r>
      <w:r w:rsidR="00DA1F2C">
        <w:rPr>
          <w:rFonts w:ascii="Calibri" w:hAnsi="Calibri" w:cs="Calibri" w:hint="cs"/>
          <w:szCs w:val="22"/>
          <w:rtl/>
        </w:rPr>
        <w:t>ال</w:t>
      </w:r>
      <w:r w:rsidR="00740375" w:rsidRPr="00F5407A">
        <w:rPr>
          <w:rFonts w:ascii="Calibri" w:hAnsi="Calibri" w:cs="Calibri"/>
          <w:szCs w:val="22"/>
          <w:rtl/>
        </w:rPr>
        <w:t>مواقع الإلكترونية</w:t>
      </w:r>
      <w:r w:rsidR="00DA1F2C" w:rsidRPr="00DA1F2C">
        <w:rPr>
          <w:rFonts w:ascii="Calibri" w:hAnsi="Calibri" w:cs="Calibri" w:hint="cs"/>
          <w:szCs w:val="22"/>
          <w:rtl/>
        </w:rPr>
        <w:t xml:space="preserve"> </w:t>
      </w:r>
      <w:r w:rsidR="00DA1F2C">
        <w:rPr>
          <w:rFonts w:ascii="Calibri" w:hAnsi="Calibri" w:cs="Calibri" w:hint="cs"/>
          <w:szCs w:val="22"/>
          <w:rtl/>
        </w:rPr>
        <w:t>ل</w:t>
      </w:r>
      <w:r w:rsidR="00DA1F2C" w:rsidRPr="00F5407A">
        <w:rPr>
          <w:rFonts w:ascii="Calibri" w:hAnsi="Calibri" w:cs="Calibri"/>
          <w:szCs w:val="22"/>
          <w:rtl/>
        </w:rPr>
        <w:t>لمكتب</w:t>
      </w:r>
      <w:r w:rsidR="00740375" w:rsidRPr="00F5407A">
        <w:rPr>
          <w:rFonts w:ascii="Calibri" w:hAnsi="Calibri" w:cs="Calibri"/>
          <w:szCs w:val="22"/>
          <w:rtl/>
        </w:rPr>
        <w:t xml:space="preserve">، في حين كان تنزيل البيانات الضخمة من هذه المواقع أقل شيوعًا إلى حد ما (11 مجيباً).  ولا يزال استخدام الوسائط المادية، مثل محركات الأقراص الصلبة أو محركات أقراص </w:t>
      </w:r>
      <w:r w:rsidR="00740375" w:rsidRPr="00F5407A">
        <w:rPr>
          <w:rFonts w:ascii="Calibri" w:hAnsi="Calibri" w:cs="Calibri"/>
          <w:szCs w:val="22"/>
        </w:rPr>
        <w:t>USB</w:t>
      </w:r>
      <w:r w:rsidR="00740375" w:rsidRPr="00F5407A">
        <w:rPr>
          <w:rFonts w:ascii="Calibri" w:hAnsi="Calibri" w:cs="Calibri"/>
          <w:szCs w:val="22"/>
          <w:rtl/>
        </w:rPr>
        <w:t xml:space="preserve"> أو أقراص </w:t>
      </w:r>
      <w:r w:rsidR="00740375" w:rsidRPr="00F5407A">
        <w:rPr>
          <w:rFonts w:ascii="Calibri" w:hAnsi="Calibri" w:cs="Calibri"/>
          <w:szCs w:val="22"/>
        </w:rPr>
        <w:t>DVDs/CDs</w:t>
      </w:r>
      <w:r w:rsidR="00740375" w:rsidRPr="00F5407A">
        <w:rPr>
          <w:rFonts w:ascii="Calibri" w:hAnsi="Calibri" w:cs="Calibri"/>
          <w:szCs w:val="22"/>
          <w:rtl/>
        </w:rPr>
        <w:t>، محدودًا، إذ لم يعتمد هذه الطريقة سوى 6 مجيبين.  وقد أفاد عدد قليل من المجيبين (</w:t>
      </w:r>
      <w:r w:rsidR="00DA1F2C">
        <w:rPr>
          <w:rFonts w:ascii="Calibri" w:hAnsi="Calibri" w:cs="Calibri" w:hint="cs"/>
          <w:szCs w:val="22"/>
          <w:rtl/>
        </w:rPr>
        <w:t>عدد 4</w:t>
      </w:r>
      <w:r w:rsidR="00740375" w:rsidRPr="00F5407A">
        <w:rPr>
          <w:rFonts w:ascii="Calibri" w:hAnsi="Calibri" w:cs="Calibri"/>
          <w:szCs w:val="22"/>
          <w:rtl/>
        </w:rPr>
        <w:t xml:space="preserve">) باستخدام طرق أخرى، بما في ذلك مشاركة البيانات القائمة على تقنية سلاسل الكتل، وتنزيل البيانات المفتوحة عبر بوابات مخصصة، والنفاذ عن طريق بروتوكول </w:t>
      </w:r>
      <w:r w:rsidR="00DA1F2C">
        <w:rPr>
          <w:rFonts w:ascii="Calibri" w:hAnsi="Calibri" w:cs="Calibri" w:hint="cs"/>
          <w:szCs w:val="22"/>
          <w:rtl/>
        </w:rPr>
        <w:t>"</w:t>
      </w:r>
      <w:r w:rsidR="00740375" w:rsidRPr="00F5407A">
        <w:rPr>
          <w:rFonts w:ascii="Calibri" w:hAnsi="Calibri" w:cs="Calibri"/>
          <w:szCs w:val="22"/>
        </w:rPr>
        <w:t>HTTPS</w:t>
      </w:r>
      <w:r w:rsidR="00DA1F2C">
        <w:rPr>
          <w:rFonts w:ascii="Calibri" w:hAnsi="Calibri" w:cs="Calibri" w:hint="cs"/>
          <w:szCs w:val="22"/>
          <w:rtl/>
        </w:rPr>
        <w:t>"</w:t>
      </w:r>
      <w:r w:rsidR="00740375" w:rsidRPr="00F5407A">
        <w:rPr>
          <w:rFonts w:ascii="Calibri" w:hAnsi="Calibri" w:cs="Calibri"/>
          <w:szCs w:val="22"/>
          <w:rtl/>
        </w:rPr>
        <w:t xml:space="preserve">.  وبشكل عام، تشير هذه النتائج إلى أنه في حين تظل بروتوكولات نقل الملفات التقليدية وعمليات التنزيل عبر المواقع الإلكترونية هي الطرق السائدة لتوفير بيانات الملكية الفكرية، فإن عددًا متزايدًا من المكاتب بدأ في اعتماد تقنيات أكثر تقدمًا، مثل واجهات برمجة التطبيقات </w:t>
      </w:r>
      <w:r w:rsidR="00EA56F6">
        <w:rPr>
          <w:rFonts w:ascii="Calibri" w:hAnsi="Calibri" w:cs="Calibri" w:hint="cs"/>
          <w:szCs w:val="22"/>
          <w:rtl/>
        </w:rPr>
        <w:t>"</w:t>
      </w:r>
      <w:r w:rsidR="00740375" w:rsidRPr="00F5407A">
        <w:rPr>
          <w:rFonts w:ascii="Calibri" w:hAnsi="Calibri" w:cs="Calibri"/>
          <w:szCs w:val="22"/>
        </w:rPr>
        <w:t>APIs</w:t>
      </w:r>
      <w:r w:rsidR="00EA56F6">
        <w:rPr>
          <w:rFonts w:ascii="Calibri" w:hAnsi="Calibri" w:cs="Calibri" w:hint="cs"/>
          <w:szCs w:val="22"/>
          <w:rtl/>
        </w:rPr>
        <w:t>"</w:t>
      </w:r>
      <w:r w:rsidR="00EA56F6" w:rsidRPr="00F5407A">
        <w:rPr>
          <w:rFonts w:ascii="Calibri" w:hAnsi="Calibri" w:cs="Calibri"/>
          <w:szCs w:val="22"/>
          <w:rtl/>
        </w:rPr>
        <w:t xml:space="preserve"> </w:t>
      </w:r>
      <w:r w:rsidR="00740375" w:rsidRPr="00F5407A">
        <w:rPr>
          <w:rFonts w:ascii="Calibri" w:hAnsi="Calibri" w:cs="Calibri"/>
          <w:szCs w:val="22"/>
          <w:rtl/>
        </w:rPr>
        <w:t>وتقنية سلاسل الكتل، لدعم ممارسات أكثر ديناميكية وأمانًا في مجال تبادل البيانات.</w:t>
      </w:r>
    </w:p>
    <w:p w14:paraId="05BD5763" w14:textId="0B1CF6CC" w:rsidR="00182B6C" w:rsidRPr="007E4202" w:rsidRDefault="00182B6C" w:rsidP="009112A6">
      <w:pPr>
        <w:pStyle w:val="Heading3"/>
        <w:bidi/>
        <w:rPr>
          <w:rFonts w:ascii="Calibri" w:hAnsi="Calibri" w:cs="Calibri"/>
          <w:b/>
          <w:bCs w:val="0"/>
          <w:szCs w:val="22"/>
          <w:rtl/>
        </w:rPr>
      </w:pPr>
      <w:r w:rsidRPr="007E4202">
        <w:rPr>
          <w:rFonts w:ascii="Calibri" w:hAnsi="Calibri" w:cs="Calibri"/>
          <w:b/>
          <w:bCs w:val="0"/>
          <w:szCs w:val="22"/>
          <w:rtl/>
        </w:rPr>
        <w:t>التحديات</w:t>
      </w:r>
    </w:p>
    <w:p w14:paraId="2D5C868B" w14:textId="3B3EC4BE" w:rsidR="0000450D" w:rsidRPr="00F5407A" w:rsidRDefault="00DF2026" w:rsidP="001A65BE">
      <w:pPr>
        <w:pStyle w:val="ONUME"/>
        <w:bidi/>
        <w:rPr>
          <w:rFonts w:ascii="Calibri" w:hAnsi="Calibri" w:cs="Calibri"/>
          <w:kern w:val="2"/>
          <w:szCs w:val="22"/>
          <w:rtl/>
          <w14:ligatures w14:val="standardContextual"/>
        </w:rPr>
      </w:pPr>
      <w:r w:rsidRPr="00F5407A">
        <w:rPr>
          <w:rFonts w:ascii="Calibri" w:hAnsi="Calibri" w:cs="Calibri"/>
          <w:szCs w:val="22"/>
          <w:rtl/>
        </w:rPr>
        <w:t>أفاد المجيبون بوجود مجموعة من التحديات التنظيمية والتقنية المرتبطة بتقديم بيانات الملكية الفكرية إلى المكاتب الأخرى.  وجاءت الحاجة إلى التنقية والتصحيح المستمرين للبيانات في مقدمة المسائل الأكثر إلحاحاً ( 17 مجيباً).  بالإضافة إلى ذلك، أشار 11 مجيباً إلى أن جودة البيانات الرقمية لا تزال غير كافية، وأنها تحتاج إلى تصحيح قبل أن يتم مشاركتها.  وأشار 7 مجيبين إلى أن عدم كفاية موارد تكنولوجيا المعلومات يعد عائقًا، في حين أفاد 4 مجيبين بأن بعض بيانات الملكية الفكرية لم يتم رقمنتها بعد، وبالتالي لا يمكن تبادلها.</w:t>
      </w:r>
    </w:p>
    <w:p w14:paraId="733C7675" w14:textId="6E87AC0F" w:rsidR="0000450D" w:rsidRPr="00F5407A" w:rsidRDefault="002A1A4B"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وقد احتلت الاعتبارات القانونية </w:t>
      </w:r>
      <w:r w:rsidR="00825A06">
        <w:rPr>
          <w:rFonts w:ascii="Calibri" w:hAnsi="Calibri" w:cs="Calibri" w:hint="cs"/>
          <w:szCs w:val="22"/>
          <w:rtl/>
        </w:rPr>
        <w:t>والسياسية</w:t>
      </w:r>
      <w:r w:rsidR="00825A06" w:rsidRPr="00F5407A">
        <w:rPr>
          <w:rFonts w:ascii="Calibri" w:hAnsi="Calibri" w:cs="Calibri"/>
          <w:szCs w:val="22"/>
          <w:rtl/>
        </w:rPr>
        <w:t xml:space="preserve"> </w:t>
      </w:r>
      <w:r w:rsidRPr="00F5407A">
        <w:rPr>
          <w:rFonts w:ascii="Calibri" w:hAnsi="Calibri" w:cs="Calibri"/>
          <w:szCs w:val="22"/>
          <w:rtl/>
        </w:rPr>
        <w:t xml:space="preserve">المتعلقة بتوفير بيانات الملكية الفكرية مكانة بارزة أيضاً.  </w:t>
      </w:r>
      <w:r w:rsidR="00825A06">
        <w:rPr>
          <w:rFonts w:ascii="Calibri" w:hAnsi="Calibri" w:cs="Calibri" w:hint="cs"/>
          <w:szCs w:val="22"/>
          <w:rtl/>
        </w:rPr>
        <w:t xml:space="preserve">إذ </w:t>
      </w:r>
      <w:r w:rsidRPr="00F5407A">
        <w:rPr>
          <w:rFonts w:ascii="Calibri" w:hAnsi="Calibri" w:cs="Calibri"/>
          <w:szCs w:val="22"/>
          <w:rtl/>
        </w:rPr>
        <w:t xml:space="preserve">جاء الامتثال لمتطلبات حماية البيانات الشخصية في مقدمة المخاوف الأكثر ذكراً في الردود، (25 مجيباً).  وأشار 13 مجيباً إلى أنه لا يمكن مشاركة البيانات إلا لأغراض مشروعة، في حين أعرب 11 مجيباً عن مخاوفهم بشأن حقوق الملكية وإعادة التوزيع والإسناد في إطار مشاركة البيانات مع المكاتب الشريكة.  وأفاد 8 مجيبين </w:t>
      </w:r>
      <w:r w:rsidR="00825A06">
        <w:rPr>
          <w:rFonts w:ascii="Calibri" w:hAnsi="Calibri" w:cs="Calibri" w:hint="cs"/>
          <w:szCs w:val="22"/>
          <w:rtl/>
        </w:rPr>
        <w:t>آخرين</w:t>
      </w:r>
      <w:r w:rsidR="00825A06" w:rsidRPr="00F5407A">
        <w:rPr>
          <w:rFonts w:ascii="Calibri" w:hAnsi="Calibri" w:cs="Calibri"/>
          <w:szCs w:val="22"/>
          <w:rtl/>
        </w:rPr>
        <w:t xml:space="preserve"> </w:t>
      </w:r>
      <w:r w:rsidRPr="00F5407A">
        <w:rPr>
          <w:rFonts w:ascii="Calibri" w:hAnsi="Calibri" w:cs="Calibri"/>
          <w:szCs w:val="22"/>
          <w:rtl/>
        </w:rPr>
        <w:t>بوجود مخاوف قانونية تتعلق باستضافة البيانات خارج النطاق الجغرافي لسلطة المكتب مقدم البيانات.</w:t>
      </w:r>
    </w:p>
    <w:p w14:paraId="6EE4B1EE" w14:textId="65E0B55B" w:rsidR="004F336F" w:rsidRPr="00F5407A" w:rsidRDefault="00216497" w:rsidP="001A65BE">
      <w:pPr>
        <w:pStyle w:val="ONUME"/>
        <w:bidi/>
        <w:rPr>
          <w:rFonts w:ascii="Calibri" w:hAnsi="Calibri" w:cs="Calibri"/>
          <w:szCs w:val="22"/>
          <w:rtl/>
        </w:rPr>
      </w:pPr>
      <w:r w:rsidRPr="00F5407A">
        <w:rPr>
          <w:rFonts w:ascii="Calibri" w:hAnsi="Calibri" w:cs="Calibri"/>
          <w:szCs w:val="22"/>
          <w:rtl/>
        </w:rPr>
        <w:t>ويبدو أن العوائق المالية التي تحول دون توفير بيانات الملكية الفكرية نادرة نسبيًا، استنادًا إلى الردود الواردة.  وأشار مجيبان فقط إلى أن التعامل مع بيانات الملكية الفكرية باعتبارها مصدرًا محتملاً للإيرادات يحد من حرية المشاركة، في حين أفاد 36 مجيباً بعدم وجود أي عوائق مالية.  وتشير هذه النتائج إلى أن المتطلبات القانونية والسياسية، فضلاً عن المسائل التقنية المتعلقة بجودة البيانات، تشكل عقبات أكبر أمام توفير البيانات مقارنة بالاعتبارات المالية.</w:t>
      </w:r>
    </w:p>
    <w:p w14:paraId="7D7E17EA" w14:textId="214B4687" w:rsidR="0000450D" w:rsidRPr="00F5407A" w:rsidRDefault="00F12E92" w:rsidP="001A65BE">
      <w:pPr>
        <w:pStyle w:val="ONUME"/>
        <w:bidi/>
        <w:rPr>
          <w:rFonts w:ascii="Calibri" w:hAnsi="Calibri" w:cs="Calibri"/>
          <w:kern w:val="2"/>
          <w:szCs w:val="22"/>
          <w:rtl/>
          <w14:ligatures w14:val="standardContextual"/>
        </w:rPr>
      </w:pPr>
      <w:r w:rsidRPr="00F5407A">
        <w:rPr>
          <w:rFonts w:ascii="Calibri" w:hAnsi="Calibri" w:cs="Calibri"/>
          <w:szCs w:val="22"/>
          <w:rtl/>
        </w:rPr>
        <w:t>كما حدد المجيبون عدة تحديات تنظيمية وتقنية تتعلق بجمع بيانات الملكية الفكرية من المكاتب الشريكة.  وأشار 9 مجيبين إلى استخدام أنساق بيانات غير قياسية أو غير متوافقة أو غير مألوفة.  وأفاد 8 مجيبين بوجود كل من المشكلات التالية لدى المكاتب الشركاء: ضعف جودة البيانات، ومجموعات بيانات غير مكتملة، وتقديم البيانات بشكل غير منتظم أو غير متسق، وتوقف تسليم البيانات دون إشعار مسبق، وعدم كفاية الموارد المخصصة لتكنولوجيا المعلومات.  بالإضافة إلى ذلك، أشار 7 مجيبين إلى أن الخبراء من المكاتب الشريكة لم يكونوا متاحين دائمًا لتقديم الدعم اللازم.</w:t>
      </w:r>
    </w:p>
    <w:p w14:paraId="3432B518" w14:textId="789A5246" w:rsidR="0000450D" w:rsidRPr="00F5407A" w:rsidRDefault="002036D1" w:rsidP="001A65BE">
      <w:pPr>
        <w:pStyle w:val="ONUME"/>
        <w:bidi/>
        <w:rPr>
          <w:rFonts w:ascii="Calibri" w:hAnsi="Calibri" w:cs="Calibri"/>
          <w:kern w:val="2"/>
          <w:szCs w:val="22"/>
          <w:rtl/>
          <w14:ligatures w14:val="standardContextual"/>
        </w:rPr>
      </w:pPr>
      <w:r w:rsidRPr="00F5407A">
        <w:rPr>
          <w:rFonts w:ascii="Calibri" w:hAnsi="Calibri" w:cs="Calibri"/>
          <w:szCs w:val="22"/>
          <w:rtl/>
        </w:rPr>
        <w:t>أما التحديات القانونية والسياسية المتعلقة بجمع البيانات، فقد تم الإبلاغ عنها بوتيرة أقل.  وقد أُشير إلى المخاوف المتعلقة بحقوق الملكية وإعادة التوزيع والالتزام بمتطلبات حماية البيانات الشخصية (5 مجيبين لكل منها).  وأشار 3 مجيبين إلى وجود اختلافات في سياسات تسويق البيانات بين المكاتب الشريكة.  وأُشير أيضاً إلى المخاوف القانونية المتعلقة بتصحيح بيانات الملكية الفكرية، والقيود المفروضة على استضافة البيانات خارج الولاية القضائية للمكتب الشريك، والشروط التي تحصر استخدام البيانات في غير الأغراض المشروعة (مجيبان لكل منها).</w:t>
      </w:r>
    </w:p>
    <w:p w14:paraId="1E7853F1" w14:textId="53534F0D" w:rsidR="0000450D" w:rsidRPr="00F5407A" w:rsidRDefault="00D8770B"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وجاءت القيود المالية مجدداً ضمن التحديات الأقل شيوعاً.  وأشار 3 مجيبين فقط إلى أن المكاتب الشريكة ترى أن بياناتها للملكية الفكرية هي مصدر محتمل للإيرادات، مما يحد من حرية الوصول إليها، في حين أفاد 36 </w:t>
      </w:r>
      <w:r w:rsidR="00993FA9">
        <w:rPr>
          <w:rFonts w:ascii="Calibri" w:hAnsi="Calibri" w:cs="Calibri" w:hint="cs"/>
          <w:szCs w:val="22"/>
          <w:rtl/>
        </w:rPr>
        <w:t>مجيباً</w:t>
      </w:r>
      <w:r w:rsidR="00993FA9" w:rsidRPr="00F5407A">
        <w:rPr>
          <w:rFonts w:ascii="Calibri" w:hAnsi="Calibri" w:cs="Calibri"/>
          <w:szCs w:val="22"/>
          <w:rtl/>
        </w:rPr>
        <w:t xml:space="preserve"> </w:t>
      </w:r>
      <w:r w:rsidRPr="00F5407A">
        <w:rPr>
          <w:rFonts w:ascii="Calibri" w:hAnsi="Calibri" w:cs="Calibri"/>
          <w:szCs w:val="22"/>
          <w:rtl/>
        </w:rPr>
        <w:t>بعدم وجود عوائق مالية تحول دون جمع بيانات الملكية الفكرية.</w:t>
      </w:r>
    </w:p>
    <w:p w14:paraId="6073DF2B" w14:textId="3E0C76DF" w:rsidR="0000450D" w:rsidRPr="00F5407A" w:rsidRDefault="007A199A" w:rsidP="001A65BE">
      <w:pPr>
        <w:pStyle w:val="ONUME"/>
        <w:bidi/>
        <w:rPr>
          <w:rFonts w:ascii="Calibri" w:hAnsi="Calibri" w:cs="Calibri"/>
          <w:szCs w:val="22"/>
          <w:rtl/>
        </w:rPr>
      </w:pPr>
      <w:r w:rsidRPr="00F5407A">
        <w:rPr>
          <w:rFonts w:ascii="Calibri" w:hAnsi="Calibri" w:cs="Calibri"/>
          <w:szCs w:val="22"/>
          <w:rtl/>
        </w:rPr>
        <w:t xml:space="preserve">وبشكل عام، تُظهر النتائج أن التحديات الرئيسية فيما يتعلق بتقديم بيانات الملكية الفكرية وجمعها تبدو ذات طبيعة قانونية وسياسية وتقنية أكثر من أن تكون مالية.  وفيما يتعلق بتقديم البيانات، برز بشكل خاص الالتزام بمتطلبات حماية البيانات الشخصية والحاجة إلى التنقية المستمرة للبيانات.  وفيما يتعلق بجمع البيانات، تمثلت الصعوبات التشغيلية الرئيسية في عدم توافق الأنساق، وضعف جودة البيانات أو عدم اكتمالها، </w:t>
      </w:r>
      <w:r w:rsidR="00993FA9">
        <w:rPr>
          <w:rFonts w:ascii="Calibri" w:hAnsi="Calibri" w:cs="Calibri" w:hint="cs"/>
          <w:szCs w:val="22"/>
          <w:rtl/>
        </w:rPr>
        <w:t xml:space="preserve">فضلاً عن </w:t>
      </w:r>
      <w:r w:rsidRPr="00F5407A">
        <w:rPr>
          <w:rFonts w:ascii="Calibri" w:hAnsi="Calibri" w:cs="Calibri"/>
          <w:szCs w:val="22"/>
          <w:rtl/>
        </w:rPr>
        <w:t xml:space="preserve">عدم انتظام تسليمها أو توقفه.  وتؤكد هذه النتائج على الحاجة إلى صياغة شروط أكثر وضوحًا تنظم استخدام البيانات وإعادة توزيعها، وتحقيق المزيد من التوحيد القياسي للأنساق الخاصة بتبادل البيانات، ووضع ترتيبات أكثر موثوقية لمراقبة الجودة والتسليم بين المكاتب الشريكة.  </w:t>
      </w:r>
    </w:p>
    <w:p w14:paraId="6AB8B99A" w14:textId="463E579C" w:rsidR="00B61F11" w:rsidRPr="00F5407A" w:rsidRDefault="00B61F11" w:rsidP="00B61F11">
      <w:pPr>
        <w:pStyle w:val="ONUME"/>
        <w:bidi/>
        <w:rPr>
          <w:rFonts w:ascii="Calibri" w:hAnsi="Calibri" w:cs="Calibri"/>
          <w:szCs w:val="22"/>
          <w:rtl/>
        </w:rPr>
      </w:pPr>
      <w:r w:rsidRPr="00F5407A">
        <w:rPr>
          <w:rFonts w:ascii="Calibri" w:hAnsi="Calibri" w:cs="Calibri"/>
          <w:szCs w:val="22"/>
          <w:rtl/>
        </w:rPr>
        <w:t>وترد هذه النتائج في الجدول 2.</w:t>
      </w:r>
    </w:p>
    <w:p w14:paraId="4F6EEA07" w14:textId="77777777" w:rsidR="00B61F11" w:rsidRPr="00F5407A" w:rsidRDefault="00B61F11" w:rsidP="00B61F11">
      <w:pPr>
        <w:pStyle w:val="ONUME"/>
        <w:numPr>
          <w:ilvl w:val="0"/>
          <w:numId w:val="0"/>
        </w:numPr>
        <w:rPr>
          <w:rFonts w:ascii="Calibri" w:hAnsi="Calibri" w:cs="Calibri"/>
          <w:szCs w:val="22"/>
        </w:rPr>
      </w:pPr>
    </w:p>
    <w:tbl>
      <w:tblPr>
        <w:tblStyle w:val="CWSSurvey"/>
        <w:bidiVisual/>
        <w:tblW w:w="5000" w:type="pct"/>
        <w:tblLook w:val="04A0" w:firstRow="1" w:lastRow="0" w:firstColumn="1" w:lastColumn="0" w:noHBand="0" w:noVBand="1"/>
      </w:tblPr>
      <w:tblGrid>
        <w:gridCol w:w="1129"/>
        <w:gridCol w:w="1985"/>
        <w:gridCol w:w="5379"/>
        <w:gridCol w:w="852"/>
      </w:tblGrid>
      <w:tr w:rsidR="003416FC" w:rsidRPr="00A06AB9" w14:paraId="305A8F85" w14:textId="77777777" w:rsidTr="008D4E2A">
        <w:trPr>
          <w:cnfStyle w:val="100000000000" w:firstRow="1" w:lastRow="0" w:firstColumn="0" w:lastColumn="0" w:oddVBand="0" w:evenVBand="0" w:oddHBand="0" w:evenHBand="0" w:firstRowFirstColumn="0" w:firstRowLastColumn="0" w:lastRowFirstColumn="0" w:lastRowLastColumn="0"/>
          <w:trHeight w:val="454"/>
        </w:trPr>
        <w:tc>
          <w:tcPr>
            <w:tcW w:w="604" w:type="pct"/>
            <w:vAlign w:val="center"/>
            <w:hideMark/>
          </w:tcPr>
          <w:p w14:paraId="5FB68057" w14:textId="77777777" w:rsidR="003416FC" w:rsidRPr="00A06AB9" w:rsidRDefault="003416FC" w:rsidP="008D4E2A">
            <w:pPr>
              <w:keepLines/>
              <w:bidi/>
              <w:spacing w:before="40" w:after="40"/>
              <w:rPr>
                <w:rFonts w:ascii="Calibri" w:hAnsi="Calibri" w:cs="Calibri"/>
                <w:kern w:val="2"/>
                <w:sz w:val="20"/>
                <w:rtl/>
                <w14:ligatures w14:val="standardContextual"/>
              </w:rPr>
            </w:pPr>
            <w:r w:rsidRPr="00A06AB9">
              <w:rPr>
                <w:rFonts w:ascii="Calibri" w:hAnsi="Calibri" w:cs="Calibri"/>
                <w:sz w:val="20"/>
                <w:rtl/>
              </w:rPr>
              <w:t>النشاط</w:t>
            </w:r>
          </w:p>
        </w:tc>
        <w:tc>
          <w:tcPr>
            <w:tcW w:w="1062" w:type="pct"/>
            <w:vAlign w:val="center"/>
            <w:hideMark/>
          </w:tcPr>
          <w:p w14:paraId="7766762C" w14:textId="18ACDE43" w:rsidR="003416FC" w:rsidRPr="00A06AB9" w:rsidRDefault="000E44FE" w:rsidP="008D4E2A">
            <w:pPr>
              <w:keepLines/>
              <w:bidi/>
              <w:spacing w:before="40" w:after="40"/>
              <w:rPr>
                <w:rFonts w:ascii="Calibri" w:hAnsi="Calibri" w:cs="Calibri"/>
                <w:sz w:val="20"/>
                <w:rtl/>
              </w:rPr>
            </w:pPr>
            <w:r w:rsidRPr="00A06AB9">
              <w:rPr>
                <w:rFonts w:ascii="Calibri" w:hAnsi="Calibri" w:cs="Calibri"/>
                <w:sz w:val="20"/>
                <w:rtl/>
              </w:rPr>
              <w:t>فئة التحدي</w:t>
            </w:r>
          </w:p>
        </w:tc>
        <w:tc>
          <w:tcPr>
            <w:tcW w:w="2878" w:type="pct"/>
            <w:vAlign w:val="center"/>
            <w:hideMark/>
          </w:tcPr>
          <w:p w14:paraId="30D07DC1" w14:textId="44106AAD" w:rsidR="003416FC" w:rsidRPr="00A06AB9" w:rsidRDefault="000E44FE" w:rsidP="008D4E2A">
            <w:pPr>
              <w:keepLines/>
              <w:bidi/>
              <w:spacing w:before="40" w:after="40"/>
              <w:rPr>
                <w:rFonts w:ascii="Calibri" w:hAnsi="Calibri" w:cs="Calibri"/>
                <w:sz w:val="20"/>
                <w:rtl/>
              </w:rPr>
            </w:pPr>
            <w:r w:rsidRPr="00A06AB9">
              <w:rPr>
                <w:rFonts w:ascii="Calibri" w:hAnsi="Calibri" w:cs="Calibri"/>
                <w:sz w:val="20"/>
                <w:rtl/>
              </w:rPr>
              <w:t>التحدي المبلغ عنه</w:t>
            </w:r>
          </w:p>
        </w:tc>
        <w:tc>
          <w:tcPr>
            <w:tcW w:w="456" w:type="pct"/>
            <w:vAlign w:val="center"/>
            <w:hideMark/>
          </w:tcPr>
          <w:p w14:paraId="4975340C"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العدد</w:t>
            </w:r>
          </w:p>
        </w:tc>
      </w:tr>
      <w:tr w:rsidR="003416FC" w:rsidRPr="00A06AB9" w14:paraId="14B1E894" w14:textId="77777777" w:rsidTr="008D4E2A">
        <w:tc>
          <w:tcPr>
            <w:tcW w:w="604" w:type="pct"/>
            <w:vMerge w:val="restart"/>
            <w:vAlign w:val="center"/>
            <w:hideMark/>
          </w:tcPr>
          <w:p w14:paraId="1D40AF05" w14:textId="77777777"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 xml:space="preserve">تقديم بيانات الملكية الفكرية </w:t>
            </w:r>
          </w:p>
        </w:tc>
        <w:tc>
          <w:tcPr>
            <w:tcW w:w="1062" w:type="pct"/>
            <w:vMerge w:val="restart"/>
            <w:vAlign w:val="center"/>
            <w:hideMark/>
          </w:tcPr>
          <w:p w14:paraId="55871427" w14:textId="4C5A099E"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تنظيمية وتقنية</w:t>
            </w:r>
          </w:p>
        </w:tc>
        <w:tc>
          <w:tcPr>
            <w:tcW w:w="2878" w:type="pct"/>
            <w:vAlign w:val="center"/>
            <w:hideMark/>
          </w:tcPr>
          <w:p w14:paraId="3A1D04FE"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بيانات الملكية الفكرية ليست رقمية، وبالتالي لا يمكن مشاركتها.</w:t>
            </w:r>
          </w:p>
        </w:tc>
        <w:tc>
          <w:tcPr>
            <w:tcW w:w="456" w:type="pct"/>
            <w:vAlign w:val="center"/>
            <w:hideMark/>
          </w:tcPr>
          <w:p w14:paraId="06556289"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4</w:t>
            </w:r>
          </w:p>
        </w:tc>
      </w:tr>
      <w:tr w:rsidR="003416FC" w:rsidRPr="00A06AB9" w14:paraId="057A1232" w14:textId="77777777" w:rsidTr="008D4E2A">
        <w:tc>
          <w:tcPr>
            <w:tcW w:w="604" w:type="pct"/>
            <w:vMerge/>
            <w:vAlign w:val="center"/>
            <w:hideMark/>
          </w:tcPr>
          <w:p w14:paraId="08344232"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57DC3621"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36157225" w14:textId="27DA9082"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بيانات ملكية فكرية رقمية ولكنها ذات جودة ضعيفة وتحتاج إلى تصحيح أولاً</w:t>
            </w:r>
          </w:p>
        </w:tc>
        <w:tc>
          <w:tcPr>
            <w:tcW w:w="456" w:type="pct"/>
            <w:vAlign w:val="center"/>
            <w:hideMark/>
          </w:tcPr>
          <w:p w14:paraId="6FC8CD54"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11</w:t>
            </w:r>
          </w:p>
        </w:tc>
      </w:tr>
      <w:tr w:rsidR="003416FC" w:rsidRPr="00A06AB9" w14:paraId="4F264243" w14:textId="77777777" w:rsidTr="008D4E2A">
        <w:tc>
          <w:tcPr>
            <w:tcW w:w="604" w:type="pct"/>
            <w:vMerge/>
            <w:vAlign w:val="center"/>
            <w:hideMark/>
          </w:tcPr>
          <w:p w14:paraId="3718B340" w14:textId="77777777" w:rsidR="003416FC" w:rsidRPr="00A06AB9" w:rsidRDefault="003416FC" w:rsidP="008D4E2A">
            <w:pPr>
              <w:keepLines/>
              <w:spacing w:before="40" w:after="40" w:line="278" w:lineRule="auto"/>
              <w:rPr>
                <w:rFonts w:ascii="Calibri" w:hAnsi="Calibri" w:cs="Calibri"/>
                <w:sz w:val="20"/>
                <w:lang w:val="fr-FR"/>
              </w:rPr>
            </w:pPr>
          </w:p>
        </w:tc>
        <w:tc>
          <w:tcPr>
            <w:tcW w:w="1062" w:type="pct"/>
            <w:vMerge/>
            <w:vAlign w:val="center"/>
            <w:hideMark/>
          </w:tcPr>
          <w:p w14:paraId="49A162BC" w14:textId="77777777" w:rsidR="003416FC" w:rsidRPr="00A06AB9" w:rsidRDefault="003416FC" w:rsidP="008D4E2A">
            <w:pPr>
              <w:keepLines/>
              <w:spacing w:before="40" w:after="40" w:line="278" w:lineRule="auto"/>
              <w:rPr>
                <w:rFonts w:ascii="Calibri" w:hAnsi="Calibri" w:cs="Calibri"/>
                <w:b/>
                <w:sz w:val="20"/>
                <w:lang w:val="fr-FR"/>
              </w:rPr>
            </w:pPr>
          </w:p>
        </w:tc>
        <w:tc>
          <w:tcPr>
            <w:tcW w:w="2878" w:type="pct"/>
            <w:vAlign w:val="center"/>
            <w:hideMark/>
          </w:tcPr>
          <w:p w14:paraId="4F55A0E2" w14:textId="06E6A059"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عملية تنقية بيانات الملكية الفكرية وتصحيحها</w:t>
            </w:r>
            <w:r w:rsidR="00173335">
              <w:rPr>
                <w:rFonts w:ascii="Calibri" w:hAnsi="Calibri" w:cs="Calibri" w:hint="cs"/>
                <w:sz w:val="20"/>
                <w:rtl/>
              </w:rPr>
              <w:t xml:space="preserve"> قيد الإجراء</w:t>
            </w:r>
          </w:p>
        </w:tc>
        <w:tc>
          <w:tcPr>
            <w:tcW w:w="456" w:type="pct"/>
            <w:vAlign w:val="center"/>
            <w:hideMark/>
          </w:tcPr>
          <w:p w14:paraId="2309EF18"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17</w:t>
            </w:r>
          </w:p>
        </w:tc>
      </w:tr>
      <w:tr w:rsidR="003416FC" w:rsidRPr="00A06AB9" w14:paraId="637DDE82" w14:textId="77777777" w:rsidTr="008D4E2A">
        <w:tc>
          <w:tcPr>
            <w:tcW w:w="604" w:type="pct"/>
            <w:vMerge/>
            <w:vAlign w:val="center"/>
            <w:hideMark/>
          </w:tcPr>
          <w:p w14:paraId="09C8D651"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78D289F5"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40038679"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نقص موارد تكنولوجيا المعلومات (قواعد البيانات والأدوات والتخزين، وما إلى ذلك)</w:t>
            </w:r>
          </w:p>
        </w:tc>
        <w:tc>
          <w:tcPr>
            <w:tcW w:w="456" w:type="pct"/>
            <w:vAlign w:val="center"/>
            <w:hideMark/>
          </w:tcPr>
          <w:p w14:paraId="624A9D3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‎7</w:t>
            </w:r>
          </w:p>
        </w:tc>
      </w:tr>
      <w:tr w:rsidR="003416FC" w:rsidRPr="00A06AB9" w14:paraId="70742316" w14:textId="77777777" w:rsidTr="008D4E2A">
        <w:tc>
          <w:tcPr>
            <w:tcW w:w="604" w:type="pct"/>
            <w:vMerge/>
            <w:vAlign w:val="center"/>
            <w:hideMark/>
          </w:tcPr>
          <w:p w14:paraId="6ECDFC69"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6F594A84"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4F8CAC41"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استخدام نسق بيانات غير قياسي أو غير متوافق (يُرجى تقديم التفاصيل)</w:t>
            </w:r>
          </w:p>
        </w:tc>
        <w:tc>
          <w:tcPr>
            <w:tcW w:w="456" w:type="pct"/>
            <w:vAlign w:val="center"/>
            <w:hideMark/>
          </w:tcPr>
          <w:p w14:paraId="62B90EA8"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w:t>
            </w:r>
          </w:p>
        </w:tc>
      </w:tr>
      <w:tr w:rsidR="003416FC" w:rsidRPr="00A06AB9" w14:paraId="79148064" w14:textId="77777777" w:rsidTr="008D4E2A">
        <w:tc>
          <w:tcPr>
            <w:tcW w:w="604" w:type="pct"/>
            <w:vMerge/>
            <w:vAlign w:val="center"/>
            <w:hideMark/>
          </w:tcPr>
          <w:p w14:paraId="3272FDF3"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00852FF8"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108DE4A9"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غير ذلك (يُرجى التحديد)</w:t>
            </w:r>
          </w:p>
        </w:tc>
        <w:tc>
          <w:tcPr>
            <w:tcW w:w="456" w:type="pct"/>
            <w:vAlign w:val="center"/>
            <w:hideMark/>
          </w:tcPr>
          <w:p w14:paraId="2E89D747"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‎7</w:t>
            </w:r>
          </w:p>
        </w:tc>
      </w:tr>
      <w:tr w:rsidR="003416FC" w:rsidRPr="00A06AB9" w14:paraId="3D59270D" w14:textId="77777777" w:rsidTr="008D4E2A">
        <w:tc>
          <w:tcPr>
            <w:tcW w:w="604" w:type="pct"/>
            <w:vMerge/>
            <w:vAlign w:val="center"/>
            <w:hideMark/>
          </w:tcPr>
          <w:p w14:paraId="228E6A5D"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4C932E8D"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456DBCFA"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1DF78FE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14</w:t>
            </w:r>
          </w:p>
        </w:tc>
      </w:tr>
      <w:tr w:rsidR="003416FC" w:rsidRPr="00A06AB9" w14:paraId="1C500A7F" w14:textId="77777777" w:rsidTr="008D4E2A">
        <w:tc>
          <w:tcPr>
            <w:tcW w:w="604" w:type="pct"/>
            <w:vMerge/>
            <w:vAlign w:val="center"/>
            <w:hideMark/>
          </w:tcPr>
          <w:p w14:paraId="203C0128" w14:textId="77777777" w:rsidR="003416FC" w:rsidRPr="00A06AB9" w:rsidRDefault="003416FC" w:rsidP="008D4E2A">
            <w:pPr>
              <w:keepLines/>
              <w:spacing w:before="40" w:after="40" w:line="278" w:lineRule="auto"/>
              <w:rPr>
                <w:rFonts w:ascii="Calibri" w:hAnsi="Calibri" w:cs="Calibri"/>
                <w:sz w:val="20"/>
              </w:rPr>
            </w:pPr>
          </w:p>
        </w:tc>
        <w:tc>
          <w:tcPr>
            <w:tcW w:w="1062" w:type="pct"/>
            <w:vMerge w:val="restart"/>
            <w:vAlign w:val="center"/>
            <w:hideMark/>
          </w:tcPr>
          <w:p w14:paraId="3905106E" w14:textId="32DF0029"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قانونية وسياسية</w:t>
            </w:r>
          </w:p>
        </w:tc>
        <w:tc>
          <w:tcPr>
            <w:tcW w:w="2878" w:type="pct"/>
            <w:vAlign w:val="center"/>
            <w:hideMark/>
          </w:tcPr>
          <w:p w14:paraId="12542EF2"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يجب مشاركة بيانات الملكية الفكرية بما يتوافق مع متطلبات حماية البيانات الشخصية المعمول بها</w:t>
            </w:r>
          </w:p>
        </w:tc>
        <w:tc>
          <w:tcPr>
            <w:tcW w:w="456" w:type="pct"/>
            <w:vAlign w:val="center"/>
            <w:hideMark/>
          </w:tcPr>
          <w:p w14:paraId="4299AB5E"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25</w:t>
            </w:r>
          </w:p>
        </w:tc>
      </w:tr>
      <w:tr w:rsidR="003416FC" w:rsidRPr="00A06AB9" w14:paraId="5379F2D7" w14:textId="77777777" w:rsidTr="008D4E2A">
        <w:tc>
          <w:tcPr>
            <w:tcW w:w="604" w:type="pct"/>
            <w:vMerge/>
            <w:vAlign w:val="center"/>
            <w:hideMark/>
          </w:tcPr>
          <w:p w14:paraId="45AF5957"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73034913"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60176260" w14:textId="607068A5"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مخاوف قانونية متعلقة بحقوق الملكية وإعادة التوزيع والإسناد</w:t>
            </w:r>
          </w:p>
        </w:tc>
        <w:tc>
          <w:tcPr>
            <w:tcW w:w="456" w:type="pct"/>
            <w:vAlign w:val="center"/>
            <w:hideMark/>
          </w:tcPr>
          <w:p w14:paraId="7C25DC1B"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11</w:t>
            </w:r>
          </w:p>
        </w:tc>
      </w:tr>
      <w:tr w:rsidR="003416FC" w:rsidRPr="00A06AB9" w14:paraId="162469FA" w14:textId="77777777" w:rsidTr="008D4E2A">
        <w:tc>
          <w:tcPr>
            <w:tcW w:w="604" w:type="pct"/>
            <w:vMerge/>
            <w:vAlign w:val="center"/>
            <w:hideMark/>
          </w:tcPr>
          <w:p w14:paraId="086605D7" w14:textId="77777777" w:rsidR="003416FC" w:rsidRPr="00A06AB9" w:rsidRDefault="003416FC" w:rsidP="008D4E2A">
            <w:pPr>
              <w:keepLines/>
              <w:spacing w:before="40" w:after="40" w:line="278" w:lineRule="auto"/>
              <w:rPr>
                <w:rFonts w:ascii="Calibri" w:hAnsi="Calibri" w:cs="Calibri"/>
                <w:sz w:val="20"/>
                <w:lang w:val="fr-FR"/>
              </w:rPr>
            </w:pPr>
          </w:p>
        </w:tc>
        <w:tc>
          <w:tcPr>
            <w:tcW w:w="1062" w:type="pct"/>
            <w:vMerge/>
            <w:vAlign w:val="center"/>
            <w:hideMark/>
          </w:tcPr>
          <w:p w14:paraId="4CFAB384" w14:textId="77777777" w:rsidR="003416FC" w:rsidRPr="00A06AB9" w:rsidRDefault="003416FC" w:rsidP="008D4E2A">
            <w:pPr>
              <w:keepLines/>
              <w:spacing w:before="40" w:after="40" w:line="278" w:lineRule="auto"/>
              <w:rPr>
                <w:rFonts w:ascii="Calibri" w:hAnsi="Calibri" w:cs="Calibri"/>
                <w:b/>
                <w:sz w:val="20"/>
                <w:lang w:val="fr-FR"/>
              </w:rPr>
            </w:pPr>
          </w:p>
        </w:tc>
        <w:tc>
          <w:tcPr>
            <w:tcW w:w="2878" w:type="pct"/>
            <w:vAlign w:val="center"/>
            <w:hideMark/>
          </w:tcPr>
          <w:p w14:paraId="48C5A173"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يمكن مشاركة بيانات الملكية الفكرية بشرط استخدامها لأغراض مشروعة</w:t>
            </w:r>
          </w:p>
        </w:tc>
        <w:tc>
          <w:tcPr>
            <w:tcW w:w="456" w:type="pct"/>
            <w:vAlign w:val="center"/>
            <w:hideMark/>
          </w:tcPr>
          <w:p w14:paraId="60CF9217"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13</w:t>
            </w:r>
          </w:p>
        </w:tc>
      </w:tr>
      <w:tr w:rsidR="003416FC" w:rsidRPr="00A06AB9" w14:paraId="7DBD78AA" w14:textId="77777777" w:rsidTr="008D4E2A">
        <w:tc>
          <w:tcPr>
            <w:tcW w:w="604" w:type="pct"/>
            <w:vMerge/>
            <w:vAlign w:val="center"/>
            <w:hideMark/>
          </w:tcPr>
          <w:p w14:paraId="0E026BB2"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0DEA5745"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7222B01B" w14:textId="23613A6D"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مخاوف قانونية متعلقة بالاستضافة خارج الولاية القضائية لمكتب الملكية الفكرية.</w:t>
            </w:r>
          </w:p>
        </w:tc>
        <w:tc>
          <w:tcPr>
            <w:tcW w:w="456" w:type="pct"/>
            <w:vAlign w:val="center"/>
            <w:hideMark/>
          </w:tcPr>
          <w:p w14:paraId="37CAE4EF"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16FEC848" w14:textId="77777777" w:rsidTr="008D4E2A">
        <w:tc>
          <w:tcPr>
            <w:tcW w:w="604" w:type="pct"/>
            <w:vMerge/>
            <w:vAlign w:val="center"/>
            <w:hideMark/>
          </w:tcPr>
          <w:p w14:paraId="68CB1BC6"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52F56B3F"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2C203471" w14:textId="329AAF63"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 xml:space="preserve">غير ذلك </w:t>
            </w:r>
          </w:p>
        </w:tc>
        <w:tc>
          <w:tcPr>
            <w:tcW w:w="456" w:type="pct"/>
            <w:vAlign w:val="center"/>
            <w:hideMark/>
          </w:tcPr>
          <w:p w14:paraId="6A88A3BF"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w:t>
            </w:r>
          </w:p>
        </w:tc>
      </w:tr>
      <w:tr w:rsidR="003416FC" w:rsidRPr="00A06AB9" w14:paraId="7A3597AA" w14:textId="77777777" w:rsidTr="008D4E2A">
        <w:tc>
          <w:tcPr>
            <w:tcW w:w="604" w:type="pct"/>
            <w:vMerge/>
            <w:vAlign w:val="center"/>
            <w:hideMark/>
          </w:tcPr>
          <w:p w14:paraId="4756293A"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4F788351"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5D528DD2"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4317917F"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12</w:t>
            </w:r>
          </w:p>
        </w:tc>
      </w:tr>
      <w:tr w:rsidR="003416FC" w:rsidRPr="00A06AB9" w14:paraId="411245E5" w14:textId="77777777" w:rsidTr="008D4E2A">
        <w:tc>
          <w:tcPr>
            <w:tcW w:w="604" w:type="pct"/>
            <w:vMerge/>
            <w:vAlign w:val="center"/>
            <w:hideMark/>
          </w:tcPr>
          <w:p w14:paraId="75084F7D" w14:textId="77777777" w:rsidR="003416FC" w:rsidRPr="00A06AB9" w:rsidRDefault="003416FC" w:rsidP="008D4E2A">
            <w:pPr>
              <w:keepLines/>
              <w:spacing w:before="40" w:after="40" w:line="278" w:lineRule="auto"/>
              <w:rPr>
                <w:rFonts w:ascii="Calibri" w:hAnsi="Calibri" w:cs="Calibri"/>
                <w:sz w:val="20"/>
                <w:lang w:val="fr-FR"/>
              </w:rPr>
            </w:pPr>
          </w:p>
        </w:tc>
        <w:tc>
          <w:tcPr>
            <w:tcW w:w="1062" w:type="pct"/>
            <w:vMerge w:val="restart"/>
            <w:vAlign w:val="center"/>
            <w:hideMark/>
          </w:tcPr>
          <w:p w14:paraId="5ADE5CA1" w14:textId="4AA59249"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مالي</w:t>
            </w:r>
            <w:r w:rsidR="006D4F44">
              <w:rPr>
                <w:rFonts w:ascii="Calibri" w:hAnsi="Calibri" w:cs="Calibri" w:hint="cs"/>
                <w:b/>
                <w:bCs/>
                <w:sz w:val="20"/>
                <w:rtl/>
              </w:rPr>
              <w:t>ة</w:t>
            </w:r>
          </w:p>
        </w:tc>
        <w:tc>
          <w:tcPr>
            <w:tcW w:w="2878" w:type="pct"/>
            <w:vAlign w:val="center"/>
            <w:hideMark/>
          </w:tcPr>
          <w:p w14:paraId="1F946DD3" w14:textId="19AA331C" w:rsidR="003416FC" w:rsidRPr="00A06AB9" w:rsidRDefault="00173335" w:rsidP="008D4E2A">
            <w:pPr>
              <w:keepLines/>
              <w:bidi/>
              <w:spacing w:before="40" w:after="40"/>
              <w:rPr>
                <w:rFonts w:ascii="Calibri" w:hAnsi="Calibri" w:cs="Calibri"/>
                <w:sz w:val="20"/>
                <w:rtl/>
              </w:rPr>
            </w:pPr>
            <w:r>
              <w:rPr>
                <w:rFonts w:ascii="Calibri" w:hAnsi="Calibri" w:cs="Calibri" w:hint="cs"/>
                <w:sz w:val="20"/>
                <w:rtl/>
              </w:rPr>
              <w:t>رؤية</w:t>
            </w:r>
            <w:r w:rsidRPr="00A06AB9">
              <w:rPr>
                <w:rFonts w:ascii="Calibri" w:hAnsi="Calibri" w:cs="Calibri"/>
                <w:sz w:val="20"/>
                <w:rtl/>
              </w:rPr>
              <w:t xml:space="preserve"> </w:t>
            </w:r>
            <w:r w:rsidR="003416FC" w:rsidRPr="00A06AB9">
              <w:rPr>
                <w:rFonts w:ascii="Calibri" w:hAnsi="Calibri" w:cs="Calibri"/>
                <w:sz w:val="20"/>
                <w:rtl/>
              </w:rPr>
              <w:t xml:space="preserve">المكتب </w:t>
            </w:r>
            <w:r>
              <w:rPr>
                <w:rFonts w:ascii="Calibri" w:hAnsi="Calibri" w:cs="Calibri" w:hint="cs"/>
                <w:sz w:val="20"/>
                <w:rtl/>
              </w:rPr>
              <w:t xml:space="preserve">أن </w:t>
            </w:r>
            <w:r w:rsidR="003416FC" w:rsidRPr="00A06AB9">
              <w:rPr>
                <w:rFonts w:ascii="Calibri" w:hAnsi="Calibri" w:cs="Calibri"/>
                <w:sz w:val="20"/>
                <w:rtl/>
              </w:rPr>
              <w:t>بيانات الملكية الفكرية مصدر محتمل للإيرادات ولا يمكن مشاركتها مجاناً</w:t>
            </w:r>
          </w:p>
        </w:tc>
        <w:tc>
          <w:tcPr>
            <w:tcW w:w="456" w:type="pct"/>
            <w:vAlign w:val="center"/>
            <w:hideMark/>
          </w:tcPr>
          <w:p w14:paraId="1C45E942"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w:t>
            </w:r>
          </w:p>
        </w:tc>
      </w:tr>
      <w:tr w:rsidR="003416FC" w:rsidRPr="00A06AB9" w14:paraId="1B167480" w14:textId="77777777" w:rsidTr="008D4E2A">
        <w:tc>
          <w:tcPr>
            <w:tcW w:w="604" w:type="pct"/>
            <w:vMerge/>
            <w:vAlign w:val="center"/>
            <w:hideMark/>
          </w:tcPr>
          <w:p w14:paraId="75102F84"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08FBC62E"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3DEE837D" w14:textId="3B9DDFAC"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 xml:space="preserve">غير ذلك </w:t>
            </w:r>
          </w:p>
        </w:tc>
        <w:tc>
          <w:tcPr>
            <w:tcW w:w="456" w:type="pct"/>
            <w:vAlign w:val="center"/>
            <w:hideMark/>
          </w:tcPr>
          <w:p w14:paraId="023735C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4</w:t>
            </w:r>
          </w:p>
        </w:tc>
      </w:tr>
      <w:tr w:rsidR="003416FC" w:rsidRPr="00A06AB9" w14:paraId="3839DC5D" w14:textId="77777777" w:rsidTr="008D4E2A">
        <w:tc>
          <w:tcPr>
            <w:tcW w:w="604" w:type="pct"/>
            <w:vMerge/>
            <w:vAlign w:val="center"/>
            <w:hideMark/>
          </w:tcPr>
          <w:p w14:paraId="4780133E" w14:textId="77777777" w:rsidR="003416FC" w:rsidRPr="00A06AB9" w:rsidRDefault="003416FC" w:rsidP="008D4E2A">
            <w:pPr>
              <w:keepLines/>
              <w:spacing w:before="40" w:after="40" w:line="278" w:lineRule="auto"/>
              <w:rPr>
                <w:rFonts w:ascii="Calibri" w:hAnsi="Calibri" w:cs="Calibri"/>
                <w:sz w:val="20"/>
              </w:rPr>
            </w:pPr>
          </w:p>
        </w:tc>
        <w:tc>
          <w:tcPr>
            <w:tcW w:w="1062" w:type="pct"/>
            <w:vMerge/>
            <w:vAlign w:val="center"/>
            <w:hideMark/>
          </w:tcPr>
          <w:p w14:paraId="176EF99B" w14:textId="77777777" w:rsidR="003416FC" w:rsidRPr="00A06AB9" w:rsidRDefault="003416FC" w:rsidP="008D4E2A">
            <w:pPr>
              <w:keepLines/>
              <w:spacing w:before="40" w:after="40" w:line="278" w:lineRule="auto"/>
              <w:rPr>
                <w:rFonts w:ascii="Calibri" w:hAnsi="Calibri" w:cs="Calibri"/>
                <w:b/>
                <w:sz w:val="20"/>
              </w:rPr>
            </w:pPr>
          </w:p>
        </w:tc>
        <w:tc>
          <w:tcPr>
            <w:tcW w:w="2878" w:type="pct"/>
            <w:vAlign w:val="center"/>
            <w:hideMark/>
          </w:tcPr>
          <w:p w14:paraId="176A7F1C"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6B9B19CE"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36</w:t>
            </w:r>
          </w:p>
        </w:tc>
      </w:tr>
      <w:tr w:rsidR="003416FC" w:rsidRPr="00A06AB9" w14:paraId="0B6F5B12" w14:textId="77777777" w:rsidTr="008D4E2A">
        <w:tc>
          <w:tcPr>
            <w:tcW w:w="604" w:type="pct"/>
            <w:vMerge w:val="restart"/>
            <w:vAlign w:val="center"/>
            <w:hideMark/>
          </w:tcPr>
          <w:p w14:paraId="1EC79E40" w14:textId="77777777"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جمع بيانات الملكية الفكرية</w:t>
            </w:r>
          </w:p>
        </w:tc>
        <w:tc>
          <w:tcPr>
            <w:tcW w:w="1062" w:type="pct"/>
            <w:vMerge w:val="restart"/>
            <w:vAlign w:val="center"/>
            <w:hideMark/>
          </w:tcPr>
          <w:p w14:paraId="6B0EB525" w14:textId="511C451C" w:rsidR="003416FC" w:rsidRPr="00A06AB9" w:rsidRDefault="003416FC" w:rsidP="008D4E2A">
            <w:pPr>
              <w:keepLines/>
              <w:bidi/>
              <w:spacing w:before="40" w:after="40"/>
              <w:rPr>
                <w:rFonts w:ascii="Calibri" w:hAnsi="Calibri" w:cs="Calibri"/>
                <w:b/>
                <w:sz w:val="20"/>
                <w:rtl/>
              </w:rPr>
            </w:pPr>
            <w:r w:rsidRPr="00A06AB9">
              <w:rPr>
                <w:rFonts w:ascii="Calibri" w:hAnsi="Calibri" w:cs="Calibri"/>
                <w:b/>
                <w:bCs/>
                <w:sz w:val="20"/>
                <w:rtl/>
              </w:rPr>
              <w:t>تنظيمية وتقنية</w:t>
            </w:r>
          </w:p>
        </w:tc>
        <w:tc>
          <w:tcPr>
            <w:tcW w:w="2878" w:type="pct"/>
            <w:vAlign w:val="center"/>
            <w:hideMark/>
          </w:tcPr>
          <w:p w14:paraId="2E48399D" w14:textId="77777777" w:rsidR="003416FC" w:rsidRPr="00A06AB9" w:rsidRDefault="003416FC" w:rsidP="008D4E2A">
            <w:pPr>
              <w:keepLines/>
              <w:bidi/>
              <w:spacing w:before="40" w:after="40"/>
              <w:rPr>
                <w:rFonts w:ascii="Calibri" w:hAnsi="Calibri" w:cs="Calibri"/>
                <w:sz w:val="20"/>
                <w:rtl/>
              </w:rPr>
            </w:pPr>
            <w:r w:rsidRPr="00A06AB9">
              <w:rPr>
                <w:rFonts w:ascii="Calibri" w:hAnsi="Calibri" w:cs="Calibri"/>
                <w:sz w:val="20"/>
                <w:rtl/>
              </w:rPr>
              <w:t>استخدام نسق بيانات ملكية فكرية غير قياسي أو غير متوافق أو غير مألوف</w:t>
            </w:r>
          </w:p>
        </w:tc>
        <w:tc>
          <w:tcPr>
            <w:tcW w:w="456" w:type="pct"/>
            <w:vAlign w:val="center"/>
            <w:hideMark/>
          </w:tcPr>
          <w:p w14:paraId="23D7088A"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‎9</w:t>
            </w:r>
          </w:p>
        </w:tc>
      </w:tr>
      <w:tr w:rsidR="003416FC" w:rsidRPr="00A06AB9" w14:paraId="368C8FA1" w14:textId="77777777" w:rsidTr="008D4E2A">
        <w:tc>
          <w:tcPr>
            <w:tcW w:w="604" w:type="pct"/>
            <w:vMerge/>
            <w:vAlign w:val="center"/>
            <w:hideMark/>
          </w:tcPr>
          <w:p w14:paraId="4A057936"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4F07E4E2"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7CE48AE3"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بيانات ملكية فكرية ذات جودة ضعيفة</w:t>
            </w:r>
          </w:p>
        </w:tc>
        <w:tc>
          <w:tcPr>
            <w:tcW w:w="456" w:type="pct"/>
            <w:vAlign w:val="center"/>
            <w:hideMark/>
          </w:tcPr>
          <w:p w14:paraId="66B13008"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16839241" w14:textId="77777777" w:rsidTr="008D4E2A">
        <w:tc>
          <w:tcPr>
            <w:tcW w:w="604" w:type="pct"/>
            <w:vMerge/>
            <w:vAlign w:val="center"/>
            <w:hideMark/>
          </w:tcPr>
          <w:p w14:paraId="496EDC78"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3D0CBE49"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2CECD66E" w14:textId="01690AEC"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بيانات ملكية فكرية غير مكتملة</w:t>
            </w:r>
          </w:p>
        </w:tc>
        <w:tc>
          <w:tcPr>
            <w:tcW w:w="456" w:type="pct"/>
            <w:vAlign w:val="center"/>
            <w:hideMark/>
          </w:tcPr>
          <w:p w14:paraId="14EB009F"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479F5FB9" w14:textId="77777777" w:rsidTr="008D4E2A">
        <w:tc>
          <w:tcPr>
            <w:tcW w:w="604" w:type="pct"/>
            <w:vMerge/>
            <w:vAlign w:val="center"/>
            <w:hideMark/>
          </w:tcPr>
          <w:p w14:paraId="508E8DD2"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07E392B3"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407F9599"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تقديم البيانات بشكل غير منتظم أو غير متسق</w:t>
            </w:r>
          </w:p>
        </w:tc>
        <w:tc>
          <w:tcPr>
            <w:tcW w:w="456" w:type="pct"/>
            <w:vAlign w:val="center"/>
            <w:hideMark/>
          </w:tcPr>
          <w:p w14:paraId="799AEDB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62499D20" w14:textId="77777777" w:rsidTr="008D4E2A">
        <w:tc>
          <w:tcPr>
            <w:tcW w:w="604" w:type="pct"/>
            <w:vMerge/>
            <w:vAlign w:val="center"/>
            <w:hideMark/>
          </w:tcPr>
          <w:p w14:paraId="482823FC"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46F943FA"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63B1A7F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وقف تقديم البيانات دون إشعار مسبق</w:t>
            </w:r>
          </w:p>
        </w:tc>
        <w:tc>
          <w:tcPr>
            <w:tcW w:w="456" w:type="pct"/>
            <w:vAlign w:val="center"/>
            <w:hideMark/>
          </w:tcPr>
          <w:p w14:paraId="31854F8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6BFEC8F6" w14:textId="77777777" w:rsidTr="008D4E2A">
        <w:tc>
          <w:tcPr>
            <w:tcW w:w="604" w:type="pct"/>
            <w:vMerge/>
            <w:vAlign w:val="center"/>
            <w:hideMark/>
          </w:tcPr>
          <w:p w14:paraId="3D1DCAB6"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3AF68C26"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1F6B5417"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نقص الخبراء من المكاتب الشريكة لتقديم الدعم</w:t>
            </w:r>
          </w:p>
        </w:tc>
        <w:tc>
          <w:tcPr>
            <w:tcW w:w="456" w:type="pct"/>
            <w:vAlign w:val="center"/>
            <w:hideMark/>
          </w:tcPr>
          <w:p w14:paraId="7385B85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‎7</w:t>
            </w:r>
          </w:p>
        </w:tc>
      </w:tr>
      <w:tr w:rsidR="003416FC" w:rsidRPr="00A06AB9" w14:paraId="4E925BF4" w14:textId="77777777" w:rsidTr="008D4E2A">
        <w:tc>
          <w:tcPr>
            <w:tcW w:w="604" w:type="pct"/>
            <w:vMerge/>
            <w:vAlign w:val="center"/>
            <w:hideMark/>
          </w:tcPr>
          <w:p w14:paraId="287064E7" w14:textId="77777777" w:rsidR="003416FC" w:rsidRPr="00A06AB9" w:rsidRDefault="003416FC" w:rsidP="008D4E2A">
            <w:pPr>
              <w:keepNext/>
              <w:keepLines/>
              <w:spacing w:before="40" w:after="40" w:line="278" w:lineRule="auto"/>
              <w:rPr>
                <w:rFonts w:ascii="Calibri" w:hAnsi="Calibri" w:cs="Calibri"/>
                <w:sz w:val="20"/>
                <w:lang w:val="fr-FR"/>
              </w:rPr>
            </w:pPr>
          </w:p>
        </w:tc>
        <w:tc>
          <w:tcPr>
            <w:tcW w:w="1062" w:type="pct"/>
            <w:vMerge/>
            <w:vAlign w:val="center"/>
            <w:hideMark/>
          </w:tcPr>
          <w:p w14:paraId="7ADBBC2B" w14:textId="77777777" w:rsidR="003416FC" w:rsidRPr="00A06AB9" w:rsidRDefault="003416FC" w:rsidP="008D4E2A">
            <w:pPr>
              <w:keepNext/>
              <w:keepLines/>
              <w:spacing w:before="40" w:after="40" w:line="278" w:lineRule="auto"/>
              <w:rPr>
                <w:rFonts w:ascii="Calibri" w:hAnsi="Calibri" w:cs="Calibri"/>
                <w:b/>
                <w:sz w:val="20"/>
                <w:lang w:val="fr-FR"/>
              </w:rPr>
            </w:pPr>
          </w:p>
        </w:tc>
        <w:tc>
          <w:tcPr>
            <w:tcW w:w="2878" w:type="pct"/>
            <w:vAlign w:val="center"/>
            <w:hideMark/>
          </w:tcPr>
          <w:p w14:paraId="5ACEBE0C"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قلة موارد تكنولوجيا المعلومات في مكاتب الملكية الفكرية الشريكة</w:t>
            </w:r>
          </w:p>
        </w:tc>
        <w:tc>
          <w:tcPr>
            <w:tcW w:w="456" w:type="pct"/>
            <w:vAlign w:val="center"/>
            <w:hideMark/>
          </w:tcPr>
          <w:p w14:paraId="485DB916"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‎8</w:t>
            </w:r>
          </w:p>
        </w:tc>
      </w:tr>
      <w:tr w:rsidR="003416FC" w:rsidRPr="00A06AB9" w14:paraId="255543AA" w14:textId="77777777" w:rsidTr="008D4E2A">
        <w:tc>
          <w:tcPr>
            <w:tcW w:w="604" w:type="pct"/>
            <w:vMerge/>
            <w:vAlign w:val="center"/>
            <w:hideMark/>
          </w:tcPr>
          <w:p w14:paraId="5FDE8D1C" w14:textId="77777777" w:rsidR="003416FC" w:rsidRPr="00A06AB9" w:rsidRDefault="003416FC" w:rsidP="008D4E2A">
            <w:pPr>
              <w:keepNext/>
              <w:keepLines/>
              <w:spacing w:before="40" w:after="40" w:line="278" w:lineRule="auto"/>
              <w:rPr>
                <w:rFonts w:ascii="Calibri" w:hAnsi="Calibri" w:cs="Calibri"/>
                <w:sz w:val="20"/>
                <w:lang w:val="fr-FR"/>
              </w:rPr>
            </w:pPr>
          </w:p>
        </w:tc>
        <w:tc>
          <w:tcPr>
            <w:tcW w:w="1062" w:type="pct"/>
            <w:vMerge/>
            <w:vAlign w:val="center"/>
            <w:hideMark/>
          </w:tcPr>
          <w:p w14:paraId="77D85378" w14:textId="77777777" w:rsidR="003416FC" w:rsidRPr="00A06AB9" w:rsidRDefault="003416FC" w:rsidP="008D4E2A">
            <w:pPr>
              <w:keepNext/>
              <w:keepLines/>
              <w:spacing w:before="40" w:after="40" w:line="278" w:lineRule="auto"/>
              <w:rPr>
                <w:rFonts w:ascii="Calibri" w:hAnsi="Calibri" w:cs="Calibri"/>
                <w:b/>
                <w:sz w:val="20"/>
                <w:lang w:val="fr-FR"/>
              </w:rPr>
            </w:pPr>
          </w:p>
        </w:tc>
        <w:tc>
          <w:tcPr>
            <w:tcW w:w="2878" w:type="pct"/>
            <w:vAlign w:val="center"/>
            <w:hideMark/>
          </w:tcPr>
          <w:p w14:paraId="41071CCD" w14:textId="224491E6"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 xml:space="preserve">غير ذلك </w:t>
            </w:r>
          </w:p>
        </w:tc>
        <w:tc>
          <w:tcPr>
            <w:tcW w:w="456" w:type="pct"/>
            <w:vAlign w:val="center"/>
            <w:hideMark/>
          </w:tcPr>
          <w:p w14:paraId="48E8C834"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‎5</w:t>
            </w:r>
          </w:p>
        </w:tc>
      </w:tr>
      <w:tr w:rsidR="003416FC" w:rsidRPr="00A06AB9" w14:paraId="7B71B271" w14:textId="77777777" w:rsidTr="008D4E2A">
        <w:tc>
          <w:tcPr>
            <w:tcW w:w="604" w:type="pct"/>
            <w:vMerge/>
            <w:vAlign w:val="center"/>
            <w:hideMark/>
          </w:tcPr>
          <w:p w14:paraId="5311A341" w14:textId="77777777" w:rsidR="003416FC" w:rsidRPr="00A06AB9" w:rsidRDefault="003416FC" w:rsidP="008D4E2A">
            <w:pPr>
              <w:keepNext/>
              <w:keepLines/>
              <w:spacing w:before="40" w:after="40" w:line="278" w:lineRule="auto"/>
              <w:rPr>
                <w:rFonts w:ascii="Calibri" w:hAnsi="Calibri" w:cs="Calibri"/>
                <w:sz w:val="20"/>
                <w:lang w:val="fr-FR"/>
              </w:rPr>
            </w:pPr>
          </w:p>
        </w:tc>
        <w:tc>
          <w:tcPr>
            <w:tcW w:w="1062" w:type="pct"/>
            <w:vMerge/>
            <w:vAlign w:val="center"/>
            <w:hideMark/>
          </w:tcPr>
          <w:p w14:paraId="66B0CDED" w14:textId="77777777" w:rsidR="003416FC" w:rsidRPr="00A06AB9" w:rsidRDefault="003416FC" w:rsidP="008D4E2A">
            <w:pPr>
              <w:keepNext/>
              <w:keepLines/>
              <w:spacing w:before="40" w:after="40" w:line="278" w:lineRule="auto"/>
              <w:rPr>
                <w:rFonts w:ascii="Calibri" w:hAnsi="Calibri" w:cs="Calibri"/>
                <w:b/>
                <w:sz w:val="20"/>
                <w:lang w:val="fr-FR"/>
              </w:rPr>
            </w:pPr>
          </w:p>
        </w:tc>
        <w:tc>
          <w:tcPr>
            <w:tcW w:w="2878" w:type="pct"/>
            <w:vAlign w:val="center"/>
            <w:hideMark/>
          </w:tcPr>
          <w:p w14:paraId="27D8EAB8"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47B164B8"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25</w:t>
            </w:r>
          </w:p>
        </w:tc>
      </w:tr>
      <w:tr w:rsidR="003416FC" w:rsidRPr="00A06AB9" w14:paraId="593832CB" w14:textId="77777777" w:rsidTr="008D4E2A">
        <w:tc>
          <w:tcPr>
            <w:tcW w:w="604" w:type="pct"/>
            <w:vMerge/>
            <w:vAlign w:val="center"/>
            <w:hideMark/>
          </w:tcPr>
          <w:p w14:paraId="53D7A3D1"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restart"/>
            <w:vAlign w:val="center"/>
            <w:hideMark/>
          </w:tcPr>
          <w:p w14:paraId="12B4720E" w14:textId="309EC0BB" w:rsidR="003416FC" w:rsidRPr="00A06AB9" w:rsidRDefault="003416FC" w:rsidP="008D4E2A">
            <w:pPr>
              <w:keepNext/>
              <w:keepLines/>
              <w:bidi/>
              <w:spacing w:before="40" w:after="40"/>
              <w:rPr>
                <w:rFonts w:ascii="Calibri" w:hAnsi="Calibri" w:cs="Calibri"/>
                <w:b/>
                <w:sz w:val="20"/>
                <w:rtl/>
              </w:rPr>
            </w:pPr>
            <w:r w:rsidRPr="00A06AB9">
              <w:rPr>
                <w:rFonts w:ascii="Calibri" w:hAnsi="Calibri" w:cs="Calibri"/>
                <w:b/>
                <w:bCs/>
                <w:sz w:val="20"/>
                <w:rtl/>
              </w:rPr>
              <w:t>قانونية وسياسية</w:t>
            </w:r>
          </w:p>
        </w:tc>
        <w:tc>
          <w:tcPr>
            <w:tcW w:w="2878" w:type="pct"/>
            <w:vAlign w:val="center"/>
            <w:hideMark/>
          </w:tcPr>
          <w:p w14:paraId="2F88307E" w14:textId="28491A36"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سياسات مختلفة لتسويق البيانات</w:t>
            </w:r>
          </w:p>
        </w:tc>
        <w:tc>
          <w:tcPr>
            <w:tcW w:w="456" w:type="pct"/>
            <w:vAlign w:val="center"/>
            <w:hideMark/>
          </w:tcPr>
          <w:p w14:paraId="16B92E76"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w:t>
            </w:r>
          </w:p>
        </w:tc>
      </w:tr>
      <w:tr w:rsidR="003416FC" w:rsidRPr="00A06AB9" w14:paraId="60FD6072" w14:textId="77777777" w:rsidTr="008D4E2A">
        <w:tc>
          <w:tcPr>
            <w:tcW w:w="604" w:type="pct"/>
            <w:vMerge/>
            <w:vAlign w:val="center"/>
            <w:hideMark/>
          </w:tcPr>
          <w:p w14:paraId="5C016BFD"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3D98A55F"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240D0CE6" w14:textId="220CD64A"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مخاوف قانونية متعلقة بحقوق الملكية وإعادة توزيع بيانات الملكية الفكرية</w:t>
            </w:r>
          </w:p>
        </w:tc>
        <w:tc>
          <w:tcPr>
            <w:tcW w:w="456" w:type="pct"/>
            <w:vAlign w:val="center"/>
            <w:hideMark/>
          </w:tcPr>
          <w:p w14:paraId="23B48FC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‎5</w:t>
            </w:r>
          </w:p>
        </w:tc>
      </w:tr>
      <w:tr w:rsidR="003416FC" w:rsidRPr="00A06AB9" w14:paraId="0C14F3FE" w14:textId="77777777" w:rsidTr="008D4E2A">
        <w:tc>
          <w:tcPr>
            <w:tcW w:w="604" w:type="pct"/>
            <w:vMerge/>
            <w:vAlign w:val="center"/>
            <w:hideMark/>
          </w:tcPr>
          <w:p w14:paraId="7369DF5C"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3FAAC67B"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158D327B" w14:textId="020FA3E1"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مخاوف قانونية مرتبطة بتصحيح بيانات الملكية الفكرية</w:t>
            </w:r>
          </w:p>
        </w:tc>
        <w:tc>
          <w:tcPr>
            <w:tcW w:w="456" w:type="pct"/>
            <w:vAlign w:val="center"/>
            <w:hideMark/>
          </w:tcPr>
          <w:p w14:paraId="64D64B5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w:t>
            </w:r>
          </w:p>
        </w:tc>
      </w:tr>
      <w:tr w:rsidR="003416FC" w:rsidRPr="00A06AB9" w14:paraId="160A868E" w14:textId="77777777" w:rsidTr="008D4E2A">
        <w:tc>
          <w:tcPr>
            <w:tcW w:w="604" w:type="pct"/>
            <w:vMerge/>
            <w:vAlign w:val="center"/>
            <w:hideMark/>
          </w:tcPr>
          <w:p w14:paraId="1AE11145"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47604E2C"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54A3BA1C" w14:textId="45DB04D6"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مخاوف قانونية متعلقة بالاستضافة خارج الولاية القضائية لمكتب الملكية الفكرية الشريك.</w:t>
            </w:r>
          </w:p>
        </w:tc>
        <w:tc>
          <w:tcPr>
            <w:tcW w:w="456" w:type="pct"/>
            <w:vAlign w:val="center"/>
            <w:hideMark/>
          </w:tcPr>
          <w:p w14:paraId="2827B2FE"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w:t>
            </w:r>
          </w:p>
        </w:tc>
      </w:tr>
      <w:tr w:rsidR="003416FC" w:rsidRPr="00A06AB9" w14:paraId="625511C9" w14:textId="77777777" w:rsidTr="008D4E2A">
        <w:tc>
          <w:tcPr>
            <w:tcW w:w="604" w:type="pct"/>
            <w:vMerge/>
            <w:vAlign w:val="center"/>
            <w:hideMark/>
          </w:tcPr>
          <w:p w14:paraId="2CD8A59E"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0E566270"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230B1378" w14:textId="44090BF3" w:rsidR="003416FC" w:rsidRPr="00A06AB9" w:rsidRDefault="00173335" w:rsidP="008D4E2A">
            <w:pPr>
              <w:keepNext/>
              <w:keepLines/>
              <w:bidi/>
              <w:spacing w:before="40" w:after="40"/>
              <w:rPr>
                <w:rFonts w:ascii="Calibri" w:hAnsi="Calibri" w:cs="Calibri"/>
                <w:sz w:val="20"/>
                <w:rtl/>
              </w:rPr>
            </w:pPr>
            <w:r>
              <w:rPr>
                <w:rFonts w:ascii="Calibri" w:hAnsi="Calibri" w:cs="Calibri" w:hint="cs"/>
                <w:sz w:val="20"/>
                <w:rtl/>
              </w:rPr>
              <w:t xml:space="preserve">عدم توافق </w:t>
            </w:r>
            <w:r w:rsidR="003416FC" w:rsidRPr="00A06AB9">
              <w:rPr>
                <w:rFonts w:ascii="Calibri" w:hAnsi="Calibri" w:cs="Calibri"/>
                <w:sz w:val="20"/>
                <w:rtl/>
              </w:rPr>
              <w:t>بيانات الملكية الفكرية المُجمّعة مع متطلبات حماية البيانات الشخصية المعمول بها</w:t>
            </w:r>
          </w:p>
        </w:tc>
        <w:tc>
          <w:tcPr>
            <w:tcW w:w="456" w:type="pct"/>
            <w:vAlign w:val="center"/>
            <w:hideMark/>
          </w:tcPr>
          <w:p w14:paraId="7AF69F9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‎5</w:t>
            </w:r>
          </w:p>
        </w:tc>
      </w:tr>
      <w:tr w:rsidR="003416FC" w:rsidRPr="00A06AB9" w14:paraId="6D1C7B23" w14:textId="77777777" w:rsidTr="008D4E2A">
        <w:tc>
          <w:tcPr>
            <w:tcW w:w="604" w:type="pct"/>
            <w:vMerge/>
            <w:vAlign w:val="center"/>
            <w:hideMark/>
          </w:tcPr>
          <w:p w14:paraId="74983331" w14:textId="77777777" w:rsidR="003416FC" w:rsidRPr="00A06AB9" w:rsidRDefault="003416FC" w:rsidP="008D4E2A">
            <w:pPr>
              <w:keepNext/>
              <w:keepLines/>
              <w:spacing w:before="40" w:after="40" w:line="278" w:lineRule="auto"/>
              <w:rPr>
                <w:rFonts w:ascii="Calibri" w:hAnsi="Calibri" w:cs="Calibri"/>
                <w:sz w:val="20"/>
                <w:lang w:val="fr-FR"/>
              </w:rPr>
            </w:pPr>
          </w:p>
        </w:tc>
        <w:tc>
          <w:tcPr>
            <w:tcW w:w="1062" w:type="pct"/>
            <w:vMerge/>
            <w:vAlign w:val="center"/>
            <w:hideMark/>
          </w:tcPr>
          <w:p w14:paraId="0DF0E394" w14:textId="77777777" w:rsidR="003416FC" w:rsidRPr="00A06AB9" w:rsidRDefault="003416FC" w:rsidP="008D4E2A">
            <w:pPr>
              <w:keepNext/>
              <w:keepLines/>
              <w:spacing w:before="40" w:after="40" w:line="278" w:lineRule="auto"/>
              <w:rPr>
                <w:rFonts w:ascii="Calibri" w:hAnsi="Calibri" w:cs="Calibri"/>
                <w:b/>
                <w:sz w:val="20"/>
                <w:lang w:val="fr-FR"/>
              </w:rPr>
            </w:pPr>
          </w:p>
        </w:tc>
        <w:tc>
          <w:tcPr>
            <w:tcW w:w="2878" w:type="pct"/>
            <w:vAlign w:val="center"/>
            <w:hideMark/>
          </w:tcPr>
          <w:p w14:paraId="6D575325"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يمكن مشاركة بيانات الملكية الفكرية بشرط استخدامها لأغراض مشروعة</w:t>
            </w:r>
          </w:p>
        </w:tc>
        <w:tc>
          <w:tcPr>
            <w:tcW w:w="456" w:type="pct"/>
            <w:vAlign w:val="center"/>
            <w:hideMark/>
          </w:tcPr>
          <w:p w14:paraId="4A1D9CFD"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‎2</w:t>
            </w:r>
          </w:p>
        </w:tc>
      </w:tr>
      <w:tr w:rsidR="003416FC" w:rsidRPr="00A06AB9" w14:paraId="68D72DD4" w14:textId="77777777" w:rsidTr="008D4E2A">
        <w:tc>
          <w:tcPr>
            <w:tcW w:w="604" w:type="pct"/>
            <w:vMerge/>
            <w:vAlign w:val="center"/>
            <w:hideMark/>
          </w:tcPr>
          <w:p w14:paraId="78ACD6C3"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19B7EA28"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3F9EC8FD" w14:textId="4C16D05E"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 xml:space="preserve">غير ذلك </w:t>
            </w:r>
          </w:p>
        </w:tc>
        <w:tc>
          <w:tcPr>
            <w:tcW w:w="456" w:type="pct"/>
            <w:vAlign w:val="center"/>
            <w:hideMark/>
          </w:tcPr>
          <w:p w14:paraId="49915E30"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‎5</w:t>
            </w:r>
          </w:p>
        </w:tc>
      </w:tr>
      <w:tr w:rsidR="003416FC" w:rsidRPr="00A06AB9" w14:paraId="77A6B209" w14:textId="77777777" w:rsidTr="008D4E2A">
        <w:tc>
          <w:tcPr>
            <w:tcW w:w="604" w:type="pct"/>
            <w:vMerge/>
            <w:vAlign w:val="center"/>
            <w:hideMark/>
          </w:tcPr>
          <w:p w14:paraId="2206086A" w14:textId="77777777" w:rsidR="003416FC" w:rsidRPr="00A06AB9" w:rsidRDefault="003416FC" w:rsidP="008D4E2A">
            <w:pPr>
              <w:keepNext/>
              <w:keepLines/>
              <w:spacing w:before="40" w:after="40" w:line="278" w:lineRule="auto"/>
              <w:rPr>
                <w:rFonts w:ascii="Calibri" w:hAnsi="Calibri" w:cs="Calibri"/>
                <w:sz w:val="20"/>
                <w:lang w:val="fr-FR"/>
              </w:rPr>
            </w:pPr>
          </w:p>
        </w:tc>
        <w:tc>
          <w:tcPr>
            <w:tcW w:w="1062" w:type="pct"/>
            <w:vMerge/>
            <w:vAlign w:val="center"/>
            <w:hideMark/>
          </w:tcPr>
          <w:p w14:paraId="5C7DA1A6" w14:textId="77777777" w:rsidR="003416FC" w:rsidRPr="00A06AB9" w:rsidRDefault="003416FC" w:rsidP="008D4E2A">
            <w:pPr>
              <w:keepNext/>
              <w:keepLines/>
              <w:spacing w:before="40" w:after="40" w:line="278" w:lineRule="auto"/>
              <w:rPr>
                <w:rFonts w:ascii="Calibri" w:hAnsi="Calibri" w:cs="Calibri"/>
                <w:b/>
                <w:sz w:val="20"/>
                <w:lang w:val="fr-FR"/>
              </w:rPr>
            </w:pPr>
          </w:p>
        </w:tc>
        <w:tc>
          <w:tcPr>
            <w:tcW w:w="2878" w:type="pct"/>
            <w:vAlign w:val="center"/>
            <w:hideMark/>
          </w:tcPr>
          <w:p w14:paraId="5AAF40A9"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105067B1"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31</w:t>
            </w:r>
          </w:p>
        </w:tc>
      </w:tr>
      <w:tr w:rsidR="003416FC" w:rsidRPr="00A06AB9" w14:paraId="1BE737E1" w14:textId="77777777" w:rsidTr="008D4E2A">
        <w:tc>
          <w:tcPr>
            <w:tcW w:w="604" w:type="pct"/>
            <w:vMerge/>
            <w:vAlign w:val="center"/>
            <w:hideMark/>
          </w:tcPr>
          <w:p w14:paraId="51090113"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restart"/>
            <w:vAlign w:val="center"/>
            <w:hideMark/>
          </w:tcPr>
          <w:p w14:paraId="617B0ED7" w14:textId="2A1C388E" w:rsidR="003416FC" w:rsidRPr="00A06AB9" w:rsidRDefault="003416FC" w:rsidP="008D4E2A">
            <w:pPr>
              <w:keepNext/>
              <w:keepLines/>
              <w:bidi/>
              <w:spacing w:before="40" w:after="40"/>
              <w:rPr>
                <w:rFonts w:ascii="Calibri" w:hAnsi="Calibri" w:cs="Calibri"/>
                <w:b/>
                <w:sz w:val="20"/>
                <w:rtl/>
              </w:rPr>
            </w:pPr>
            <w:r w:rsidRPr="00A06AB9">
              <w:rPr>
                <w:rFonts w:ascii="Calibri" w:hAnsi="Calibri" w:cs="Calibri"/>
                <w:b/>
                <w:bCs/>
                <w:sz w:val="20"/>
                <w:rtl/>
              </w:rPr>
              <w:t>مالية</w:t>
            </w:r>
          </w:p>
        </w:tc>
        <w:tc>
          <w:tcPr>
            <w:tcW w:w="2878" w:type="pct"/>
            <w:vAlign w:val="center"/>
            <w:hideMark/>
          </w:tcPr>
          <w:p w14:paraId="48F53F3F" w14:textId="25DBCE99" w:rsidR="003416FC" w:rsidRPr="00A06AB9" w:rsidRDefault="00173335" w:rsidP="008D4E2A">
            <w:pPr>
              <w:keepNext/>
              <w:keepLines/>
              <w:bidi/>
              <w:spacing w:before="40" w:after="40"/>
              <w:rPr>
                <w:rFonts w:ascii="Calibri" w:hAnsi="Calibri" w:cs="Calibri"/>
                <w:sz w:val="20"/>
                <w:rtl/>
              </w:rPr>
            </w:pPr>
            <w:r>
              <w:rPr>
                <w:rFonts w:ascii="Calibri" w:hAnsi="Calibri" w:cs="Calibri" w:hint="cs"/>
                <w:sz w:val="20"/>
                <w:rtl/>
              </w:rPr>
              <w:t>رؤية</w:t>
            </w:r>
            <w:r w:rsidRPr="00A06AB9">
              <w:rPr>
                <w:rFonts w:ascii="Calibri" w:hAnsi="Calibri" w:cs="Calibri"/>
                <w:sz w:val="20"/>
                <w:rtl/>
              </w:rPr>
              <w:t xml:space="preserve"> </w:t>
            </w:r>
            <w:r w:rsidR="003416FC" w:rsidRPr="00A06AB9">
              <w:rPr>
                <w:rFonts w:ascii="Calibri" w:hAnsi="Calibri" w:cs="Calibri"/>
                <w:sz w:val="20"/>
                <w:rtl/>
              </w:rPr>
              <w:t xml:space="preserve">المكتب </w:t>
            </w:r>
            <w:r>
              <w:rPr>
                <w:rFonts w:ascii="Calibri" w:hAnsi="Calibri" w:cs="Calibri" w:hint="cs"/>
                <w:sz w:val="20"/>
                <w:rtl/>
              </w:rPr>
              <w:t>أن ب</w:t>
            </w:r>
            <w:r w:rsidR="003416FC" w:rsidRPr="00A06AB9">
              <w:rPr>
                <w:rFonts w:ascii="Calibri" w:hAnsi="Calibri" w:cs="Calibri"/>
                <w:sz w:val="20"/>
                <w:rtl/>
              </w:rPr>
              <w:t>يانات الملكية الفكرية مصدر محتمل للإيرادات للمكتب الشريك، ولا يمكن مشاركتها مجاناً</w:t>
            </w:r>
          </w:p>
        </w:tc>
        <w:tc>
          <w:tcPr>
            <w:tcW w:w="456" w:type="pct"/>
            <w:vAlign w:val="center"/>
            <w:hideMark/>
          </w:tcPr>
          <w:p w14:paraId="0388385F"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w:t>
            </w:r>
          </w:p>
        </w:tc>
      </w:tr>
      <w:tr w:rsidR="003416FC" w:rsidRPr="00A06AB9" w14:paraId="686B3557" w14:textId="77777777" w:rsidTr="008D4E2A">
        <w:tc>
          <w:tcPr>
            <w:tcW w:w="604" w:type="pct"/>
            <w:vMerge/>
            <w:vAlign w:val="center"/>
            <w:hideMark/>
          </w:tcPr>
          <w:p w14:paraId="10578264"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0831ED08"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7E5EEFF1" w14:textId="4705FF0F"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 xml:space="preserve">غير ذلك </w:t>
            </w:r>
          </w:p>
        </w:tc>
        <w:tc>
          <w:tcPr>
            <w:tcW w:w="456" w:type="pct"/>
            <w:vAlign w:val="center"/>
            <w:hideMark/>
          </w:tcPr>
          <w:p w14:paraId="1B27FEEB"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4</w:t>
            </w:r>
          </w:p>
        </w:tc>
      </w:tr>
      <w:tr w:rsidR="003416FC" w:rsidRPr="00A06AB9" w14:paraId="7336820B" w14:textId="77777777" w:rsidTr="008D4E2A">
        <w:tc>
          <w:tcPr>
            <w:tcW w:w="604" w:type="pct"/>
            <w:vMerge/>
            <w:vAlign w:val="center"/>
            <w:hideMark/>
          </w:tcPr>
          <w:p w14:paraId="73EA3EBE" w14:textId="77777777" w:rsidR="003416FC" w:rsidRPr="00A06AB9" w:rsidRDefault="003416FC" w:rsidP="008D4E2A">
            <w:pPr>
              <w:keepNext/>
              <w:keepLines/>
              <w:spacing w:before="40" w:after="40" w:line="278" w:lineRule="auto"/>
              <w:rPr>
                <w:rFonts w:ascii="Calibri" w:hAnsi="Calibri" w:cs="Calibri"/>
                <w:sz w:val="20"/>
              </w:rPr>
            </w:pPr>
          </w:p>
        </w:tc>
        <w:tc>
          <w:tcPr>
            <w:tcW w:w="1062" w:type="pct"/>
            <w:vMerge/>
            <w:vAlign w:val="center"/>
            <w:hideMark/>
          </w:tcPr>
          <w:p w14:paraId="7C75EDB0" w14:textId="77777777" w:rsidR="003416FC" w:rsidRPr="00A06AB9" w:rsidRDefault="003416FC" w:rsidP="008D4E2A">
            <w:pPr>
              <w:keepNext/>
              <w:keepLines/>
              <w:spacing w:before="40" w:after="40" w:line="278" w:lineRule="auto"/>
              <w:rPr>
                <w:rFonts w:ascii="Calibri" w:hAnsi="Calibri" w:cs="Calibri"/>
                <w:b/>
                <w:sz w:val="20"/>
              </w:rPr>
            </w:pPr>
          </w:p>
        </w:tc>
        <w:tc>
          <w:tcPr>
            <w:tcW w:w="2878" w:type="pct"/>
            <w:vAlign w:val="center"/>
            <w:hideMark/>
          </w:tcPr>
          <w:p w14:paraId="532C8414"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لا ينطبق</w:t>
            </w:r>
          </w:p>
        </w:tc>
        <w:tc>
          <w:tcPr>
            <w:tcW w:w="456" w:type="pct"/>
            <w:vAlign w:val="center"/>
            <w:hideMark/>
          </w:tcPr>
          <w:p w14:paraId="6DD3D8F1" w14:textId="77777777" w:rsidR="003416FC" w:rsidRPr="00A06AB9" w:rsidRDefault="003416FC" w:rsidP="008D4E2A">
            <w:pPr>
              <w:keepNext/>
              <w:keepLines/>
              <w:bidi/>
              <w:spacing w:before="40" w:after="40"/>
              <w:rPr>
                <w:rFonts w:ascii="Calibri" w:hAnsi="Calibri" w:cs="Calibri"/>
                <w:sz w:val="20"/>
                <w:rtl/>
              </w:rPr>
            </w:pPr>
            <w:r w:rsidRPr="00A06AB9">
              <w:rPr>
                <w:rFonts w:ascii="Calibri" w:hAnsi="Calibri" w:cs="Calibri"/>
                <w:sz w:val="20"/>
                <w:rtl/>
              </w:rPr>
              <w:t>36</w:t>
            </w:r>
          </w:p>
        </w:tc>
      </w:tr>
    </w:tbl>
    <w:p w14:paraId="5169B7A1" w14:textId="77777777" w:rsidR="003416FC" w:rsidRPr="00F5407A" w:rsidRDefault="003416FC" w:rsidP="00FC4E50">
      <w:pPr>
        <w:pStyle w:val="Caption"/>
        <w:rPr>
          <w:rFonts w:ascii="Calibri" w:hAnsi="Calibri" w:cs="Calibri"/>
          <w:sz w:val="22"/>
          <w:szCs w:val="22"/>
          <w:lang w:eastAsia="en-US"/>
        </w:rPr>
      </w:pPr>
    </w:p>
    <w:p w14:paraId="113D3031" w14:textId="2388A37B" w:rsidR="00E92819" w:rsidRPr="007E4202" w:rsidRDefault="00E92819" w:rsidP="00FC4E50">
      <w:pPr>
        <w:pStyle w:val="Caption"/>
        <w:bidi/>
        <w:rPr>
          <w:rFonts w:ascii="Calibri" w:hAnsi="Calibri" w:cs="Calibri"/>
          <w:szCs w:val="18"/>
          <w:rtl/>
        </w:rPr>
      </w:pPr>
      <w:r w:rsidRPr="007E4202">
        <w:rPr>
          <w:rStyle w:val="IntenseEmphasis"/>
          <w:rFonts w:ascii="Calibri" w:hAnsi="Calibri" w:cs="Calibri"/>
          <w:i w:val="0"/>
          <w:iCs w:val="0"/>
          <w:color w:val="auto"/>
          <w:szCs w:val="18"/>
          <w:rtl/>
        </w:rPr>
        <w:t>الجدول 2:  التحديات المبلغ عنها في إطار تقديم بيانات الملكية الفكرية وجمعها</w:t>
      </w:r>
    </w:p>
    <w:p w14:paraId="3EFE0456" w14:textId="0AF746B6" w:rsidR="005B3322" w:rsidRPr="007E4202" w:rsidRDefault="005B3322" w:rsidP="009112A6">
      <w:pPr>
        <w:pStyle w:val="Heading3"/>
        <w:bidi/>
        <w:rPr>
          <w:rFonts w:ascii="Calibri" w:hAnsi="Calibri" w:cs="Calibri"/>
          <w:b/>
          <w:bCs w:val="0"/>
          <w:szCs w:val="22"/>
          <w:rtl/>
        </w:rPr>
      </w:pPr>
      <w:r w:rsidRPr="007E4202">
        <w:rPr>
          <w:rFonts w:ascii="Calibri" w:hAnsi="Calibri" w:cs="Calibri"/>
          <w:b/>
          <w:bCs w:val="0"/>
          <w:szCs w:val="22"/>
          <w:rtl/>
        </w:rPr>
        <w:t>الحلول المقترحة</w:t>
      </w:r>
    </w:p>
    <w:p w14:paraId="153966AA" w14:textId="3B462079" w:rsidR="0000450D" w:rsidRPr="00F5407A" w:rsidRDefault="00D454EB" w:rsidP="001A65BE">
      <w:pPr>
        <w:pStyle w:val="ONUME"/>
        <w:bidi/>
        <w:rPr>
          <w:rFonts w:ascii="Calibri" w:hAnsi="Calibri" w:cs="Calibri"/>
          <w:szCs w:val="22"/>
          <w:rtl/>
        </w:rPr>
      </w:pPr>
      <w:r w:rsidRPr="00F5407A">
        <w:rPr>
          <w:rFonts w:ascii="Calibri" w:hAnsi="Calibri" w:cs="Calibri"/>
          <w:szCs w:val="22"/>
          <w:rtl/>
        </w:rPr>
        <w:t xml:space="preserve">أعرب المجيبون عن تأييدهم الكبير لعملية جمع أفضل الممارسات المتعلقة بتبادل بيانات الملكية الفكرية ومشاركتها (29 مجيباً).  وقد كان إنشاء منصة عالمية تستخدم كمركز رئيسي لتبادل البيانات هو الحل الثاني الأكثر تأييداً (20 مجيباً)، </w:t>
      </w:r>
      <w:r w:rsidR="003C18EE">
        <w:rPr>
          <w:rFonts w:ascii="Calibri" w:hAnsi="Calibri" w:cs="Calibri" w:hint="cs"/>
          <w:szCs w:val="22"/>
          <w:rtl/>
        </w:rPr>
        <w:t>يلي ذلك</w:t>
      </w:r>
      <w:r w:rsidR="003C18EE" w:rsidRPr="00F5407A">
        <w:rPr>
          <w:rFonts w:ascii="Calibri" w:hAnsi="Calibri" w:cs="Calibri"/>
          <w:szCs w:val="22"/>
          <w:rtl/>
        </w:rPr>
        <w:t xml:space="preserve"> </w:t>
      </w:r>
      <w:r w:rsidRPr="00F5407A">
        <w:rPr>
          <w:rFonts w:ascii="Calibri" w:hAnsi="Calibri" w:cs="Calibri"/>
          <w:szCs w:val="22"/>
          <w:rtl/>
        </w:rPr>
        <w:t>مباشرةً إنشاء بوابة إلكترونية تتيح للمكاتب التواصل وتبادل خبراتها في مجال تبادل البيانات (19 مجيباً).  كما أيد 14 مجيباً وضع معيار جديد للويبو يحدد الممارسات الموصى بها لتبادل بيانات الملكية الفكرية واستخدامها.  وبما أن معايير الويبو تستند إلى أفضل الممارسات، فإن الحل الأكثر ذكراً يرتبط ارتباطاً وثيقاً بالحل المتمثل بوضع معيار جديد للويبو.  وترد النتائج في الشكل 4 أدناه.</w:t>
      </w:r>
    </w:p>
    <w:p w14:paraId="792DD8E4" w14:textId="04E40A90" w:rsidR="00C345C8" w:rsidRPr="00F5407A" w:rsidRDefault="00F71370" w:rsidP="008D4E2A">
      <w:pPr>
        <w:pStyle w:val="ONUME"/>
        <w:numPr>
          <w:ilvl w:val="0"/>
          <w:numId w:val="0"/>
        </w:numPr>
        <w:bidi/>
        <w:rPr>
          <w:rFonts w:ascii="Calibri" w:hAnsi="Calibri" w:cs="Calibri"/>
          <w:szCs w:val="22"/>
        </w:rPr>
      </w:pPr>
      <w:r w:rsidRPr="00F5407A">
        <w:rPr>
          <w:rFonts w:ascii="Calibri" w:hAnsi="Calibri" w:cs="Calibri"/>
          <w:noProof/>
          <w:szCs w:val="22"/>
          <w:rtl/>
        </w:rPr>
        <w:drawing>
          <wp:inline distT="0" distB="0" distL="0" distR="0" wp14:anchorId="43C6E346" wp14:editId="7ABB4A1B">
            <wp:extent cx="5939790" cy="2495550"/>
            <wp:effectExtent l="0" t="0" r="3810" b="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EE6AE6B" w14:textId="1E120563" w:rsidR="00C345C8" w:rsidRPr="007E4202" w:rsidRDefault="00C345C8" w:rsidP="002555C0">
      <w:pPr>
        <w:pStyle w:val="Caption"/>
        <w:keepNext/>
        <w:bidi/>
        <w:spacing w:after="220"/>
        <w:rPr>
          <w:rFonts w:ascii="Calibri" w:hAnsi="Calibri" w:cs="Calibri"/>
          <w:szCs w:val="18"/>
          <w:rtl/>
        </w:rPr>
      </w:pPr>
      <w:r w:rsidRPr="007E4202">
        <w:rPr>
          <w:rStyle w:val="IntenseEmphasis"/>
          <w:rFonts w:ascii="Calibri" w:hAnsi="Calibri" w:cs="Calibri"/>
          <w:i w:val="0"/>
          <w:iCs w:val="0"/>
          <w:color w:val="auto"/>
          <w:szCs w:val="18"/>
          <w:rtl/>
        </w:rPr>
        <w:t>الشكل 4:  الحل</w:t>
      </w:r>
      <w:r w:rsidR="00FF315F">
        <w:rPr>
          <w:rStyle w:val="IntenseEmphasis"/>
          <w:rFonts w:ascii="Calibri" w:hAnsi="Calibri" w:cs="Calibri" w:hint="cs"/>
          <w:i w:val="0"/>
          <w:iCs w:val="0"/>
          <w:color w:val="auto"/>
          <w:szCs w:val="18"/>
          <w:rtl/>
        </w:rPr>
        <w:t xml:space="preserve">ول المقترحة من قبل </w:t>
      </w:r>
      <w:r w:rsidRPr="007E4202">
        <w:rPr>
          <w:rStyle w:val="IntenseEmphasis"/>
          <w:rFonts w:ascii="Calibri" w:hAnsi="Calibri" w:cs="Calibri"/>
          <w:i w:val="0"/>
          <w:iCs w:val="0"/>
          <w:color w:val="auto"/>
          <w:szCs w:val="18"/>
          <w:rtl/>
        </w:rPr>
        <w:t>المجيب</w:t>
      </w:r>
      <w:r w:rsidR="00FF315F">
        <w:rPr>
          <w:rStyle w:val="IntenseEmphasis"/>
          <w:rFonts w:ascii="Calibri" w:hAnsi="Calibri" w:cs="Calibri" w:hint="cs"/>
          <w:i w:val="0"/>
          <w:iCs w:val="0"/>
          <w:color w:val="auto"/>
          <w:szCs w:val="18"/>
          <w:rtl/>
        </w:rPr>
        <w:t>ب</w:t>
      </w:r>
      <w:r w:rsidRPr="007E4202">
        <w:rPr>
          <w:rStyle w:val="IntenseEmphasis"/>
          <w:rFonts w:ascii="Calibri" w:hAnsi="Calibri" w:cs="Calibri"/>
          <w:i w:val="0"/>
          <w:iCs w:val="0"/>
          <w:color w:val="auto"/>
          <w:szCs w:val="18"/>
          <w:rtl/>
        </w:rPr>
        <w:t>ن</w:t>
      </w:r>
    </w:p>
    <w:p w14:paraId="551DCA3F" w14:textId="2F8581C3" w:rsidR="0000450D" w:rsidRPr="00F5407A" w:rsidRDefault="00001475" w:rsidP="002555C0">
      <w:pPr>
        <w:pStyle w:val="ONUME"/>
        <w:bidi/>
        <w:rPr>
          <w:rFonts w:ascii="Calibri" w:hAnsi="Calibri" w:cs="Calibri"/>
          <w:kern w:val="2"/>
          <w:szCs w:val="22"/>
          <w:rtl/>
          <w14:ligatures w14:val="standardContextual"/>
        </w:rPr>
      </w:pPr>
      <w:r>
        <w:rPr>
          <w:rFonts w:ascii="Calibri" w:hAnsi="Calibri" w:cs="Calibri" w:hint="cs"/>
          <w:szCs w:val="22"/>
          <w:rtl/>
        </w:rPr>
        <w:t>وفي إطار</w:t>
      </w:r>
      <w:r w:rsidR="0018291B" w:rsidRPr="00F5407A">
        <w:rPr>
          <w:rFonts w:ascii="Calibri" w:hAnsi="Calibri" w:cs="Calibri"/>
          <w:szCs w:val="22"/>
          <w:rtl/>
        </w:rPr>
        <w:t xml:space="preserve"> التوصيات التقنية المقترحة التي من المقرر إدراجها في معيار الويبو بشأن تبادل بيانات الملكية الفكرية، حظيت التوصيات المتعلقة بأنساق البيانات، بما في ذلك نسق</w:t>
      </w:r>
      <w:r w:rsidR="003E72CE">
        <w:rPr>
          <w:rFonts w:ascii="Calibri" w:hAnsi="Calibri" w:cs="Calibri" w:hint="cs"/>
          <w:szCs w:val="22"/>
          <w:rtl/>
        </w:rPr>
        <w:t xml:space="preserve"> "</w:t>
      </w:r>
      <w:r w:rsidR="0018291B" w:rsidRPr="00F5407A">
        <w:rPr>
          <w:rFonts w:ascii="Calibri" w:hAnsi="Calibri" w:cs="Calibri"/>
          <w:szCs w:val="22"/>
        </w:rPr>
        <w:t>XML</w:t>
      </w:r>
      <w:r w:rsidR="003E72CE">
        <w:rPr>
          <w:rFonts w:ascii="Calibri" w:hAnsi="Calibri" w:cs="Calibri" w:hint="cs"/>
          <w:szCs w:val="22"/>
          <w:rtl/>
        </w:rPr>
        <w:t>"</w:t>
      </w:r>
      <w:r w:rsidR="0018291B" w:rsidRPr="00F5407A">
        <w:rPr>
          <w:rFonts w:ascii="Calibri" w:hAnsi="Calibri" w:cs="Calibri"/>
          <w:szCs w:val="22"/>
          <w:rtl/>
        </w:rPr>
        <w:t xml:space="preserve"> ونسق </w:t>
      </w:r>
      <w:r w:rsidR="003E72CE">
        <w:rPr>
          <w:rFonts w:ascii="Calibri" w:hAnsi="Calibri" w:cs="Calibri" w:hint="cs"/>
          <w:szCs w:val="22"/>
          <w:rtl/>
        </w:rPr>
        <w:t>"</w:t>
      </w:r>
      <w:r w:rsidR="0018291B" w:rsidRPr="00F5407A">
        <w:rPr>
          <w:rFonts w:ascii="Calibri" w:hAnsi="Calibri" w:cs="Calibri"/>
          <w:szCs w:val="22"/>
        </w:rPr>
        <w:t>JSON</w:t>
      </w:r>
      <w:r w:rsidR="003E72CE">
        <w:rPr>
          <w:rFonts w:ascii="Calibri" w:hAnsi="Calibri" w:cs="Calibri" w:hint="cs"/>
          <w:szCs w:val="22"/>
          <w:rtl/>
        </w:rPr>
        <w:t xml:space="preserve">" </w:t>
      </w:r>
      <w:r w:rsidR="0018291B" w:rsidRPr="00F5407A">
        <w:rPr>
          <w:rFonts w:ascii="Calibri" w:hAnsi="Calibri" w:cs="Calibri"/>
          <w:szCs w:val="22"/>
          <w:rtl/>
        </w:rPr>
        <w:t>وسائر الأنساق الموحدة، بأكبر قدر من التأييد (14 مجيباً).  ويلي ذلك التوصيات المتعلقة بوسائل وطرق تبادل البيانات، إذ أيد 13 مجيباً عملية إدراجها.  كما أيد 11 مجيباً التوصيات المتعلقة بالتبادل المتواتر، في حين حظيت مجالات جودة البيانات وأمن البيانات وحماية الخصوصية بتأييد 10 مجيبين و9 مجيبين على التوالي.</w:t>
      </w:r>
    </w:p>
    <w:p w14:paraId="37B3DAB1" w14:textId="015257F7" w:rsidR="0000450D" w:rsidRPr="00F5407A" w:rsidRDefault="00001475" w:rsidP="001A65BE">
      <w:pPr>
        <w:pStyle w:val="ONUME"/>
        <w:bidi/>
        <w:rPr>
          <w:rFonts w:ascii="Calibri" w:hAnsi="Calibri" w:cs="Calibri"/>
          <w:kern w:val="2"/>
          <w:szCs w:val="22"/>
          <w:rtl/>
          <w14:ligatures w14:val="standardContextual"/>
        </w:rPr>
      </w:pPr>
      <w:r>
        <w:rPr>
          <w:rFonts w:ascii="Calibri" w:hAnsi="Calibri" w:cs="Calibri" w:hint="cs"/>
          <w:szCs w:val="22"/>
          <w:rtl/>
        </w:rPr>
        <w:t>وفي إطار</w:t>
      </w:r>
      <w:r w:rsidR="00D56FD4" w:rsidRPr="00F5407A">
        <w:rPr>
          <w:rFonts w:ascii="Calibri" w:hAnsi="Calibri" w:cs="Calibri"/>
          <w:szCs w:val="22"/>
          <w:rtl/>
        </w:rPr>
        <w:t xml:space="preserve"> التوصيات القانونية والسياسية المقترحة، حظي مبدأ المعاملة بالمثل بين المكاتب الشريكة بأكبر قدر من التأييد (11 مجيباً).  وأيد 10 مجيبين التوصيات التي تطالب بتسجيل نطاق توزيع البيانات المتفق عليه، إلى جانب الصلاحيات المرتبطة بذلك، بشكل واضح في اتفاقات التبادل الرسمية.  وقد أُشير إلى التوصيات المتعلقة بإعادة توزيع البيانات على أطراف ثالثة وإلى الموافقة على الاستخدام الداخلي للبيانات المتبادلة (9 مجيبين لكل منهما)، في حين أشار 8 مجيبين إلى الموافقة على الاستخدام الخارجي للبيانات.  وأكد مجيب واحد أنه ينبغي للتوصيات أن تعزز أكبر قدر ممكن من الشفافية في بيانات البراءات، وأن تشير إلى الأحكام الحالية المعتمدة على مستوى مجموعة </w:t>
      </w:r>
      <w:r w:rsidR="00D56FD4" w:rsidRPr="00F5407A">
        <w:rPr>
          <w:rFonts w:ascii="Calibri" w:hAnsi="Calibri" w:cs="Calibri"/>
          <w:szCs w:val="22"/>
        </w:rPr>
        <w:t>IP5</w:t>
      </w:r>
      <w:r w:rsidR="00D56FD4" w:rsidRPr="00F5407A">
        <w:rPr>
          <w:rFonts w:ascii="Calibri" w:hAnsi="Calibri" w:cs="Calibri"/>
          <w:szCs w:val="22"/>
          <w:rtl/>
        </w:rPr>
        <w:t xml:space="preserve"> كنموذج محتمل.</w:t>
      </w:r>
    </w:p>
    <w:p w14:paraId="2B35ECD2" w14:textId="4ADDA7DF" w:rsidR="002928D3" w:rsidRPr="00F5407A" w:rsidRDefault="00001475" w:rsidP="001A65BE">
      <w:pPr>
        <w:pStyle w:val="ONUME"/>
        <w:bidi/>
        <w:rPr>
          <w:rFonts w:ascii="Calibri" w:hAnsi="Calibri" w:cs="Calibri"/>
          <w:szCs w:val="22"/>
          <w:rtl/>
        </w:rPr>
      </w:pPr>
      <w:r>
        <w:rPr>
          <w:rFonts w:ascii="Calibri" w:hAnsi="Calibri" w:cs="Calibri" w:hint="cs"/>
          <w:szCs w:val="22"/>
          <w:rtl/>
        </w:rPr>
        <w:t>وفي إطار</w:t>
      </w:r>
      <w:r w:rsidRPr="00F5407A">
        <w:rPr>
          <w:rFonts w:ascii="Calibri" w:hAnsi="Calibri" w:cs="Calibri"/>
          <w:szCs w:val="22"/>
          <w:rtl/>
        </w:rPr>
        <w:t xml:space="preserve"> </w:t>
      </w:r>
      <w:r w:rsidR="00D0215D" w:rsidRPr="00F5407A">
        <w:rPr>
          <w:rFonts w:ascii="Calibri" w:hAnsi="Calibri" w:cs="Calibri"/>
          <w:szCs w:val="22"/>
          <w:rtl/>
        </w:rPr>
        <w:t xml:space="preserve">التوصيات الإجرائية والتشغيلية المقترحة، حظيت نماذج أو أمثلة اتفاقات تبادل البيانات، مثل مذكرات التفاهم ومذكرات التعاون وشروط الاستخدام، بأكبر قدر من التأييد (10 مجيبين).  </w:t>
      </w:r>
      <w:r>
        <w:rPr>
          <w:rFonts w:ascii="Calibri" w:hAnsi="Calibri" w:cs="Calibri" w:hint="cs"/>
          <w:szCs w:val="22"/>
          <w:rtl/>
        </w:rPr>
        <w:t xml:space="preserve">كما </w:t>
      </w:r>
      <w:r w:rsidR="00D0215D" w:rsidRPr="00F5407A">
        <w:rPr>
          <w:rFonts w:ascii="Calibri" w:hAnsi="Calibri" w:cs="Calibri"/>
          <w:szCs w:val="22"/>
          <w:rtl/>
        </w:rPr>
        <w:t>أيد 9 مجيبين التوصيات المتعلقة بهياكل التكلفة، بما في ذلك ما إذا كان ينبغي توفير البيانات مجانًا أم على أساس استرداد التكلفة الحدية.  كما أشار 7 مجيبين إلى التوجيهات بشأن عمليات التشاور من أجل التعاون في مجال تبادل البيانات، في حين أيد 6 مجيبين التوصيات المتعلقة بالمسائل الأخرى ذات الصلة بالمشاورات والمفاوضات.  وقد قام مجيب واحد بإعادة التأكيد على أنه يجب لأي توجيهات إجرائية أن تسعى إلى تعزيز الشفافية في البيانات.</w:t>
      </w:r>
    </w:p>
    <w:p w14:paraId="2D7F9D1F" w14:textId="347DF1BA" w:rsidR="00884A68" w:rsidRPr="007E4202" w:rsidRDefault="0022326D" w:rsidP="009112A6">
      <w:pPr>
        <w:pStyle w:val="Heading3"/>
        <w:bidi/>
        <w:rPr>
          <w:rFonts w:ascii="Calibri" w:hAnsi="Calibri" w:cs="Calibri"/>
          <w:b/>
          <w:bCs w:val="0"/>
          <w:szCs w:val="22"/>
          <w:rtl/>
        </w:rPr>
      </w:pPr>
      <w:r>
        <w:rPr>
          <w:rFonts w:ascii="Calibri" w:hAnsi="Calibri" w:cs="Calibri" w:hint="cs"/>
          <w:b/>
          <w:bCs w:val="0"/>
          <w:szCs w:val="22"/>
          <w:rtl/>
        </w:rPr>
        <w:t>ال</w:t>
      </w:r>
      <w:r w:rsidR="00DD5482" w:rsidRPr="007E4202">
        <w:rPr>
          <w:rFonts w:ascii="Calibri" w:hAnsi="Calibri" w:cs="Calibri"/>
          <w:b/>
          <w:bCs w:val="0"/>
          <w:szCs w:val="22"/>
          <w:rtl/>
        </w:rPr>
        <w:t xml:space="preserve">إطار </w:t>
      </w:r>
      <w:r>
        <w:rPr>
          <w:rFonts w:ascii="Calibri" w:hAnsi="Calibri" w:cs="Calibri" w:hint="cs"/>
          <w:b/>
          <w:bCs w:val="0"/>
          <w:szCs w:val="22"/>
          <w:rtl/>
        </w:rPr>
        <w:t>ال</w:t>
      </w:r>
      <w:r w:rsidR="00DD5482" w:rsidRPr="007E4202">
        <w:rPr>
          <w:rFonts w:ascii="Calibri" w:hAnsi="Calibri" w:cs="Calibri"/>
          <w:b/>
          <w:bCs w:val="0"/>
          <w:szCs w:val="22"/>
          <w:rtl/>
        </w:rPr>
        <w:t>قانوني و</w:t>
      </w:r>
      <w:r>
        <w:rPr>
          <w:rFonts w:ascii="Calibri" w:hAnsi="Calibri" w:cs="Calibri" w:hint="cs"/>
          <w:b/>
          <w:bCs w:val="0"/>
          <w:szCs w:val="22"/>
          <w:rtl/>
        </w:rPr>
        <w:t>ال</w:t>
      </w:r>
      <w:r w:rsidR="00DD5482" w:rsidRPr="007E4202">
        <w:rPr>
          <w:rFonts w:ascii="Calibri" w:hAnsi="Calibri" w:cs="Calibri"/>
          <w:b/>
          <w:bCs w:val="0"/>
          <w:szCs w:val="22"/>
          <w:rtl/>
        </w:rPr>
        <w:t xml:space="preserve">تعاقدي </w:t>
      </w:r>
      <w:r>
        <w:rPr>
          <w:rFonts w:ascii="Calibri" w:hAnsi="Calibri" w:cs="Calibri" w:hint="cs"/>
          <w:b/>
          <w:bCs w:val="0"/>
          <w:szCs w:val="22"/>
          <w:rtl/>
        </w:rPr>
        <w:t xml:space="preserve">الذي يحكم </w:t>
      </w:r>
      <w:r w:rsidR="00DD5482" w:rsidRPr="007E4202">
        <w:rPr>
          <w:rFonts w:ascii="Calibri" w:hAnsi="Calibri" w:cs="Calibri"/>
          <w:b/>
          <w:bCs w:val="0"/>
          <w:szCs w:val="22"/>
          <w:rtl/>
        </w:rPr>
        <w:t>تبادل البيانات</w:t>
      </w:r>
    </w:p>
    <w:p w14:paraId="2DF0C3A6" w14:textId="7B270FEC" w:rsidR="00E918F4" w:rsidRPr="00F5407A" w:rsidRDefault="00684299" w:rsidP="00E918F4">
      <w:pPr>
        <w:pStyle w:val="ONUME"/>
        <w:bidi/>
        <w:rPr>
          <w:rFonts w:ascii="Calibri" w:hAnsi="Calibri" w:cs="Calibri"/>
          <w:szCs w:val="22"/>
          <w:rtl/>
        </w:rPr>
      </w:pPr>
      <w:r w:rsidRPr="00F5407A">
        <w:rPr>
          <w:rFonts w:ascii="Calibri" w:hAnsi="Calibri" w:cs="Calibri"/>
          <w:szCs w:val="22"/>
          <w:rtl/>
        </w:rPr>
        <w:t>فيما يتعلق بما إذا كانت المكاتب خاضعة للقوانين الوطنية أو الإقليمية التي تنظم نقل بيانات الملكية الفكرية عبر الحدود، انقسمت الردود بشكل متساوٍ تقريبًا: إذ أكد 22 مجيباً (52.4 في المائة) أن مثل هذه القوانين أو اللوائح تنطبق في حالتهم، في حين أفاد 20 مجيباً (47.6 في المائة) بعدم وجود مثل هذه المتطلبات.  وقد برزت تشريعات حماية البيانات الشخصية باعتبارها الفئة الأكثر ذكراً بين المجيبين الذين يخضعون لأطر قانونية ذات صلة، إذ أشار العديد من المجيبين إلى صياغة قوانين على غرار أطر حماية البيانات الشائعة أو تطبيقها بشكل مباشر، أو إلى القوانين الوطنية المماثلة لحماية البيانات الشخصية.  كما أشار العديد من المجيبين إلى التشريعات الخاصة بالملكية الفكرية، مثل لوائح البراءات والعلامات التجارية، أو الأطر الأوسع نطاقاً المتعلقة بحوكمة البيانات والأمن السيبراني.  وأشار عدد قليل من المجيبين إلى قيود أكثر تحديدًا، مثل القيود المفروضة على مشاركة البيانات مع أطراف ثالثة بموجب مذكرات تفاهم، أو اشتراط الحصول على موافقة وزارة الدفاع بشأن طلبات محددة للبراءات، مما يوضح أنه على الرغم من أن حماية البيانات الشخصية هي الدافع القانوني الرئيسي، فإن اللوائح الإضافية الخاصة بقطاعات معينة أو المتعلقة بالأمن تؤثر أيضًا على ممارسات نقل البيانات عبر الحدود.  وترد النتائج في الجدول 5 أدناه.</w:t>
      </w:r>
    </w:p>
    <w:p w14:paraId="0B727B89" w14:textId="77777777" w:rsidR="00B76D30" w:rsidRPr="00F5407A" w:rsidRDefault="00B76D30" w:rsidP="00B76D30">
      <w:pPr>
        <w:bidi/>
        <w:rPr>
          <w:rFonts w:ascii="Calibri" w:hAnsi="Calibri" w:cs="Calibri"/>
          <w:szCs w:val="22"/>
          <w:rtl/>
        </w:rPr>
      </w:pPr>
      <w:r w:rsidRPr="00F5407A">
        <w:rPr>
          <w:rFonts w:ascii="Calibri" w:hAnsi="Calibri" w:cs="Calibri"/>
          <w:noProof/>
          <w:szCs w:val="22"/>
          <w:rtl/>
        </w:rPr>
        <w:drawing>
          <wp:inline distT="0" distB="0" distL="0" distR="0" wp14:anchorId="29FB7750" wp14:editId="3F1F2131">
            <wp:extent cx="5724000" cy="2187245"/>
            <wp:effectExtent l="0" t="0" r="0" b="3810"/>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ABCAE30" w14:textId="77777777" w:rsidR="001B5747" w:rsidRPr="00F5407A" w:rsidRDefault="001B5747" w:rsidP="00617B2C">
      <w:pPr>
        <w:pStyle w:val="Caption"/>
        <w:rPr>
          <w:rStyle w:val="IntenseEmphasis"/>
          <w:rFonts w:ascii="Calibri" w:hAnsi="Calibri" w:cs="Calibri"/>
          <w:i w:val="0"/>
          <w:iCs w:val="0"/>
          <w:color w:val="auto"/>
          <w:sz w:val="22"/>
          <w:szCs w:val="22"/>
        </w:rPr>
      </w:pPr>
    </w:p>
    <w:p w14:paraId="41F9DF62" w14:textId="603CE226" w:rsidR="00B76D30" w:rsidRPr="007E4202" w:rsidRDefault="00B76D30" w:rsidP="002555C0">
      <w:pPr>
        <w:pStyle w:val="Caption"/>
        <w:bidi/>
        <w:spacing w:after="220"/>
        <w:rPr>
          <w:rFonts w:ascii="Calibri" w:hAnsi="Calibri" w:cs="Calibri"/>
          <w:szCs w:val="18"/>
          <w:rtl/>
        </w:rPr>
      </w:pPr>
      <w:r w:rsidRPr="007E4202">
        <w:rPr>
          <w:rStyle w:val="IntenseEmphasis"/>
          <w:rFonts w:ascii="Calibri" w:hAnsi="Calibri" w:cs="Calibri"/>
          <w:i w:val="0"/>
          <w:iCs w:val="0"/>
          <w:color w:val="auto"/>
          <w:szCs w:val="18"/>
          <w:rtl/>
        </w:rPr>
        <w:t>الشكل 5:  القوانين الوطنية والإقليمية التي تنظم نقل بيانات الملكية الفكرية عبر الحدود</w:t>
      </w:r>
    </w:p>
    <w:p w14:paraId="114C5951" w14:textId="072CB688" w:rsidR="00684299" w:rsidRPr="00F5407A" w:rsidRDefault="000B39F9" w:rsidP="002555C0">
      <w:pPr>
        <w:pStyle w:val="ONUME"/>
        <w:bidi/>
        <w:rPr>
          <w:rFonts w:ascii="Calibri" w:hAnsi="Calibri" w:cs="Calibri"/>
          <w:szCs w:val="22"/>
          <w:rtl/>
        </w:rPr>
      </w:pPr>
      <w:r>
        <w:rPr>
          <w:rFonts w:ascii="Calibri" w:hAnsi="Calibri" w:cs="Calibri" w:hint="cs"/>
          <w:szCs w:val="22"/>
          <w:rtl/>
        </w:rPr>
        <w:t>و</w:t>
      </w:r>
      <w:r w:rsidR="0031421C" w:rsidRPr="00F5407A">
        <w:rPr>
          <w:rFonts w:ascii="Calibri" w:hAnsi="Calibri" w:cs="Calibri"/>
          <w:szCs w:val="22"/>
          <w:rtl/>
        </w:rPr>
        <w:t xml:space="preserve">فيما يتعلق بشرط وجود اتفاقات رسمية مكتوبة تنظم تبادل البيانات مع مكاتب الملكية الفكرية الأخرى، </w:t>
      </w:r>
      <w:r>
        <w:rPr>
          <w:rFonts w:ascii="Calibri" w:hAnsi="Calibri" w:cs="Calibri" w:hint="cs"/>
          <w:szCs w:val="22"/>
          <w:rtl/>
        </w:rPr>
        <w:t>تمثل</w:t>
      </w:r>
      <w:r w:rsidRPr="00F5407A">
        <w:rPr>
          <w:rFonts w:ascii="Calibri" w:hAnsi="Calibri" w:cs="Calibri"/>
          <w:szCs w:val="22"/>
          <w:rtl/>
        </w:rPr>
        <w:t xml:space="preserve"> </w:t>
      </w:r>
      <w:r w:rsidR="0031421C" w:rsidRPr="00F5407A">
        <w:rPr>
          <w:rFonts w:ascii="Calibri" w:hAnsi="Calibri" w:cs="Calibri"/>
          <w:szCs w:val="22"/>
          <w:rtl/>
        </w:rPr>
        <w:t>الرد الأكثر شيوعًا (25 مجيباً)</w:t>
      </w:r>
      <w:r>
        <w:rPr>
          <w:rFonts w:ascii="Calibri" w:hAnsi="Calibri" w:cs="Calibri" w:hint="cs"/>
          <w:szCs w:val="22"/>
          <w:rtl/>
        </w:rPr>
        <w:t xml:space="preserve"> في</w:t>
      </w:r>
      <w:r w:rsidRPr="00F5407A">
        <w:rPr>
          <w:rFonts w:ascii="Calibri" w:hAnsi="Calibri" w:cs="Calibri"/>
          <w:szCs w:val="22"/>
          <w:rtl/>
        </w:rPr>
        <w:t xml:space="preserve"> </w:t>
      </w:r>
      <w:r w:rsidR="0031421C" w:rsidRPr="00F5407A">
        <w:rPr>
          <w:rFonts w:ascii="Calibri" w:hAnsi="Calibri" w:cs="Calibri"/>
          <w:szCs w:val="22"/>
          <w:rtl/>
        </w:rPr>
        <w:t xml:space="preserve">ضرورة إبرام عقد ثنائي أو مذكرة تفاهم أو مذكرة تعاون أو وضع شروط للاستخدام.  وقد أشار عدد أقل من المجيبين إلى اتباع نُهج أكثر مرونة؛ على سبيل المثال، ذكر 7 مجيبين أن الاتفاقات الرسمية موصى بها ولكنها ليست إلزامية، في حين ذكر 7 مجيبين آخرين أن المتطلبات تعتمد على الظروف المحددة لعملية التبادل، مثل ما إذا كانت البيانات تتضمن معلومات شخصية أو بيانات خاصة بالملكية الفكرية غير متاحة للجمهور.  وطلب مجيبان فقط الحصول على ترخيص موحد للبيانات المفتوحة، بينما أفاد 5 مجيبين بأنهم يتبادلون البيانات المفتوحة دون أي اتفاقات رسمية على الإطلاق.  بالإضافة إلى ذلك، أشار 7 مجيبين إلى أن هذا السؤال لا ينطبق على حالتهم، إذ أن مكاتبهم لا تتبادل حالياً بيانات الملكية الفكرية.  </w:t>
      </w:r>
      <w:r w:rsidR="007347EB">
        <w:rPr>
          <w:rFonts w:ascii="Calibri" w:hAnsi="Calibri" w:cs="Calibri" w:hint="cs"/>
          <w:szCs w:val="22"/>
          <w:rtl/>
        </w:rPr>
        <w:t>و</w:t>
      </w:r>
      <w:r w:rsidR="0031421C" w:rsidRPr="00F5407A">
        <w:rPr>
          <w:rFonts w:ascii="Calibri" w:hAnsi="Calibri" w:cs="Calibri"/>
          <w:szCs w:val="22"/>
          <w:rtl/>
        </w:rPr>
        <w:t>أشارت التعليقات إلى أن الممارسات غالبًا ما تتحدد وفقًا لنوع البيانات المعنية، إذ يبرم بعض المجيبين مذكرات تفاهم قائمة على نماذج جاهزة خصيصًا للامتثال لقوانين حماية البيانات الشخصية، في حين يعتمد آخرون على تقديم البيانات عن طريق مواقع إلكترونية مفتوحة ومتاحة مجانًا بدلاً من الاتفاقات الرسمية.</w:t>
      </w:r>
    </w:p>
    <w:p w14:paraId="7CA8AE33" w14:textId="6BF8D3E9" w:rsidR="00684299" w:rsidRPr="00F5407A" w:rsidRDefault="00684299" w:rsidP="001A65BE">
      <w:pPr>
        <w:pStyle w:val="ONUME"/>
        <w:bidi/>
        <w:rPr>
          <w:rFonts w:ascii="Calibri" w:hAnsi="Calibri" w:cs="Calibri"/>
          <w:szCs w:val="22"/>
          <w:rtl/>
        </w:rPr>
      </w:pPr>
      <w:r w:rsidRPr="00F5407A">
        <w:rPr>
          <w:rFonts w:ascii="Calibri" w:hAnsi="Calibri" w:cs="Calibri"/>
          <w:szCs w:val="22"/>
          <w:rtl/>
        </w:rPr>
        <w:t xml:space="preserve">أما فيما يتعلق بالاتفاقات الرسمية المتعلقة بتزويد أطراف ثالثة بالبيانات، فقد تباينت الممارسات بشكل أكبر.  إذ أفاد 10 مجيبين بأنهم يشترطون إبرام اتفاقات رسمية مع أي طرف ثالث، في حين يشترط 6 مجيبين إبرام اتفاقات فقط في إطار الوصول إلى البيانات الضخمة أو عبر واجهات </w:t>
      </w:r>
      <w:r w:rsidR="0038213A">
        <w:rPr>
          <w:rFonts w:ascii="Calibri" w:hAnsi="Calibri" w:cs="Calibri" w:hint="cs"/>
          <w:szCs w:val="22"/>
          <w:rtl/>
        </w:rPr>
        <w:t>"</w:t>
      </w:r>
      <w:r w:rsidRPr="00F5407A">
        <w:rPr>
          <w:rFonts w:ascii="Calibri" w:hAnsi="Calibri" w:cs="Calibri"/>
          <w:szCs w:val="22"/>
        </w:rPr>
        <w:t>API</w:t>
      </w:r>
      <w:r w:rsidR="0038213A">
        <w:rPr>
          <w:rFonts w:ascii="Calibri" w:hAnsi="Calibri" w:cs="Calibri" w:hint="cs"/>
          <w:szCs w:val="22"/>
          <w:rtl/>
        </w:rPr>
        <w:t>"</w:t>
      </w:r>
      <w:r w:rsidR="0038213A" w:rsidRPr="00F5407A">
        <w:rPr>
          <w:rFonts w:ascii="Calibri" w:hAnsi="Calibri" w:cs="Calibri"/>
          <w:szCs w:val="22"/>
          <w:rtl/>
        </w:rPr>
        <w:t xml:space="preserve"> </w:t>
      </w:r>
      <w:r w:rsidRPr="00F5407A">
        <w:rPr>
          <w:rFonts w:ascii="Calibri" w:hAnsi="Calibri" w:cs="Calibri"/>
          <w:szCs w:val="22"/>
          <w:rtl/>
        </w:rPr>
        <w:t xml:space="preserve">وأشار 9 مجيبين إلى أن المتطلبات تعتمد على الشروط المحددة في اتفاقاتهم الثنائية الحالية بشأن تبادل البيانات.  وأفاد مجيب واحد فقط بضرورة وجود اتفاق مخصص حصريًّا للمستخدمين التجاريين، في حين أفاد 6 مجيبين بعدم وجود أي شرط لإبرام اتفاق على الإطلاق بسبب سياسات البيانات المفتوحة.  وقد اختار 8 مجيبين خيار </w:t>
      </w:r>
      <w:r w:rsidR="0038213A">
        <w:rPr>
          <w:rFonts w:ascii="Calibri" w:hAnsi="Calibri" w:cs="Calibri" w:hint="cs"/>
          <w:szCs w:val="22"/>
          <w:rtl/>
        </w:rPr>
        <w:t>"</w:t>
      </w:r>
      <w:r w:rsidRPr="00F5407A">
        <w:rPr>
          <w:rFonts w:ascii="Calibri" w:hAnsi="Calibri" w:cs="Calibri"/>
          <w:szCs w:val="22"/>
          <w:rtl/>
        </w:rPr>
        <w:t>غير ذلك</w:t>
      </w:r>
      <w:r w:rsidR="0038213A">
        <w:rPr>
          <w:rFonts w:ascii="Calibri" w:hAnsi="Calibri" w:cs="Calibri" w:hint="cs"/>
          <w:szCs w:val="22"/>
          <w:rtl/>
        </w:rPr>
        <w:t>"،</w:t>
      </w:r>
      <w:r w:rsidR="0038213A" w:rsidRPr="00F5407A">
        <w:rPr>
          <w:rFonts w:ascii="Calibri" w:hAnsi="Calibri" w:cs="Calibri"/>
          <w:szCs w:val="22"/>
          <w:rtl/>
        </w:rPr>
        <w:t xml:space="preserve"> </w:t>
      </w:r>
      <w:r w:rsidRPr="00F5407A">
        <w:rPr>
          <w:rFonts w:ascii="Calibri" w:hAnsi="Calibri" w:cs="Calibri"/>
          <w:szCs w:val="22"/>
          <w:rtl/>
        </w:rPr>
        <w:t>مع الإشارة إلى ممارسات متنوعة مثل نماذج الوصول المتدرجة التي تجمع بين البيانات المفتوحة والوصول إلى الأرشيف مقابل رسوم، واتفاقات الاستخدام العادل للبيانات، أو حتى عدم وضع أي ترتيبات لمشاركة البيانات مع أطراف ثالثة مطلقاً.  وبشكل عام، تشير هذه الردود إلى أنه في حين يطبق العديد من المجيبين قواعد متسقة ذات مراحل مشروطة فيما يتعلق بوصول الأطراف الثالثة إلى البيانات، مع التمييز غالبًا بين الاستخدام التجاري وغير التجاري، أو بين الوصول إلى البيانات الضخمة أو الفردية، فإن مجموعة ملحوظة من المجيبين يواصلون العمل على تطوير سياساتهم المتعلقة بمشاركة البيانات مع الأطراف الثالثة أو إضفاء الطابع الرسمي عليها، لا سيما في ضوء التطور المستمر للوائح حماية البيانات الشخصية.</w:t>
      </w:r>
    </w:p>
    <w:p w14:paraId="6826C38B" w14:textId="56AAFA87" w:rsidR="00953F99" w:rsidRPr="007E4202" w:rsidRDefault="00953F99" w:rsidP="009112A6">
      <w:pPr>
        <w:pStyle w:val="Heading3"/>
        <w:bidi/>
        <w:rPr>
          <w:rFonts w:ascii="Calibri" w:hAnsi="Calibri" w:cs="Calibri"/>
          <w:b/>
          <w:bCs w:val="0"/>
          <w:szCs w:val="22"/>
          <w:rtl/>
        </w:rPr>
      </w:pPr>
      <w:r w:rsidRPr="007E4202">
        <w:rPr>
          <w:rFonts w:ascii="Calibri" w:hAnsi="Calibri" w:cs="Calibri"/>
          <w:b/>
          <w:bCs w:val="0"/>
          <w:szCs w:val="22"/>
          <w:rtl/>
        </w:rPr>
        <w:t>شروط تقديم بيانات الملكية الفكرية واستخدامها ونشرها.</w:t>
      </w:r>
    </w:p>
    <w:p w14:paraId="633986DC" w14:textId="433D0DAF" w:rsidR="0000450D" w:rsidRPr="00F5407A" w:rsidRDefault="00A974E0" w:rsidP="001A65BE">
      <w:pPr>
        <w:pStyle w:val="ONUME"/>
        <w:bidi/>
        <w:rPr>
          <w:rFonts w:ascii="Calibri" w:hAnsi="Calibri" w:cs="Calibri"/>
          <w:szCs w:val="22"/>
          <w:rtl/>
        </w:rPr>
      </w:pPr>
      <w:r w:rsidRPr="00F5407A">
        <w:rPr>
          <w:rFonts w:ascii="Calibri" w:hAnsi="Calibri" w:cs="Calibri"/>
          <w:szCs w:val="22"/>
          <w:rtl/>
        </w:rPr>
        <w:t>أشار المجيبون إلى عدة أساليب للموافقة على استخدام بيانات الملكية الفكرية المتبادلة ونشرها اللاحق.  وقد كان التشاور المباشر بين المجيبين المعنيين هو النهج الأكثر اتباعاً (22 مجيباً).  كما اعتمد 10 مجيبين على التشريعات الوطنية أو الإقليمية المعمول بها، في حين أشار 6 مجيبين إلى عدم اشتراط وجود أي موافقة.  وأفاد 6 مجيبين آخرين باتباع أساليب أخرى، بما في ذلك الامتثال لأحكام المعاهدات الإقليمية أو الدولية.  وترد النتائج في الشكل 6 أدناه.</w:t>
      </w:r>
    </w:p>
    <w:p w14:paraId="4D897D18" w14:textId="14F34C68" w:rsidR="00912D09" w:rsidRPr="00F5407A" w:rsidRDefault="00C677E6">
      <w:pPr>
        <w:bidi/>
        <w:spacing w:after="240"/>
        <w:rPr>
          <w:rFonts w:ascii="Calibri" w:hAnsi="Calibri" w:cs="Calibri"/>
          <w:szCs w:val="22"/>
          <w:rtl/>
        </w:rPr>
      </w:pPr>
      <w:r w:rsidRPr="00F5407A">
        <w:rPr>
          <w:rFonts w:ascii="Calibri" w:hAnsi="Calibri" w:cs="Calibri"/>
          <w:noProof/>
          <w:szCs w:val="22"/>
          <w:rtl/>
        </w:rPr>
        <w:drawing>
          <wp:inline distT="0" distB="0" distL="0" distR="0" wp14:anchorId="1B0A40C1" wp14:editId="1D2BB765">
            <wp:extent cx="5940000" cy="3200400"/>
            <wp:effectExtent l="0" t="0" r="381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23574AE" w14:textId="4A90CF95" w:rsidR="00C677E6" w:rsidRPr="007E4202" w:rsidRDefault="00195505" w:rsidP="0080753F">
      <w:pPr>
        <w:pStyle w:val="Caption"/>
        <w:bidi/>
        <w:spacing w:after="220"/>
        <w:rPr>
          <w:rFonts w:ascii="Calibri" w:hAnsi="Calibri" w:cs="Calibri"/>
          <w:szCs w:val="18"/>
          <w:rtl/>
        </w:rPr>
      </w:pPr>
      <w:r w:rsidRPr="007E4202">
        <w:rPr>
          <w:rStyle w:val="IntenseEmphasis"/>
          <w:rFonts w:ascii="Calibri" w:hAnsi="Calibri" w:cs="Calibri"/>
          <w:i w:val="0"/>
          <w:iCs w:val="0"/>
          <w:color w:val="auto"/>
          <w:szCs w:val="18"/>
          <w:rtl/>
        </w:rPr>
        <w:t>الشكل 6:  طرق الموافقة على استخدام بيانات الملكية الفكرية المتبادلة ونشرها على نطاق أوسع</w:t>
      </w:r>
    </w:p>
    <w:p w14:paraId="7F3BD8FB" w14:textId="6DEA1C9B" w:rsidR="0000450D" w:rsidRPr="00F5407A" w:rsidRDefault="002751DF" w:rsidP="0080753F">
      <w:pPr>
        <w:pStyle w:val="ONUME"/>
        <w:bidi/>
        <w:rPr>
          <w:rFonts w:ascii="Calibri" w:hAnsi="Calibri" w:cs="Calibri"/>
          <w:kern w:val="2"/>
          <w:szCs w:val="22"/>
          <w:rtl/>
          <w14:ligatures w14:val="standardContextual"/>
        </w:rPr>
      </w:pPr>
      <w:r w:rsidRPr="00F5407A">
        <w:rPr>
          <w:rFonts w:ascii="Calibri" w:hAnsi="Calibri" w:cs="Calibri"/>
          <w:szCs w:val="22"/>
          <w:rtl/>
        </w:rPr>
        <w:t xml:space="preserve">كان الاتفاق الثنائي هو النهج السائد في مجال المعاملة بالمثل (25 مجيباً).  وسمح 11 مجيباً بمشاركة البيانات من جانب واحد دون اشتراط المعاملة بالمثل، في حين أشار 7 مجيبين إلى أنهم يتبادلون البيانات دون الحاجة إلى إجراء مطابقة دقيقة من نوع (واحد لواحد).  وأشار 3 مجيبين فقط إلى أنهم يشترطون أن تتطابق فئات البيانات المتبادلة بين الطرفين تطابقًا تامًا. </w:t>
      </w:r>
    </w:p>
    <w:p w14:paraId="63FEB31B" w14:textId="5361C5CD" w:rsidR="0000450D" w:rsidRPr="00F5407A" w:rsidRDefault="0082277F" w:rsidP="001A65BE">
      <w:pPr>
        <w:pStyle w:val="ONUME"/>
        <w:bidi/>
        <w:rPr>
          <w:rFonts w:ascii="Calibri" w:hAnsi="Calibri" w:cs="Calibri"/>
          <w:szCs w:val="22"/>
          <w:rtl/>
        </w:rPr>
      </w:pPr>
      <w:r w:rsidRPr="00F5407A">
        <w:rPr>
          <w:rFonts w:ascii="Calibri" w:hAnsi="Calibri" w:cs="Calibri"/>
          <w:szCs w:val="22"/>
          <w:rtl/>
        </w:rPr>
        <w:t xml:space="preserve">أما الآراء بشأن إعادة التوزيع، فقد كانت أكثر تباينًا.  </w:t>
      </w:r>
      <w:r w:rsidR="007D598C">
        <w:rPr>
          <w:rFonts w:ascii="Calibri" w:hAnsi="Calibri" w:cs="Calibri" w:hint="cs"/>
          <w:szCs w:val="22"/>
          <w:rtl/>
        </w:rPr>
        <w:t xml:space="preserve">إذ </w:t>
      </w:r>
      <w:r w:rsidRPr="00F5407A">
        <w:rPr>
          <w:rFonts w:ascii="Calibri" w:hAnsi="Calibri" w:cs="Calibri"/>
          <w:szCs w:val="22"/>
          <w:rtl/>
        </w:rPr>
        <w:t xml:space="preserve">أيد 12 مجيباً (28.6 في المائة) إعادة التوزيع بشرط فرض قيود محددة على الاستخدام، في حين اختار 12 مجيباً (28.6 في المائة) خيار </w:t>
      </w:r>
      <w:r w:rsidR="007D598C">
        <w:rPr>
          <w:rFonts w:ascii="Calibri" w:hAnsi="Calibri" w:cs="Calibri" w:hint="cs"/>
          <w:szCs w:val="22"/>
          <w:rtl/>
        </w:rPr>
        <w:t>"</w:t>
      </w:r>
      <w:r w:rsidRPr="00F5407A">
        <w:rPr>
          <w:rFonts w:ascii="Calibri" w:hAnsi="Calibri" w:cs="Calibri"/>
          <w:szCs w:val="22"/>
          <w:rtl/>
        </w:rPr>
        <w:t>غير ذلك</w:t>
      </w:r>
      <w:r w:rsidR="007D598C">
        <w:rPr>
          <w:rFonts w:ascii="Calibri" w:hAnsi="Calibri" w:cs="Calibri" w:hint="cs"/>
          <w:szCs w:val="22"/>
          <w:rtl/>
        </w:rPr>
        <w:t>"،</w:t>
      </w:r>
      <w:r w:rsidR="007D598C" w:rsidRPr="00F5407A">
        <w:rPr>
          <w:rFonts w:ascii="Calibri" w:hAnsi="Calibri" w:cs="Calibri"/>
          <w:szCs w:val="22"/>
          <w:rtl/>
        </w:rPr>
        <w:t xml:space="preserve"> </w:t>
      </w:r>
      <w:r w:rsidRPr="00F5407A">
        <w:rPr>
          <w:rFonts w:ascii="Calibri" w:hAnsi="Calibri" w:cs="Calibri"/>
          <w:szCs w:val="22"/>
          <w:rtl/>
        </w:rPr>
        <w:t>مع الإشارة في أغلب الأحيان إلى أن الموافقة تُحدد على أساس كل حالة على حدة.  ولم يؤيد 10 مجيبين (23.8 في المائة) حقوق إعادة التوزيع، في حين يسمح 8 مجيبين (19.0 في المائة) بإعادة التوزيع دون قيود.  وأشار العديد من المجيبين إلى أن السياسة المعمول بها تعتمد على ما إذا كانت البيانات مفتوحة أو منشورة، على النقيض من كونها شخصية أو غير منشورة.  وترد النتائج في الشكل 7 أدناه.</w:t>
      </w:r>
    </w:p>
    <w:p w14:paraId="2695EB28" w14:textId="0B96C3B4" w:rsidR="00FC0591" w:rsidRPr="00F5407A" w:rsidRDefault="009E7944" w:rsidP="00C957CB">
      <w:pPr>
        <w:keepLines/>
        <w:bidi/>
        <w:spacing w:after="220"/>
        <w:rPr>
          <w:rFonts w:ascii="Calibri" w:hAnsi="Calibri" w:cs="Calibri"/>
          <w:kern w:val="2"/>
          <w:szCs w:val="22"/>
          <w:rtl/>
          <w14:ligatures w14:val="standardContextual"/>
        </w:rPr>
      </w:pPr>
      <w:r w:rsidRPr="00F5407A">
        <w:rPr>
          <w:rFonts w:ascii="Calibri" w:hAnsi="Calibri" w:cs="Calibri"/>
          <w:noProof/>
          <w:szCs w:val="22"/>
          <w:rtl/>
        </w:rPr>
        <w:drawing>
          <wp:inline distT="0" distB="0" distL="0" distR="0" wp14:anchorId="31DE8ECF" wp14:editId="4927634F">
            <wp:extent cx="5810250" cy="233299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3123957" w14:textId="31E8CE6E" w:rsidR="006442E2" w:rsidRPr="007E4202" w:rsidRDefault="006442E2" w:rsidP="00C957CB">
      <w:pPr>
        <w:pStyle w:val="Caption"/>
        <w:keepLines/>
        <w:bidi/>
        <w:spacing w:after="220"/>
        <w:rPr>
          <w:rStyle w:val="IntenseEmphasis"/>
          <w:rFonts w:ascii="Calibri" w:hAnsi="Calibri" w:cs="Calibri"/>
          <w:i w:val="0"/>
          <w:color w:val="auto"/>
          <w:szCs w:val="18"/>
          <w:rtl/>
        </w:rPr>
      </w:pPr>
      <w:r w:rsidRPr="007E4202">
        <w:rPr>
          <w:rStyle w:val="IntenseEmphasis"/>
          <w:rFonts w:ascii="Calibri" w:hAnsi="Calibri" w:cs="Calibri"/>
          <w:i w:val="0"/>
          <w:iCs w:val="0"/>
          <w:color w:val="auto"/>
          <w:szCs w:val="18"/>
          <w:rtl/>
        </w:rPr>
        <w:t>الشكل 7:  الشروط المطبقة على إعادة توزيع بيانات الملكية الفكرية المتبادلة</w:t>
      </w:r>
    </w:p>
    <w:p w14:paraId="2BB4B76F" w14:textId="1425C03D" w:rsidR="0000450D" w:rsidRPr="00F5407A" w:rsidRDefault="006F7D59" w:rsidP="00C957CB">
      <w:pPr>
        <w:pStyle w:val="ONUME"/>
        <w:bidi/>
        <w:rPr>
          <w:rFonts w:ascii="Calibri" w:hAnsi="Calibri" w:cs="Calibri"/>
          <w:kern w:val="2"/>
          <w:szCs w:val="22"/>
          <w:rtl/>
          <w14:ligatures w14:val="standardContextual"/>
        </w:rPr>
      </w:pPr>
      <w:r w:rsidRPr="00F5407A">
        <w:rPr>
          <w:rFonts w:ascii="Calibri" w:hAnsi="Calibri" w:cs="Calibri"/>
          <w:szCs w:val="22"/>
          <w:rtl/>
        </w:rPr>
        <w:t>وأيدت أغلبية واضحة بلغت 27 مجيباً (64.3 في المائة) توفير بيانات الملكية الفكرية مجانًا.  وأعرب 10 مجيبين (23.8 في المائة) عن عدم يقينهم، مع الإشارة إلى المراجعات الجارية للسياسات أو إلى الفروق بين وصول المكاتب الشريكة والوصول من قبل الكيانات التجارية.  وأيد 4 مجيبين (9.5 في المائة) تقديم الخدمة بالتكلفة الحدية، والتي تقتصر عمومًا على نفقات الشحن أو نفقات وسائل الإعلام.  ولم يؤيد سوى مجيب واحد (2.4 في المائة) تقديم الخدمة مجانًا أو بتكلفة حدية، مشيرًا إلى متطلبات استرداد التكاليف المعمول بها.</w:t>
      </w:r>
    </w:p>
    <w:p w14:paraId="3FFF69EE" w14:textId="1059F445" w:rsidR="0000450D" w:rsidRPr="00F5407A" w:rsidRDefault="00D968A2" w:rsidP="001A65BE">
      <w:pPr>
        <w:pStyle w:val="ONUME"/>
        <w:bidi/>
        <w:rPr>
          <w:rFonts w:ascii="Calibri" w:hAnsi="Calibri" w:cs="Calibri"/>
          <w:kern w:val="2"/>
          <w:szCs w:val="22"/>
          <w:rtl/>
          <w14:ligatures w14:val="standardContextual"/>
        </w:rPr>
      </w:pPr>
      <w:r w:rsidRPr="00F5407A">
        <w:rPr>
          <w:rFonts w:ascii="Calibri" w:hAnsi="Calibri" w:cs="Calibri"/>
          <w:szCs w:val="22"/>
          <w:rtl/>
        </w:rPr>
        <w:t>وسمح معظم المجيبين بالاستخدام الداخلي واسع النطاق للبيانات المتبادلة.   كما سمح 24 مجيباً (57.1 في المائة) بالاستخدام الداخلي دون قيود، في حين قصر 8 مجيبين (19.0 في المائة) الاستخدام على تطبيقات محددة.  وأشار 9 مجيبين (21.4 في المائة) إلى أن السؤال لا ينطبق عليهم، بينما لم يسمح مجيب واحد (2.4 في المائة) بأي استخدام داخلي.  وقد كانت أغراض الفحص والبحث من أكثر المجالات التي تحظى بالموافقة بين المجيبين الذين يطبقون قيوداً (7 مجيبين)، يلي ذلك البحث والتطوير والنشر عبر الإنترنت (4 مجيبين لكل منهما).</w:t>
      </w:r>
    </w:p>
    <w:p w14:paraId="183486C9" w14:textId="27351286" w:rsidR="0000450D" w:rsidRPr="00F5407A" w:rsidRDefault="00BD1914"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ولم يُسمح بإعادة التوزيع من قبل أطراف ثالثة عمومًا إلا في ظل شروط محددة.  </w:t>
      </w:r>
      <w:r w:rsidR="006940E5">
        <w:rPr>
          <w:rFonts w:ascii="Calibri" w:hAnsi="Calibri" w:cs="Calibri" w:hint="cs"/>
          <w:szCs w:val="22"/>
          <w:rtl/>
        </w:rPr>
        <w:t xml:space="preserve">إذ </w:t>
      </w:r>
      <w:r w:rsidRPr="00F5407A">
        <w:rPr>
          <w:rFonts w:ascii="Calibri" w:hAnsi="Calibri" w:cs="Calibri"/>
          <w:szCs w:val="22"/>
          <w:rtl/>
        </w:rPr>
        <w:t xml:space="preserve">وافق 20 مجيباً على إعادة التوزيع </w:t>
      </w:r>
      <w:r w:rsidR="006940E5">
        <w:rPr>
          <w:rFonts w:ascii="Calibri" w:hAnsi="Calibri" w:cs="Calibri" w:hint="cs"/>
          <w:szCs w:val="22"/>
          <w:rtl/>
        </w:rPr>
        <w:t>ضمن شروط</w:t>
      </w:r>
      <w:r w:rsidRPr="00F5407A">
        <w:rPr>
          <w:rFonts w:ascii="Calibri" w:hAnsi="Calibri" w:cs="Calibri"/>
          <w:szCs w:val="22"/>
          <w:rtl/>
        </w:rPr>
        <w:t xml:space="preserve">، ووافق 9 مجيبين </w:t>
      </w:r>
      <w:r w:rsidR="006940E5">
        <w:rPr>
          <w:rFonts w:ascii="Calibri" w:hAnsi="Calibri" w:cs="Calibri" w:hint="cs"/>
          <w:szCs w:val="22"/>
          <w:rtl/>
        </w:rPr>
        <w:t>على إعادة التوزيع</w:t>
      </w:r>
      <w:r w:rsidR="006940E5" w:rsidRPr="00F5407A">
        <w:rPr>
          <w:rFonts w:ascii="Calibri" w:hAnsi="Calibri" w:cs="Calibri"/>
          <w:szCs w:val="22"/>
          <w:rtl/>
        </w:rPr>
        <w:t xml:space="preserve"> </w:t>
      </w:r>
      <w:r w:rsidRPr="00F5407A">
        <w:rPr>
          <w:rFonts w:ascii="Calibri" w:hAnsi="Calibri" w:cs="Calibri"/>
          <w:szCs w:val="22"/>
          <w:rtl/>
        </w:rPr>
        <w:t xml:space="preserve">دون قيود، وحظرها 3 مجيبين، وأشار مجيب واحد إلى أن السؤال لا ينطبق على حالته.  وكان الشرط الأكثر شيوعًا، الذي أشار إليه 15 مجيباً، هو أن يتم توثيق نطاق أنشطة الأطراف الثالثة المؤهلة ونطاق تطبيق البيانات في اتفاق رسمي أو تفويض مكتوب.  وأشار 6 مجيبين إلى الأذونات القائمة على مبدأ المعاملة بالمثل، في حين أشار 5 مجيبين إلى الامتثال لمتطلبات حماية البيانات، وأشار 5 آخرين إلى القوانين الأخرى السارية.  وأشار عدد أقل من المجيبين إلى متطلبات الغرض المشروع (4 مجيبين)، أو الإخطار المسبق (3 مجيبين)، أو دفع الرسوم (مجيب واحد).  كما يشترط بعض المجيبين أن تقتصر إعادة التوزيع على البيانات المنشورة أو أن تنطوي على قيمة مضافة جوهرية، بدلاً من توزيع البيانات </w:t>
      </w:r>
      <w:r w:rsidR="005E37AF">
        <w:rPr>
          <w:rFonts w:ascii="Calibri" w:hAnsi="Calibri" w:cs="Calibri" w:hint="cs"/>
          <w:szCs w:val="22"/>
          <w:rtl/>
        </w:rPr>
        <w:t>"</w:t>
      </w:r>
      <w:r w:rsidRPr="00F5407A">
        <w:rPr>
          <w:rFonts w:ascii="Calibri" w:hAnsi="Calibri" w:cs="Calibri"/>
          <w:szCs w:val="22"/>
          <w:rtl/>
        </w:rPr>
        <w:t>كما هي</w:t>
      </w:r>
      <w:r w:rsidR="005E37AF">
        <w:rPr>
          <w:rFonts w:ascii="Calibri" w:hAnsi="Calibri" w:cs="Calibri" w:hint="cs"/>
          <w:szCs w:val="22"/>
          <w:rtl/>
        </w:rPr>
        <w:t>".</w:t>
      </w:r>
    </w:p>
    <w:p w14:paraId="4F2C148D" w14:textId="3A14542E" w:rsidR="0000450D" w:rsidRPr="00F5407A" w:rsidRDefault="00EF3808" w:rsidP="001A65BE">
      <w:pPr>
        <w:pStyle w:val="ONUME"/>
        <w:bidi/>
        <w:rPr>
          <w:rFonts w:ascii="Calibri" w:hAnsi="Calibri" w:cs="Calibri"/>
          <w:kern w:val="2"/>
          <w:szCs w:val="22"/>
          <w:rtl/>
          <w14:ligatures w14:val="standardContextual"/>
        </w:rPr>
      </w:pPr>
      <w:r w:rsidRPr="00F5407A">
        <w:rPr>
          <w:rFonts w:ascii="Calibri" w:hAnsi="Calibri" w:cs="Calibri"/>
          <w:szCs w:val="22"/>
          <w:rtl/>
        </w:rPr>
        <w:t xml:space="preserve">وقد تضمنت الأسباب، التي أوردها عدد قليل من </w:t>
      </w:r>
      <w:r w:rsidR="00B51DE1">
        <w:rPr>
          <w:rFonts w:ascii="Calibri" w:hAnsi="Calibri" w:cs="Calibri" w:hint="cs"/>
          <w:szCs w:val="22"/>
          <w:rtl/>
        </w:rPr>
        <w:t>ال</w:t>
      </w:r>
      <w:r w:rsidRPr="00F5407A">
        <w:rPr>
          <w:rFonts w:ascii="Calibri" w:hAnsi="Calibri" w:cs="Calibri"/>
          <w:szCs w:val="22"/>
          <w:rtl/>
        </w:rPr>
        <w:t xml:space="preserve">مجيبين </w:t>
      </w:r>
      <w:r w:rsidR="00B51DE1">
        <w:rPr>
          <w:rFonts w:ascii="Calibri" w:hAnsi="Calibri" w:cs="Calibri" w:hint="cs"/>
          <w:szCs w:val="22"/>
          <w:rtl/>
        </w:rPr>
        <w:t xml:space="preserve">الذين </w:t>
      </w:r>
      <w:r w:rsidRPr="00F5407A">
        <w:rPr>
          <w:rFonts w:ascii="Calibri" w:hAnsi="Calibri" w:cs="Calibri"/>
          <w:szCs w:val="22"/>
          <w:rtl/>
        </w:rPr>
        <w:t>يحظرون إعادة التوزيع على أطراف ثالثة، مخاطر متعلقة بإساءة الاستخدام أو ظهور منتجات مشتقة غير مرخصة (مجيبان اثنان)، وصعوبة الحفاظ على جودة البيانات بعد إعادة توزيعها (مجيبان اثنان)، والتحديات التي تواجه تتبع البيانات المعاد توزيعها وتحديثها (مجيب واحد)، والتعارض مع التشريعات الوطنية (مجيب واحد).  وبشكل عام، تُظهر النتائج تأييدًا واسعًا للترتيبات الثنائية المرنة، وتوفير البيانات المتبادلة مجانًا واستخدامها داخليًّا، في حين أن إعادة توزيعها على أطراف ثالثة يخضع في الغالب لشروط رسمية وضمانات قانونية.</w:t>
      </w:r>
    </w:p>
    <w:p w14:paraId="27937BD6" w14:textId="38EE36B6" w:rsidR="00953F99" w:rsidRPr="007E4202" w:rsidRDefault="00953F99" w:rsidP="009112A6">
      <w:pPr>
        <w:pStyle w:val="Heading3"/>
        <w:bidi/>
        <w:rPr>
          <w:rFonts w:ascii="Calibri" w:hAnsi="Calibri" w:cs="Calibri"/>
          <w:b/>
          <w:bCs w:val="0"/>
          <w:szCs w:val="22"/>
          <w:rtl/>
        </w:rPr>
      </w:pPr>
      <w:r w:rsidRPr="007E4202">
        <w:rPr>
          <w:rFonts w:ascii="Calibri" w:hAnsi="Calibri" w:cs="Calibri"/>
          <w:b/>
          <w:bCs w:val="0"/>
          <w:szCs w:val="22"/>
          <w:rtl/>
        </w:rPr>
        <w:t>جودة البيانات وتصحيح الأخطاء</w:t>
      </w:r>
    </w:p>
    <w:p w14:paraId="2EC6B693" w14:textId="25B5C154" w:rsidR="002928D3" w:rsidRPr="00F5407A" w:rsidRDefault="00031EB1" w:rsidP="00B83736">
      <w:pPr>
        <w:pStyle w:val="ONUME"/>
        <w:keepNext/>
        <w:keepLines/>
        <w:bidi/>
        <w:rPr>
          <w:rFonts w:ascii="Calibri" w:hAnsi="Calibri" w:cs="Calibri"/>
          <w:szCs w:val="22"/>
          <w:rtl/>
        </w:rPr>
      </w:pPr>
      <w:r w:rsidRPr="00F5407A">
        <w:rPr>
          <w:rFonts w:ascii="Calibri" w:hAnsi="Calibri" w:cs="Calibri"/>
          <w:szCs w:val="22"/>
          <w:rtl/>
        </w:rPr>
        <w:t xml:space="preserve">يمتلك معظم المجيبين آليات خاصة بهم للتحقق من جودة بيانات الملكية الفكرية قبل مشاركتها. </w:t>
      </w:r>
      <w:r w:rsidR="0076256A">
        <w:rPr>
          <w:rFonts w:ascii="Calibri" w:hAnsi="Calibri" w:cs="Calibri" w:hint="cs"/>
          <w:szCs w:val="22"/>
          <w:rtl/>
        </w:rPr>
        <w:t xml:space="preserve">إذ </w:t>
      </w:r>
      <w:r w:rsidRPr="00F5407A">
        <w:rPr>
          <w:rFonts w:ascii="Calibri" w:hAnsi="Calibri" w:cs="Calibri"/>
          <w:szCs w:val="22"/>
          <w:rtl/>
        </w:rPr>
        <w:t>أكد 29 مجيباً (69.0 في المائة) أنهم طبقوا هذه الآليات، في حين أفاد 6 مجيبين (14.3 في المائة) بأنهم لم يطبقوها.  وأشار 7 مجيبين (16.7 في المائة) إلى أن السؤال لا ينطبق عليهم لأنهم لا يشاركون بيانات الملكية الفكرية.  وترد النتائج في الشكل 8 أدناه.</w:t>
      </w:r>
    </w:p>
    <w:p w14:paraId="6E9ACC3F" w14:textId="439A8658" w:rsidR="00133A13" w:rsidRPr="00F5407A" w:rsidRDefault="00133A13" w:rsidP="008425CD">
      <w:pPr>
        <w:bidi/>
        <w:spacing w:after="240"/>
        <w:jc w:val="center"/>
        <w:rPr>
          <w:rFonts w:ascii="Calibri" w:hAnsi="Calibri" w:cs="Calibri"/>
          <w:color w:val="FFFFFF" w:themeColor="background1"/>
          <w:szCs w:val="22"/>
          <w:rtl/>
        </w:rPr>
      </w:pPr>
      <w:r w:rsidRPr="00F5407A">
        <w:rPr>
          <w:rFonts w:ascii="Calibri" w:hAnsi="Calibri" w:cs="Calibri"/>
          <w:noProof/>
          <w:szCs w:val="22"/>
          <w:shd w:val="clear" w:color="auto" w:fill="000000" w:themeFill="text1"/>
          <w:rtl/>
        </w:rPr>
        <w:drawing>
          <wp:inline distT="0" distB="0" distL="0" distR="0" wp14:anchorId="1A20C8BF" wp14:editId="4B54EFB0">
            <wp:extent cx="5724000" cy="2247900"/>
            <wp:effectExtent l="0" t="0" r="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CA765DD" w14:textId="3E13DDA2" w:rsidR="00962DEC" w:rsidRPr="007E4202" w:rsidRDefault="00962DEC" w:rsidP="00AF5612">
      <w:pPr>
        <w:pStyle w:val="Caption"/>
        <w:bidi/>
        <w:spacing w:after="220"/>
        <w:rPr>
          <w:rStyle w:val="IntenseEmphasis"/>
          <w:rFonts w:ascii="Calibri" w:hAnsi="Calibri" w:cs="Calibri"/>
          <w:i w:val="0"/>
          <w:color w:val="auto"/>
          <w:szCs w:val="18"/>
          <w:rtl/>
        </w:rPr>
      </w:pPr>
      <w:r w:rsidRPr="007E4202">
        <w:rPr>
          <w:rStyle w:val="IntenseEmphasis"/>
          <w:rFonts w:ascii="Calibri" w:hAnsi="Calibri" w:cs="Calibri"/>
          <w:i w:val="0"/>
          <w:iCs w:val="0"/>
          <w:color w:val="auto"/>
          <w:szCs w:val="18"/>
          <w:rtl/>
        </w:rPr>
        <w:t>الشكل 8:  استخدام آليات التحقق من جودة البيانات قبل مشاركة بيانات الملكية الفكرية</w:t>
      </w:r>
    </w:p>
    <w:p w14:paraId="17FDB435" w14:textId="625F7A44" w:rsidR="002928D3" w:rsidRPr="00F5407A" w:rsidRDefault="00031EB1" w:rsidP="00AF5612">
      <w:pPr>
        <w:pStyle w:val="ONUME"/>
        <w:bidi/>
        <w:rPr>
          <w:rFonts w:ascii="Calibri" w:hAnsi="Calibri" w:cs="Calibri"/>
          <w:szCs w:val="22"/>
          <w:rtl/>
        </w:rPr>
      </w:pPr>
      <w:r w:rsidRPr="00F5407A">
        <w:rPr>
          <w:rFonts w:ascii="Calibri" w:hAnsi="Calibri" w:cs="Calibri"/>
          <w:szCs w:val="22"/>
          <w:rtl/>
        </w:rPr>
        <w:t xml:space="preserve">وجاءت المراجعة اليدوية في مقدمة طرق ضمان الجودة المبلغ عنها، إذ يستخدمها 20 مجيباً، يلي ذلك مباشرةً العمليات الآلية للتحقق من الصحة، التي يستخدمها 19 مجيباً.  وشملت هذه الضوابط الآلية أدوات التحقق من الصحة، والأنظمة الداخلية المرتبطة بقواعد البيانات، والتحقق من صحة مخطط </w:t>
      </w:r>
      <w:r w:rsidRPr="00F5407A">
        <w:rPr>
          <w:rFonts w:ascii="Calibri" w:hAnsi="Calibri" w:cs="Calibri"/>
          <w:szCs w:val="22"/>
        </w:rPr>
        <w:t>XML</w:t>
      </w:r>
      <w:r w:rsidRPr="00F5407A">
        <w:rPr>
          <w:rFonts w:ascii="Calibri" w:hAnsi="Calibri" w:cs="Calibri"/>
          <w:szCs w:val="22"/>
          <w:rtl/>
        </w:rPr>
        <w:t>، وفحوصات القواعد التشغيلية التي تُطبق قبل النشر أو التبادل.  ويتولى 16 مجيباً تطبيق آليات تسمح بتلقي تعقيبات المستخدمين، بينما يقوم 10 مجيبين بتنفيذ عمليات تدقيق منتظمة.  وأفاد 5 مجيبين باستخدام أساليب أخرى، منها ضوابط مدمجة في إجراءات الفحص، والتحقق من أسماء الشركات والأفراد بمقارنتها بالسجلات الوطنية، والالتزام بالإرشادات الرسمية المتعلقة بجودة المعلومات.</w:t>
      </w:r>
    </w:p>
    <w:p w14:paraId="2432F00F" w14:textId="11245FF1" w:rsidR="002928D3" w:rsidRPr="00F5407A" w:rsidRDefault="00031EB1" w:rsidP="001A65BE">
      <w:pPr>
        <w:pStyle w:val="ONUME"/>
        <w:bidi/>
        <w:rPr>
          <w:rFonts w:ascii="Calibri" w:hAnsi="Calibri" w:cs="Calibri"/>
          <w:szCs w:val="22"/>
          <w:rtl/>
        </w:rPr>
      </w:pPr>
      <w:r w:rsidRPr="00F5407A">
        <w:rPr>
          <w:rFonts w:ascii="Calibri" w:hAnsi="Calibri" w:cs="Calibri"/>
          <w:szCs w:val="22"/>
          <w:rtl/>
        </w:rPr>
        <w:t>وأبدت الغالبية العظمى من المجيبين، البالغ عددهم 33 مجيباً، استعدادها للسماح للمكاتب الشريكة بتطبيق آليات ضمان الجودة الخاصة بها لتحديد الأخطاء والإبلاغ عنها لتصحيحها من المصدر، ولم يؤيد هذا النهج سوى مجيبين اثنين فقط.  وتباينت الآراء تباينًا كبيرًا بشأن ما إذا كان ينبغي السماح للمكاتب الشريكة بتصحيح الأخطاء مباشرةً قبل الاستخدام الداخلي للبيانات أو نشرها أو مشاركتها اللاحقة.  وكان الرأي الأكثر شيوعًا، الذي أشار إليه 19 مجيباً، هو أنه لا ينبغي السماح بالتصحيح المباشر، بل يجب بدلاً من ذلك إبلاغ المكتب المصدر بالأخطاء، ليقوم هو بإصدار البيانات المصححة.  ويسمح 7 مجيبين بإجراء تصحيحات دون أي قيود، كما يسمح 6 مجيبين بإجراء تصحيحات فقط في حالات الأخطاء التي يتم تحديدها مسبقًا، بينما اشترط 3 مجيبين الحصول على موافقة خطية مسبقة لكل تصحيح.</w:t>
      </w:r>
    </w:p>
    <w:p w14:paraId="5ED69F28" w14:textId="2DB6652E" w:rsidR="0000450D" w:rsidRPr="00F5407A" w:rsidRDefault="00006E09" w:rsidP="001A65BE">
      <w:pPr>
        <w:pStyle w:val="ONUME"/>
        <w:bidi/>
        <w:rPr>
          <w:rFonts w:ascii="Calibri" w:hAnsi="Calibri" w:cs="Calibri"/>
          <w:kern w:val="2"/>
          <w:szCs w:val="22"/>
          <w:rtl/>
          <w14:ligatures w14:val="standardContextual"/>
        </w:rPr>
      </w:pPr>
      <w:r w:rsidRPr="00F5407A">
        <w:rPr>
          <w:rFonts w:ascii="Calibri" w:hAnsi="Calibri" w:cs="Calibri"/>
          <w:szCs w:val="22"/>
          <w:rtl/>
        </w:rPr>
        <w:t>وكانت أخطاء التنسيق، مثل الأخطاء في تنسيقات التواريخ أو التباعد بين الأحرف، هي الفئة الأكثر قبولًا بين المكاتب التي تسمح بإجراء تصحيحات معينة (6 مجيبين).  وتلا ذلك مشكلات تتعلق بالتوحيد القياسي، مثل رموز البلدان أو التصنيف، والتي أشار إليها 5 مجيبين؛ ومشكلات تتعلق بترميز الأحرف (4 مجيبين)؛ والأخطاء المطبعية الواضحة (3 مجيبين).  كما تباينت المدد الزمنية اللازمة لتصحيح الأخطاء تباينًا كبيرًا، وكثيرًا ما كانت تعتمد على طبيعة الخطأ ومدى تعقيده.  وتراوحت المدد الزمنية المذكورة بين شهرين وثلاثة أشهر، وصولاً إلى فترات غير محددة أو تختلف حسب كل حالة على حدة، وأشار العديد من المجيبين إلى أن إجراءات التصحيح الرسمية لا تزال قيد التطوير أو في مرحلة التجربة.</w:t>
      </w:r>
    </w:p>
    <w:p w14:paraId="5CDA5A92" w14:textId="4593598D" w:rsidR="00F076DB" w:rsidRPr="00F5407A" w:rsidRDefault="00F076DB" w:rsidP="00C3790C">
      <w:pPr>
        <w:pStyle w:val="ONUME"/>
        <w:keepLines/>
        <w:bidi/>
        <w:rPr>
          <w:rFonts w:ascii="Calibri" w:hAnsi="Calibri" w:cs="Calibri"/>
          <w:szCs w:val="22"/>
          <w:rtl/>
        </w:rPr>
      </w:pPr>
      <w:r w:rsidRPr="00F5407A">
        <w:rPr>
          <w:rFonts w:ascii="Calibri" w:hAnsi="Calibri" w:cs="Calibri"/>
          <w:szCs w:val="22"/>
          <w:rtl/>
        </w:rPr>
        <w:t>وعند سؤالهم عما إذا كان يمكن للمكتب إجراء التصحيحات مباشرةً أم أن ذلك يتطلب مشاركة مودع الطلب، أفاد 12 مجيباً بأنهم قادرون على إجراء التصحيحات مباشرةً، لا سيما فيما يتعلق بالأخطاء الفنية أو اللغوية أو المتعلقة بالتنسيق، في حين أشار 7 مجيبين إلى أن الأمر يتطلب الحصول على إذن من مودع الطلب أو صاحب حق الملكية الفكرية، لا سيما عندما تؤثر التصحيحات على المحتوى القانوني الموضوعي أو الحقوق.</w:t>
      </w:r>
    </w:p>
    <w:p w14:paraId="3FD17319" w14:textId="40DF5C33" w:rsidR="00F076DB" w:rsidRPr="00F5407A" w:rsidRDefault="00F076DB" w:rsidP="001A65BE">
      <w:pPr>
        <w:pStyle w:val="ONUME"/>
        <w:bidi/>
        <w:rPr>
          <w:rFonts w:ascii="Calibri" w:hAnsi="Calibri" w:cs="Calibri"/>
          <w:szCs w:val="22"/>
          <w:rtl/>
        </w:rPr>
      </w:pPr>
      <w:r w:rsidRPr="00F5407A">
        <w:rPr>
          <w:rFonts w:ascii="Calibri" w:hAnsi="Calibri" w:cs="Calibri"/>
          <w:szCs w:val="22"/>
          <w:rtl/>
        </w:rPr>
        <w:t>وتباينت طرق تتبع التصحيحات وإدارتها تباينًا كبيرًا بين المجيبين، إذ تضمنت أنظمة رسمية لتتبع المشكلات وإجراءات إدارية منظمة ذات جداول زمنية محددة للنشر، فضلاً عن التتبع اليدوي من قِبل الخبراء الداخليين، أو الاعتماد على الإخطارات الواردة من المنظمات الشريكة لبدء عمليات المراجعة والتصحيح.</w:t>
      </w:r>
    </w:p>
    <w:p w14:paraId="61395AAD" w14:textId="530AD2CD" w:rsidR="00F076DB" w:rsidRPr="00F5407A" w:rsidRDefault="00C112ED" w:rsidP="001A65BE">
      <w:pPr>
        <w:pStyle w:val="ONUME"/>
        <w:bidi/>
        <w:rPr>
          <w:rFonts w:ascii="Calibri" w:hAnsi="Calibri" w:cs="Calibri"/>
          <w:szCs w:val="22"/>
          <w:rtl/>
        </w:rPr>
      </w:pPr>
      <w:r w:rsidRPr="00F5407A">
        <w:rPr>
          <w:rFonts w:ascii="Calibri" w:hAnsi="Calibri" w:cs="Calibri"/>
          <w:szCs w:val="22"/>
          <w:rtl/>
        </w:rPr>
        <w:t xml:space="preserve">وفيما يتعلق بما إذا كانت المكاتب تطبق آليات ضمان الجودة بشكل خاص على البيانات التي يتم جمعها من مكاتب أخرى، انقسمت الردود بالتساوي:  إذ أكد 12 مجيباً (28.6 في المائة) تطبيقهم لآليات من هذا القبيل، والتي تشمل عادةً التحقق الآلي من الصحة، وفحوصات مخطط </w:t>
      </w:r>
      <w:r w:rsidR="00BA7C9C">
        <w:rPr>
          <w:rFonts w:ascii="Calibri" w:hAnsi="Calibri" w:cs="Calibri" w:hint="cs"/>
          <w:szCs w:val="22"/>
          <w:rtl/>
        </w:rPr>
        <w:t>"</w:t>
      </w:r>
      <w:r w:rsidRPr="00F5407A">
        <w:rPr>
          <w:rFonts w:ascii="Calibri" w:hAnsi="Calibri" w:cs="Calibri"/>
          <w:szCs w:val="22"/>
        </w:rPr>
        <w:t>XML</w:t>
      </w:r>
      <w:r w:rsidR="00BA7C9C">
        <w:rPr>
          <w:rFonts w:ascii="Calibri" w:hAnsi="Calibri" w:cs="Calibri" w:hint="cs"/>
          <w:szCs w:val="22"/>
          <w:rtl/>
        </w:rPr>
        <w:t>"</w:t>
      </w:r>
      <w:r w:rsidRPr="00F5407A">
        <w:rPr>
          <w:rFonts w:ascii="Calibri" w:hAnsi="Calibri" w:cs="Calibri"/>
          <w:szCs w:val="22"/>
          <w:rtl/>
        </w:rPr>
        <w:t>، وكشف التكرار، وفحوصات الاتساق، في حين أفاد 15 مجيباً (35.7 في المائة) بعدم تطبيقهم لأي آليات من هذا القبيل، وأشار 15 مجيباً آخراً (35.7 في المائة) إلى أن هذا الأمر لا ينطبق عليهم، إذ إنهم لا يجمعون بيانات الملكية الفكرية من المكاتب الأخرى.</w:t>
      </w:r>
    </w:p>
    <w:p w14:paraId="56286BE2" w14:textId="2BA365B0" w:rsidR="00953F99" w:rsidRPr="007E4202" w:rsidRDefault="00953F99" w:rsidP="009112A6">
      <w:pPr>
        <w:pStyle w:val="Heading3"/>
        <w:bidi/>
        <w:rPr>
          <w:rFonts w:ascii="Calibri" w:hAnsi="Calibri" w:cs="Calibri"/>
          <w:b/>
          <w:bCs w:val="0"/>
          <w:szCs w:val="22"/>
          <w:rtl/>
        </w:rPr>
      </w:pPr>
      <w:r w:rsidRPr="007E4202">
        <w:rPr>
          <w:rFonts w:ascii="Calibri" w:hAnsi="Calibri" w:cs="Calibri"/>
          <w:b/>
          <w:bCs w:val="0"/>
          <w:szCs w:val="22"/>
          <w:rtl/>
        </w:rPr>
        <w:t>وتيرة التحديثات</w:t>
      </w:r>
    </w:p>
    <w:p w14:paraId="452C42BC" w14:textId="6628781D" w:rsidR="0000450D" w:rsidRPr="00F5407A" w:rsidRDefault="005407A9" w:rsidP="001A65BE">
      <w:pPr>
        <w:pStyle w:val="ONUME"/>
        <w:bidi/>
        <w:rPr>
          <w:rFonts w:ascii="Calibri" w:hAnsi="Calibri" w:cs="Calibri"/>
          <w:szCs w:val="22"/>
          <w:rtl/>
        </w:rPr>
      </w:pPr>
      <w:r w:rsidRPr="00F5407A">
        <w:rPr>
          <w:rFonts w:ascii="Calibri" w:hAnsi="Calibri" w:cs="Calibri"/>
          <w:szCs w:val="22"/>
          <w:rtl/>
        </w:rPr>
        <w:t>تباينت وتيرة التحديثات باختلاف مجالات الملكية الفكرية.  فبالنسبة لبيانات البراءات، كانت التحديثات الشهرية هي الأكثر شيوعًا، إذ أشار إليها 9 مجيبين، يلي ذلك التحديثات الأسبوعية التي أشار إليها 8 مجيبين؛ ولم يؤيد التحديثات في الوقت الفعلي سوى 4 مجيبين فقط.  وأظهرت بيانات العلامات التجارية والتصميمات الصناعية أنماطًا مشابهة، إذ حظيت التحديثات اليومية بأكبر عدد من التأييد (17 مجيباً و16 مجيباً على التوالي) يلي ذلك التحديثات في الوقت الفعلي.  وسجلت بيانات المؤشرات الجغرافية أقل قدرة على التحديث المتكرر:  إذ أفاد 7 مجيبين فقط بتلقي تحديثات يومية، في حين أشار 27 مجيباً إلى أن السؤال لا ينطبق عليهم، مما يعكس النطاق المحدود لإدارة بيانات المؤشرات الجغرافية.  وعلى مستوى جميع مجالات الملكية الفكرية، نادرًا ما تم اختيار التحديثات الفصلية والسنوية، مما يشير إلى أن المجيبين يفضلون عمومًا دورات تحديث أكثر تواترًا عند تبادل بيانات الملكية الفكرية.  وأشار العديد من المجيبين إلى أن تواتر التحديث قد يختلف باختلاف نوع البيانات، وفي بعض الحالات، باختلاف المكتب الشريك المعني.  وترد النتائج في الشكل 9 أدناه.</w:t>
      </w:r>
    </w:p>
    <w:p w14:paraId="5B958275" w14:textId="11BABA51" w:rsidR="00291C12" w:rsidRPr="00F5407A" w:rsidRDefault="00291C12">
      <w:pPr>
        <w:bidi/>
        <w:spacing w:after="240"/>
        <w:rPr>
          <w:rFonts w:ascii="Calibri" w:hAnsi="Calibri" w:cs="Calibri"/>
          <w:kern w:val="2"/>
          <w:szCs w:val="22"/>
          <w:rtl/>
          <w14:ligatures w14:val="standardContextual"/>
        </w:rPr>
      </w:pPr>
      <w:r w:rsidRPr="00F5407A">
        <w:rPr>
          <w:rFonts w:ascii="Calibri" w:hAnsi="Calibri" w:cs="Calibri"/>
          <w:noProof/>
          <w:szCs w:val="22"/>
          <w:rtl/>
        </w:rPr>
        <w:drawing>
          <wp:inline distT="0" distB="0" distL="0" distR="0" wp14:anchorId="438A79E9" wp14:editId="1C16ADC2">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E1D9C41" w14:textId="6545DE38" w:rsidR="00483A8B" w:rsidRPr="007E4202" w:rsidRDefault="00483A8B" w:rsidP="00CD31E0">
      <w:pPr>
        <w:pStyle w:val="Caption"/>
        <w:bidi/>
        <w:spacing w:after="220"/>
        <w:rPr>
          <w:rFonts w:ascii="Calibri" w:hAnsi="Calibri" w:cs="Calibri"/>
          <w:szCs w:val="18"/>
          <w:rtl/>
        </w:rPr>
      </w:pPr>
      <w:r w:rsidRPr="007E4202">
        <w:rPr>
          <w:rStyle w:val="IntenseEmphasis"/>
          <w:rFonts w:ascii="Calibri" w:hAnsi="Calibri" w:cs="Calibri"/>
          <w:i w:val="0"/>
          <w:iCs w:val="0"/>
          <w:color w:val="auto"/>
          <w:szCs w:val="18"/>
          <w:rtl/>
        </w:rPr>
        <w:t>الشكل 9:  وتيرة تحديثات بيانات الملكية الفكرية بحسب مجال الملكية الفكرية</w:t>
      </w:r>
    </w:p>
    <w:p w14:paraId="23D8F8C0" w14:textId="03F03052" w:rsidR="00210C0E" w:rsidRPr="007E4202" w:rsidRDefault="00210C0E" w:rsidP="009112A6">
      <w:pPr>
        <w:pStyle w:val="Heading2"/>
        <w:bidi/>
        <w:rPr>
          <w:rFonts w:ascii="Calibri" w:hAnsi="Calibri" w:cs="Calibri"/>
          <w:b/>
          <w:bCs w:val="0"/>
          <w:i/>
          <w:iCs w:val="0"/>
          <w:sz w:val="24"/>
          <w:szCs w:val="24"/>
          <w:rtl/>
        </w:rPr>
      </w:pPr>
      <w:r w:rsidRPr="007E4202">
        <w:rPr>
          <w:rFonts w:ascii="Calibri" w:hAnsi="Calibri" w:cs="Calibri"/>
          <w:b/>
          <w:bCs w:val="0"/>
          <w:i/>
          <w:iCs w:val="0"/>
          <w:sz w:val="24"/>
          <w:szCs w:val="24"/>
          <w:rtl/>
        </w:rPr>
        <w:t xml:space="preserve">اقتراح </w:t>
      </w:r>
      <w:r w:rsidR="003A447D">
        <w:rPr>
          <w:rFonts w:ascii="Calibri" w:hAnsi="Calibri" w:cs="Calibri" w:hint="cs"/>
          <w:b/>
          <w:bCs w:val="0"/>
          <w:i/>
          <w:iCs w:val="0"/>
          <w:sz w:val="24"/>
          <w:szCs w:val="24"/>
          <w:rtl/>
        </w:rPr>
        <w:t>ل</w:t>
      </w:r>
      <w:r w:rsidRPr="007E4202">
        <w:rPr>
          <w:rFonts w:ascii="Calibri" w:hAnsi="Calibri" w:cs="Calibri"/>
          <w:b/>
          <w:bCs w:val="0"/>
          <w:i/>
          <w:iCs w:val="0"/>
          <w:sz w:val="24"/>
          <w:szCs w:val="24"/>
          <w:rtl/>
        </w:rPr>
        <w:t>وضع معيار جديد للويبو ب</w:t>
      </w:r>
      <w:r w:rsidR="003A447D">
        <w:rPr>
          <w:rFonts w:ascii="Calibri" w:hAnsi="Calibri" w:cs="Calibri" w:hint="cs"/>
          <w:b/>
          <w:bCs w:val="0"/>
          <w:i/>
          <w:iCs w:val="0"/>
          <w:sz w:val="24"/>
          <w:szCs w:val="24"/>
          <w:rtl/>
        </w:rPr>
        <w:t xml:space="preserve">شأن </w:t>
      </w:r>
      <w:r w:rsidRPr="007E4202">
        <w:rPr>
          <w:rFonts w:ascii="Calibri" w:hAnsi="Calibri" w:cs="Calibri"/>
          <w:b/>
          <w:bCs w:val="0"/>
          <w:i/>
          <w:iCs w:val="0"/>
          <w:sz w:val="24"/>
          <w:szCs w:val="24"/>
          <w:rtl/>
        </w:rPr>
        <w:t>تبادل بيانات الملكية الفكرية واستخدامها</w:t>
      </w:r>
    </w:p>
    <w:p w14:paraId="55CBA65B" w14:textId="7C8F7EB2" w:rsidR="00210C0E" w:rsidRPr="00F5407A" w:rsidRDefault="00233F1A" w:rsidP="00210C0E">
      <w:pPr>
        <w:pStyle w:val="ONUME"/>
        <w:bidi/>
        <w:rPr>
          <w:rFonts w:ascii="Calibri" w:hAnsi="Calibri" w:cs="Calibri"/>
          <w:kern w:val="2"/>
          <w:szCs w:val="22"/>
          <w:rtl/>
          <w14:ligatures w14:val="standardContextual"/>
        </w:rPr>
      </w:pPr>
      <w:r w:rsidRPr="00F5407A">
        <w:rPr>
          <w:rFonts w:ascii="Calibri" w:hAnsi="Calibri" w:cs="Calibri"/>
          <w:szCs w:val="22"/>
          <w:rtl/>
        </w:rPr>
        <w:t xml:space="preserve">أيد 14 مجيباً وضع معيار مخصص للويبو، وقدم المجيبون ملاحظاتهم المفصلة بشأن محتواه التقني والقانوني والإجرائي المحتمل.  وعلى هذا الأساس، أعدت فرقة العمل المعنية بتبادل بيانات الملكية الفكرية مشروع معيار للويبو بشأن تبادل بيانات الملكية الفكرية، </w:t>
      </w:r>
      <w:r w:rsidR="003A447D">
        <w:rPr>
          <w:rFonts w:ascii="Calibri" w:hAnsi="Calibri" w:cs="Calibri" w:hint="cs"/>
          <w:szCs w:val="22"/>
          <w:rtl/>
        </w:rPr>
        <w:t>ي</w:t>
      </w:r>
      <w:r w:rsidRPr="00F5407A">
        <w:rPr>
          <w:rFonts w:ascii="Calibri" w:hAnsi="Calibri" w:cs="Calibri"/>
          <w:szCs w:val="22"/>
          <w:rtl/>
        </w:rPr>
        <w:t xml:space="preserve">تناول عدة أمور من بينها </w:t>
      </w:r>
      <w:r w:rsidR="003A447D">
        <w:rPr>
          <w:rFonts w:ascii="Calibri" w:hAnsi="Calibri" w:cs="Calibri" w:hint="cs"/>
          <w:szCs w:val="22"/>
          <w:rtl/>
        </w:rPr>
        <w:t>أنساق</w:t>
      </w:r>
      <w:r w:rsidR="003A447D" w:rsidRPr="00F5407A">
        <w:rPr>
          <w:rFonts w:ascii="Calibri" w:hAnsi="Calibri" w:cs="Calibri"/>
          <w:szCs w:val="22"/>
          <w:rtl/>
        </w:rPr>
        <w:t xml:space="preserve"> </w:t>
      </w:r>
      <w:r w:rsidRPr="00F5407A">
        <w:rPr>
          <w:rFonts w:ascii="Calibri" w:hAnsi="Calibri" w:cs="Calibri"/>
          <w:szCs w:val="22"/>
          <w:rtl/>
        </w:rPr>
        <w:t xml:space="preserve">البيانات وطرق التبادل ومبدأ المعاملة بالمثل والتوجيهات الإجرائية.  ويرد مشروع المعيار في الوثيقة </w:t>
      </w:r>
      <w:r w:rsidRPr="00F5407A">
        <w:rPr>
          <w:rFonts w:ascii="Calibri" w:hAnsi="Calibri" w:cs="Calibri"/>
          <w:szCs w:val="22"/>
        </w:rPr>
        <w:t>CWS/14/13</w:t>
      </w:r>
      <w:r w:rsidRPr="00F5407A">
        <w:rPr>
          <w:rFonts w:ascii="Calibri" w:hAnsi="Calibri" w:cs="Calibri"/>
          <w:szCs w:val="22"/>
          <w:rtl/>
        </w:rPr>
        <w:t xml:space="preserve"> </w:t>
      </w:r>
      <w:r w:rsidR="002503E3">
        <w:rPr>
          <w:rFonts w:ascii="Calibri" w:hAnsi="Calibri" w:cs="Calibri" w:hint="cs"/>
          <w:szCs w:val="22"/>
          <w:rtl/>
        </w:rPr>
        <w:t>للنظر فيه من قبل لجنة المعايير، وحيثما أمكن، اعتماده.</w:t>
      </w:r>
    </w:p>
    <w:p w14:paraId="1B657A10" w14:textId="56ACF777" w:rsidR="002928D3" w:rsidRPr="007E4202" w:rsidRDefault="007E7611" w:rsidP="009112A6">
      <w:pPr>
        <w:pStyle w:val="Heading2"/>
        <w:bidi/>
        <w:rPr>
          <w:rFonts w:ascii="Calibri" w:hAnsi="Calibri" w:cs="Calibri"/>
          <w:b/>
          <w:bCs w:val="0"/>
          <w:i/>
          <w:iCs w:val="0"/>
          <w:sz w:val="24"/>
          <w:szCs w:val="24"/>
          <w:rtl/>
        </w:rPr>
      </w:pPr>
      <w:r w:rsidRPr="007E4202">
        <w:rPr>
          <w:rFonts w:ascii="Calibri" w:hAnsi="Calibri" w:cs="Calibri"/>
          <w:b/>
          <w:bCs w:val="0"/>
          <w:i/>
          <w:iCs w:val="0"/>
          <w:sz w:val="24"/>
          <w:szCs w:val="24"/>
          <w:rtl/>
        </w:rPr>
        <w:t>الخطوات المقبلة المقترحة</w:t>
      </w:r>
    </w:p>
    <w:p w14:paraId="37E6757D" w14:textId="2819531B" w:rsidR="0000450D" w:rsidRPr="00F5407A" w:rsidRDefault="00D64943" w:rsidP="00CD31E0">
      <w:pPr>
        <w:pStyle w:val="ONUME"/>
        <w:bidi/>
        <w:rPr>
          <w:rFonts w:ascii="Calibri" w:hAnsi="Calibri" w:cs="Calibri"/>
          <w:kern w:val="2"/>
          <w:szCs w:val="22"/>
          <w:rtl/>
          <w14:ligatures w14:val="standardContextual"/>
        </w:rPr>
      </w:pPr>
      <w:r w:rsidRPr="00F5407A">
        <w:rPr>
          <w:rFonts w:ascii="Calibri" w:hAnsi="Calibri" w:cs="Calibri"/>
          <w:szCs w:val="22"/>
          <w:rtl/>
        </w:rPr>
        <w:t>في ضوء نتائج الدراسة الاستقصائية، وبالإضافة إلى وضع معيار جديد للويبو بشأن تبادل بيانات الملكية الفكرية واستخدامها، تقترح الأمانة أن تنظر لجنة المعايير في الخطوات التالية لدعم تبادل بيانات الملكية الفكرية بين المكاتب بطريقة أكثر اتساقًا وكفاءة واستدامة.</w:t>
      </w:r>
    </w:p>
    <w:p w14:paraId="1B9B45A4" w14:textId="34891316" w:rsidR="0095037B" w:rsidRPr="007E4202" w:rsidRDefault="00F97193" w:rsidP="009112A6">
      <w:pPr>
        <w:pStyle w:val="Heading3"/>
        <w:bidi/>
        <w:rPr>
          <w:rFonts w:ascii="Calibri" w:hAnsi="Calibri" w:cs="Calibri"/>
          <w:b/>
          <w:bCs w:val="0"/>
          <w:szCs w:val="22"/>
          <w:rtl/>
        </w:rPr>
      </w:pPr>
      <w:r w:rsidRPr="007E4202">
        <w:rPr>
          <w:rFonts w:ascii="Calibri" w:hAnsi="Calibri" w:cs="Calibri"/>
          <w:b/>
          <w:bCs w:val="0"/>
          <w:szCs w:val="22"/>
          <w:rtl/>
        </w:rPr>
        <w:t>تبادل الخبرات في مجال تبادل بيانات الملكية الفكرية وإنشاء منصة للتواصل</w:t>
      </w:r>
    </w:p>
    <w:p w14:paraId="223E419E" w14:textId="79DF3E3B" w:rsidR="0000450D" w:rsidRPr="00F5407A" w:rsidRDefault="000F517C" w:rsidP="001A65BE">
      <w:pPr>
        <w:pStyle w:val="ONUME"/>
        <w:bidi/>
        <w:rPr>
          <w:rFonts w:ascii="Calibri" w:hAnsi="Calibri" w:cs="Calibri"/>
          <w:kern w:val="2"/>
          <w:szCs w:val="22"/>
          <w:rtl/>
          <w14:ligatures w14:val="standardContextual"/>
        </w:rPr>
      </w:pPr>
      <w:r w:rsidRPr="00F5407A">
        <w:rPr>
          <w:rFonts w:ascii="Calibri" w:hAnsi="Calibri" w:cs="Calibri"/>
          <w:szCs w:val="22"/>
          <w:rtl/>
        </w:rPr>
        <w:t>حظي جمع وتبادل أفضل الممارسات بأكبر قدر من الدعم بين المجيبين (29 مجيباً).  كما حظي إنشاء بوابة إلكترونية لتسهيل التواصل وتبادل الخبرات بتأييد واسع النطاق (19 مجيباً).  وبناءً على ذلك، يُقترح أن تتولى فرقة العمل المعنية بتبادل بيانات الملكية الفكرية تجميع قاعدة بيانات للممارسات الحالية، بالاعتماد على ردود الدراسة الاستقصائية، واستكشاف إمكانية إنشاء منصة تواصل مخصصة تتيح للمكاتب تبادل تجاربها ومقارباتها العملية والتحديات التي تواجهها بشكل مستمر.  ومن شأن هذه المبادرات مجتمعة أن تشكل مرجعاً عملياً ومورداً تعاونياً للمكاتب التي تسعى إلى إنشاء ترتيبات لتبادل البيانات أو تحسينها.</w:t>
      </w:r>
    </w:p>
    <w:p w14:paraId="04971AAC" w14:textId="45BC4A02" w:rsidR="00882BC5" w:rsidRPr="007E4202" w:rsidRDefault="00882BC5" w:rsidP="009112A6">
      <w:pPr>
        <w:pStyle w:val="Heading3"/>
        <w:bidi/>
        <w:rPr>
          <w:rFonts w:ascii="Calibri" w:hAnsi="Calibri" w:cs="Calibri"/>
          <w:b/>
          <w:bCs w:val="0"/>
          <w:szCs w:val="22"/>
          <w:rtl/>
        </w:rPr>
      </w:pPr>
      <w:r w:rsidRPr="007E4202">
        <w:rPr>
          <w:rFonts w:ascii="Calibri" w:hAnsi="Calibri" w:cs="Calibri"/>
          <w:b/>
          <w:bCs w:val="0"/>
          <w:szCs w:val="22"/>
          <w:rtl/>
        </w:rPr>
        <w:t>منصة عالمية لتبادل بيانات الملكية الفكرية</w:t>
      </w:r>
    </w:p>
    <w:p w14:paraId="6C00AC4B" w14:textId="101541EC" w:rsidR="0000450D" w:rsidRPr="00F5407A" w:rsidRDefault="0088523C" w:rsidP="00CD31E0">
      <w:pPr>
        <w:pStyle w:val="ONUME"/>
        <w:bidi/>
        <w:rPr>
          <w:rFonts w:ascii="Calibri" w:hAnsi="Calibri" w:cs="Calibri"/>
          <w:kern w:val="2"/>
          <w:szCs w:val="22"/>
          <w:rtl/>
          <w14:ligatures w14:val="standardContextual"/>
        </w:rPr>
      </w:pPr>
      <w:r w:rsidRPr="00F5407A">
        <w:rPr>
          <w:rFonts w:ascii="Calibri" w:hAnsi="Calibri" w:cs="Calibri"/>
          <w:szCs w:val="22"/>
          <w:rtl/>
        </w:rPr>
        <w:t xml:space="preserve">أشار 20 مجيباً إلى ضرورة إنشاء منصة مركزية مخصصة لتبادل بيانات الملكية الفكرية كحل عاجل.  ولذلك، يُقترح أن تتولى فرقة العمل المعنية بتبادل بيانات الملكية الفكرية إجراء تقييم إضافي لنتائج الدراسة الاستقصائية، ودراسة الآثار الوظيفية والتقنية والإدارية والقانونية </w:t>
      </w:r>
      <w:r w:rsidR="00C677E5">
        <w:rPr>
          <w:rFonts w:ascii="Calibri" w:hAnsi="Calibri" w:cs="Calibri" w:hint="cs"/>
          <w:szCs w:val="22"/>
          <w:rtl/>
        </w:rPr>
        <w:t>والمرتبطة</w:t>
      </w:r>
      <w:r w:rsidR="00C677E5" w:rsidRPr="00F5407A">
        <w:rPr>
          <w:rFonts w:ascii="Calibri" w:hAnsi="Calibri" w:cs="Calibri"/>
          <w:szCs w:val="22"/>
          <w:rtl/>
        </w:rPr>
        <w:t xml:space="preserve"> </w:t>
      </w:r>
      <w:r w:rsidRPr="00F5407A">
        <w:rPr>
          <w:rFonts w:ascii="Calibri" w:hAnsi="Calibri" w:cs="Calibri"/>
          <w:szCs w:val="22"/>
          <w:rtl/>
        </w:rPr>
        <w:t>بالموارد المترتبة على هذه البنية التحتية، والتشاور مع المكاتب المعنية</w:t>
      </w:r>
      <w:r w:rsidR="002503E3">
        <w:rPr>
          <w:rFonts w:ascii="Calibri" w:hAnsi="Calibri" w:cs="Calibri" w:hint="cs"/>
          <w:szCs w:val="22"/>
          <w:rtl/>
        </w:rPr>
        <w:t>،</w:t>
      </w:r>
      <w:r w:rsidRPr="00F5407A">
        <w:rPr>
          <w:rFonts w:ascii="Calibri" w:hAnsi="Calibri" w:cs="Calibri"/>
          <w:szCs w:val="22"/>
          <w:rtl/>
        </w:rPr>
        <w:t xml:space="preserve"> </w:t>
      </w:r>
      <w:r w:rsidR="002503E3">
        <w:rPr>
          <w:rFonts w:ascii="Calibri" w:hAnsi="Calibri" w:cs="Calibri" w:hint="cs"/>
          <w:szCs w:val="22"/>
          <w:rtl/>
        </w:rPr>
        <w:t>حسب الاقتضاء</w:t>
      </w:r>
      <w:r w:rsidRPr="00F5407A">
        <w:rPr>
          <w:rFonts w:ascii="Calibri" w:hAnsi="Calibri" w:cs="Calibri"/>
          <w:szCs w:val="22"/>
          <w:rtl/>
        </w:rPr>
        <w:t>، وتقديم توصيات إلى لجنة المعايير بشأن جدوى إنشاء منصة عالمية لتبادل بيانات الملكية الفكرية ونطاقها المحتمل.</w:t>
      </w:r>
    </w:p>
    <w:p w14:paraId="0737E500" w14:textId="109BEA8C" w:rsidR="00643F70" w:rsidRPr="00F5407A" w:rsidRDefault="004861A5" w:rsidP="00CD31E0">
      <w:pPr>
        <w:pStyle w:val="ONUME"/>
        <w:bidi/>
        <w:ind w:firstLine="5529"/>
        <w:rPr>
          <w:rFonts w:ascii="Calibri" w:hAnsi="Calibri" w:cs="Calibri"/>
          <w:szCs w:val="22"/>
          <w:rtl/>
        </w:rPr>
      </w:pPr>
      <w:r w:rsidRPr="00F5407A">
        <w:rPr>
          <w:rFonts w:ascii="Calibri" w:hAnsi="Calibri" w:cs="Calibri"/>
          <w:szCs w:val="22"/>
          <w:rtl/>
        </w:rPr>
        <w:t xml:space="preserve">إنّ لجنة المعايير مدعوة إلى:  </w:t>
      </w:r>
    </w:p>
    <w:p w14:paraId="2FD9BE06" w14:textId="1FAF59DF" w:rsidR="00643F70" w:rsidRPr="00F5407A" w:rsidRDefault="00643F70" w:rsidP="008D4E2A">
      <w:pPr>
        <w:pStyle w:val="ONUME"/>
        <w:numPr>
          <w:ilvl w:val="1"/>
          <w:numId w:val="5"/>
        </w:numPr>
        <w:bidi/>
        <w:ind w:left="5534" w:firstLine="567"/>
        <w:rPr>
          <w:rFonts w:ascii="Calibri" w:hAnsi="Calibri" w:cs="Calibri"/>
          <w:i/>
          <w:iCs/>
          <w:szCs w:val="22"/>
          <w:rtl/>
        </w:rPr>
      </w:pPr>
      <w:r w:rsidRPr="00F5407A">
        <w:rPr>
          <w:rFonts w:ascii="Calibri" w:hAnsi="Calibri" w:cs="Calibri"/>
          <w:i/>
          <w:iCs/>
          <w:szCs w:val="22"/>
          <w:rtl/>
        </w:rPr>
        <w:t>الإحاطة علماً بمحتوى هذه الوثيقة؛</w:t>
      </w:r>
    </w:p>
    <w:p w14:paraId="4F5BA80C" w14:textId="2EC1009B" w:rsidR="00643F70" w:rsidRPr="00F5407A" w:rsidRDefault="00643F70" w:rsidP="008D4E2A">
      <w:pPr>
        <w:pStyle w:val="ONUME"/>
        <w:numPr>
          <w:ilvl w:val="1"/>
          <w:numId w:val="5"/>
        </w:numPr>
        <w:bidi/>
        <w:ind w:left="5534" w:firstLine="567"/>
        <w:rPr>
          <w:rFonts w:ascii="Calibri" w:hAnsi="Calibri" w:cs="Calibri"/>
          <w:i/>
          <w:iCs/>
          <w:szCs w:val="22"/>
          <w:rtl/>
        </w:rPr>
      </w:pPr>
      <w:r w:rsidRPr="00F5407A">
        <w:rPr>
          <w:rFonts w:ascii="Calibri" w:hAnsi="Calibri" w:cs="Calibri"/>
          <w:i/>
          <w:iCs/>
          <w:szCs w:val="22"/>
          <w:rtl/>
        </w:rPr>
        <w:t>والنظر في نتائج الدراسة الاستقصائية الواردة في الفقرات من 8 إلى 54 والموافقة على نشرها في الجزء 7 من دليل الويبو؛</w:t>
      </w:r>
    </w:p>
    <w:p w14:paraId="066686EB" w14:textId="517AA7C7" w:rsidR="005B3778" w:rsidRPr="00F5407A" w:rsidRDefault="00763C0B" w:rsidP="008D4E2A">
      <w:pPr>
        <w:pStyle w:val="ONUME"/>
        <w:keepNext/>
        <w:keepLines/>
        <w:numPr>
          <w:ilvl w:val="1"/>
          <w:numId w:val="46"/>
        </w:numPr>
        <w:bidi/>
        <w:ind w:left="5534" w:firstLine="567"/>
        <w:rPr>
          <w:rFonts w:ascii="Calibri" w:hAnsi="Calibri" w:cs="Calibri"/>
          <w:szCs w:val="22"/>
          <w:rtl/>
        </w:rPr>
      </w:pPr>
      <w:r w:rsidRPr="00F5407A">
        <w:rPr>
          <w:rFonts w:ascii="Calibri" w:hAnsi="Calibri" w:cs="Calibri"/>
          <w:i/>
          <w:iCs/>
          <w:szCs w:val="22"/>
          <w:rtl/>
        </w:rPr>
        <w:t>والإحاطة علماً بالخطوات المقترحة التالية الواردة في الفقرات من 56 إلى 58 أعلاه، ودعوة فرقة العمل المعنية بتبادل بيانات الملكية الفكرية إلى إدراج الأنشطة المقترحة في خطة عملها.</w:t>
      </w:r>
    </w:p>
    <w:p w14:paraId="3C5ADDB0" w14:textId="77777777" w:rsidR="00E22F09" w:rsidRPr="00F5407A" w:rsidRDefault="00E22F09" w:rsidP="004D1BAB">
      <w:pPr>
        <w:pStyle w:val="Endofdocument-Annex"/>
        <w:rPr>
          <w:rFonts w:ascii="Calibri" w:hAnsi="Calibri" w:cs="Calibri"/>
          <w:szCs w:val="22"/>
        </w:rPr>
      </w:pPr>
    </w:p>
    <w:p w14:paraId="3C591503" w14:textId="77777777" w:rsidR="009112A6" w:rsidRPr="00F5407A" w:rsidRDefault="009112A6" w:rsidP="004D1BAB">
      <w:pPr>
        <w:pStyle w:val="Endofdocument-Annex"/>
        <w:rPr>
          <w:rFonts w:ascii="Calibri" w:hAnsi="Calibri" w:cs="Calibri"/>
          <w:szCs w:val="22"/>
        </w:rPr>
      </w:pPr>
    </w:p>
    <w:p w14:paraId="278BD084" w14:textId="77777777" w:rsidR="00E22F09" w:rsidRPr="00F5407A" w:rsidRDefault="00E22F09" w:rsidP="004D1BAB">
      <w:pPr>
        <w:pStyle w:val="Endofdocument-Annex"/>
        <w:rPr>
          <w:rFonts w:ascii="Calibri" w:hAnsi="Calibri" w:cs="Calibri"/>
          <w:szCs w:val="22"/>
        </w:rPr>
      </w:pPr>
    </w:p>
    <w:p w14:paraId="1521194A" w14:textId="315443A5" w:rsidR="002928D3" w:rsidRPr="00F5407A" w:rsidRDefault="009C7E8C" w:rsidP="009112A6">
      <w:pPr>
        <w:pStyle w:val="Endofdocument-Annex"/>
        <w:bidi/>
        <w:rPr>
          <w:rFonts w:ascii="Calibri" w:hAnsi="Calibri" w:cs="Calibri"/>
          <w:szCs w:val="22"/>
          <w:rtl/>
        </w:rPr>
      </w:pPr>
      <w:r w:rsidRPr="00F5407A">
        <w:rPr>
          <w:rFonts w:ascii="Calibri" w:hAnsi="Calibri" w:cs="Calibri"/>
          <w:szCs w:val="22"/>
          <w:rtl/>
        </w:rPr>
        <w:t>[نهاية الوثيقة]</w:t>
      </w:r>
    </w:p>
    <w:p w14:paraId="76A50A75" w14:textId="77777777" w:rsidR="009112A6" w:rsidRPr="00F5407A" w:rsidRDefault="009112A6" w:rsidP="009112A6">
      <w:pPr>
        <w:pStyle w:val="Endofdocument-Annex"/>
        <w:rPr>
          <w:rFonts w:ascii="Calibri" w:hAnsi="Calibri" w:cs="Calibri"/>
          <w:szCs w:val="22"/>
        </w:rPr>
      </w:pPr>
    </w:p>
    <w:sectPr w:rsidR="009112A6" w:rsidRPr="00F5407A" w:rsidSect="00C76CDB">
      <w:headerReference w:type="default" r:id="rId2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DB98" w14:textId="77777777" w:rsidR="00886942" w:rsidRDefault="00886942">
      <w:r>
        <w:separator/>
      </w:r>
    </w:p>
  </w:endnote>
  <w:endnote w:type="continuationSeparator" w:id="0">
    <w:p w14:paraId="7F38356C" w14:textId="77777777" w:rsidR="00886942" w:rsidRDefault="00886942" w:rsidP="003B38C1">
      <w:r>
        <w:separator/>
      </w:r>
    </w:p>
    <w:p w14:paraId="2A666AD2" w14:textId="77777777" w:rsidR="00886942" w:rsidRPr="003B38C1" w:rsidRDefault="00886942" w:rsidP="003B38C1">
      <w:pPr>
        <w:spacing w:after="60"/>
        <w:rPr>
          <w:sz w:val="17"/>
        </w:rPr>
      </w:pPr>
      <w:r>
        <w:rPr>
          <w:sz w:val="17"/>
        </w:rPr>
        <w:t>[Endnote continued from previous page]</w:t>
      </w:r>
    </w:p>
  </w:endnote>
  <w:endnote w:type="continuationNotice" w:id="1">
    <w:p w14:paraId="06347F04" w14:textId="77777777" w:rsidR="00886942" w:rsidRPr="003B38C1" w:rsidRDefault="00886942"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8618F" w14:textId="77777777" w:rsidR="00886942" w:rsidRDefault="00886942">
      <w:r>
        <w:separator/>
      </w:r>
    </w:p>
  </w:footnote>
  <w:footnote w:type="continuationSeparator" w:id="0">
    <w:p w14:paraId="1E7F9923" w14:textId="77777777" w:rsidR="00886942" w:rsidRDefault="00886942" w:rsidP="008B60B2">
      <w:r>
        <w:separator/>
      </w:r>
    </w:p>
    <w:p w14:paraId="20229B46" w14:textId="77777777" w:rsidR="00886942" w:rsidRPr="00ED77FB" w:rsidRDefault="00886942" w:rsidP="008B60B2">
      <w:pPr>
        <w:spacing w:after="60"/>
        <w:rPr>
          <w:sz w:val="17"/>
          <w:szCs w:val="17"/>
        </w:rPr>
      </w:pPr>
      <w:r w:rsidRPr="00ED77FB">
        <w:rPr>
          <w:sz w:val="17"/>
          <w:szCs w:val="17"/>
        </w:rPr>
        <w:t>[Footnote continued from previous page]</w:t>
      </w:r>
    </w:p>
  </w:footnote>
  <w:footnote w:type="continuationNotice" w:id="1">
    <w:p w14:paraId="5305BA0B" w14:textId="77777777" w:rsidR="00886942" w:rsidRPr="00ED77FB" w:rsidRDefault="00886942"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B5F8" w14:textId="71791B5A" w:rsidR="00EC4E49" w:rsidRDefault="00C76CDB" w:rsidP="00477D6B">
    <w:pPr>
      <w:bidi/>
      <w:jc w:val="right"/>
      <w:rPr>
        <w:rtl/>
      </w:rPr>
    </w:pPr>
    <w:bookmarkStart w:id="3" w:name="Code2"/>
    <w:bookmarkEnd w:id="3"/>
    <w:r>
      <w:t>CWS/14/12</w:t>
    </w:r>
  </w:p>
  <w:p w14:paraId="6BD4B725" w14:textId="0C635302"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5A82EE4A" w14:textId="77777777" w:rsidR="00EC4E49" w:rsidRDefault="00EC4E49" w:rsidP="00477D6B">
    <w:pPr>
      <w:jc w:val="right"/>
    </w:pPr>
  </w:p>
  <w:p w14:paraId="6BFC83C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760AD7DE"/>
    <w:lvl w:ilvl="0">
      <w:start w:val="1"/>
      <w:numFmt w:val="decimal"/>
      <w:lvlRestart w:val="0"/>
      <w:pStyle w:val="ONUME"/>
      <w:lvlText w:val="%1."/>
      <w:lvlJc w:val="left"/>
      <w:pPr>
        <w:tabs>
          <w:tab w:val="num" w:pos="567"/>
        </w:tabs>
        <w:ind w:left="0" w:firstLine="0"/>
      </w:pPr>
      <w:rPr>
        <w:rFonts w:hint="default"/>
      </w:rPr>
    </w:lvl>
    <w:lvl w:ilvl="1">
      <w:start w:val="1"/>
      <w:numFmt w:val="arabicAlpha"/>
      <w:lvlText w:val="(%2)"/>
      <w:lvlJc w:val="left"/>
      <w:pPr>
        <w:ind w:left="6750" w:hanging="360"/>
      </w:pPr>
      <w:rPr>
        <w:rFonts w:ascii="Calibri" w:eastAsia="SimSun" w:hAnsi="Calibri" w:cs="Calibri"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273B47"/>
    <w:multiLevelType w:val="multilevel"/>
    <w:tmpl w:val="90DA5E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65349"/>
    <w:multiLevelType w:val="multilevel"/>
    <w:tmpl w:val="A42495C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7145A9"/>
    <w:multiLevelType w:val="multilevel"/>
    <w:tmpl w:val="5186F7F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DFB6642"/>
    <w:multiLevelType w:val="multilevel"/>
    <w:tmpl w:val="79AE9C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EB6579"/>
    <w:multiLevelType w:val="multilevel"/>
    <w:tmpl w:val="56266F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9" w15:restartNumberingAfterBreak="0">
    <w:nsid w:val="20E82684"/>
    <w:multiLevelType w:val="multilevel"/>
    <w:tmpl w:val="8C2AB03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657750"/>
    <w:multiLevelType w:val="hybridMultilevel"/>
    <w:tmpl w:val="EC86603C"/>
    <w:lvl w:ilvl="0" w:tplc="6E3C669C">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FC5524"/>
    <w:multiLevelType w:val="multilevel"/>
    <w:tmpl w:val="072ECB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90186F"/>
    <w:multiLevelType w:val="multilevel"/>
    <w:tmpl w:val="140680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330923"/>
    <w:multiLevelType w:val="multilevel"/>
    <w:tmpl w:val="72F81CF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9E3948"/>
    <w:multiLevelType w:val="multilevel"/>
    <w:tmpl w:val="7F52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002A7C"/>
    <w:multiLevelType w:val="hybridMultilevel"/>
    <w:tmpl w:val="07940B44"/>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F6BF4"/>
    <w:multiLevelType w:val="multilevel"/>
    <w:tmpl w:val="6A0019FE"/>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FC6CC8"/>
    <w:multiLevelType w:val="hybridMultilevel"/>
    <w:tmpl w:val="187EE69A"/>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06DB5"/>
    <w:multiLevelType w:val="hybridMultilevel"/>
    <w:tmpl w:val="5F943266"/>
    <w:lvl w:ilvl="0" w:tplc="921A9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390034"/>
    <w:multiLevelType w:val="multilevel"/>
    <w:tmpl w:val="FE04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56863EA"/>
    <w:multiLevelType w:val="multilevel"/>
    <w:tmpl w:val="ACC6B3E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58631E"/>
    <w:multiLevelType w:val="hybridMultilevel"/>
    <w:tmpl w:val="75B87DC8"/>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05ACC"/>
    <w:multiLevelType w:val="hybridMultilevel"/>
    <w:tmpl w:val="01C2BF6E"/>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296911"/>
    <w:multiLevelType w:val="multilevel"/>
    <w:tmpl w:val="0610E5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710CE"/>
    <w:multiLevelType w:val="multilevel"/>
    <w:tmpl w:val="CFAC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1C2A48"/>
    <w:multiLevelType w:val="multilevel"/>
    <w:tmpl w:val="6970774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75B89"/>
    <w:multiLevelType w:val="multilevel"/>
    <w:tmpl w:val="D0AC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68594C"/>
    <w:multiLevelType w:val="multilevel"/>
    <w:tmpl w:val="0B8E81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0A7660"/>
    <w:multiLevelType w:val="multilevel"/>
    <w:tmpl w:val="30D0E30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070FBD"/>
    <w:multiLevelType w:val="multilevel"/>
    <w:tmpl w:val="1312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FF6091"/>
    <w:multiLevelType w:val="multilevel"/>
    <w:tmpl w:val="AC96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D7CBD"/>
    <w:multiLevelType w:val="hybridMultilevel"/>
    <w:tmpl w:val="E082628E"/>
    <w:lvl w:ilvl="0" w:tplc="F89C11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D13FE"/>
    <w:multiLevelType w:val="multilevel"/>
    <w:tmpl w:val="79D2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E2CC7"/>
    <w:multiLevelType w:val="multilevel"/>
    <w:tmpl w:val="308E44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abstractNum w:abstractNumId="38" w15:restartNumberingAfterBreak="0">
    <w:nsid w:val="6EF446CD"/>
    <w:multiLevelType w:val="multilevel"/>
    <w:tmpl w:val="C3BEF8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EE5B4D"/>
    <w:multiLevelType w:val="multilevel"/>
    <w:tmpl w:val="A7281B5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B12D83"/>
    <w:multiLevelType w:val="multilevel"/>
    <w:tmpl w:val="792E542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DF407E"/>
    <w:multiLevelType w:val="multilevel"/>
    <w:tmpl w:val="DE16954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2012D5"/>
    <w:multiLevelType w:val="multilevel"/>
    <w:tmpl w:val="4CC48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7B5745"/>
    <w:multiLevelType w:val="multilevel"/>
    <w:tmpl w:val="607CE8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5"/>
  </w:num>
  <w:num w:numId="2" w16cid:durableId="1707562677">
    <w:abstractNumId w:val="20"/>
  </w:num>
  <w:num w:numId="3" w16cid:durableId="488402972">
    <w:abstractNumId w:val="0"/>
  </w:num>
  <w:num w:numId="4" w16cid:durableId="1646352287">
    <w:abstractNumId w:val="24"/>
  </w:num>
  <w:num w:numId="5" w16cid:durableId="656806783">
    <w:abstractNumId w:val="1"/>
  </w:num>
  <w:num w:numId="6" w16cid:durableId="222833342">
    <w:abstractNumId w:val="8"/>
  </w:num>
  <w:num w:numId="7" w16cid:durableId="179704494">
    <w:abstractNumId w:val="42"/>
  </w:num>
  <w:num w:numId="8" w16cid:durableId="742333354">
    <w:abstractNumId w:val="11"/>
  </w:num>
  <w:num w:numId="9" w16cid:durableId="355737213">
    <w:abstractNumId w:val="18"/>
  </w:num>
  <w:num w:numId="10" w16cid:durableId="202059057">
    <w:abstractNumId w:val="10"/>
  </w:num>
  <w:num w:numId="11" w16cid:durableId="1007050873">
    <w:abstractNumId w:val="17"/>
  </w:num>
  <w:num w:numId="12" w16cid:durableId="1508211748">
    <w:abstractNumId w:val="12"/>
  </w:num>
  <w:num w:numId="13" w16cid:durableId="1153066651">
    <w:abstractNumId w:val="38"/>
  </w:num>
  <w:num w:numId="14" w16cid:durableId="460267502">
    <w:abstractNumId w:val="43"/>
  </w:num>
  <w:num w:numId="15" w16cid:durableId="721557656">
    <w:abstractNumId w:val="39"/>
  </w:num>
  <w:num w:numId="16" w16cid:durableId="363992293">
    <w:abstractNumId w:val="6"/>
  </w:num>
  <w:num w:numId="17" w16cid:durableId="807433448">
    <w:abstractNumId w:val="25"/>
  </w:num>
  <w:num w:numId="18" w16cid:durableId="301664370">
    <w:abstractNumId w:val="36"/>
  </w:num>
  <w:num w:numId="19" w16cid:durableId="829710978">
    <w:abstractNumId w:val="27"/>
  </w:num>
  <w:num w:numId="20" w16cid:durableId="27872956">
    <w:abstractNumId w:val="3"/>
  </w:num>
  <w:num w:numId="21" w16cid:durableId="2128114092">
    <w:abstractNumId w:val="31"/>
  </w:num>
  <w:num w:numId="22" w16cid:durableId="1251232816">
    <w:abstractNumId w:val="41"/>
  </w:num>
  <w:num w:numId="23" w16cid:durableId="1766918111">
    <w:abstractNumId w:val="9"/>
  </w:num>
  <w:num w:numId="24" w16cid:durableId="1236163044">
    <w:abstractNumId w:val="4"/>
  </w:num>
  <w:num w:numId="25" w16cid:durableId="238488415">
    <w:abstractNumId w:val="21"/>
  </w:num>
  <w:num w:numId="26" w16cid:durableId="1766922414">
    <w:abstractNumId w:val="40"/>
  </w:num>
  <w:num w:numId="27" w16cid:durableId="840389428">
    <w:abstractNumId w:val="22"/>
  </w:num>
  <w:num w:numId="28" w16cid:durableId="1527408409">
    <w:abstractNumId w:val="34"/>
  </w:num>
  <w:num w:numId="29" w16cid:durableId="707880612">
    <w:abstractNumId w:val="28"/>
  </w:num>
  <w:num w:numId="30" w16cid:durableId="511265348">
    <w:abstractNumId w:val="30"/>
  </w:num>
  <w:num w:numId="31" w16cid:durableId="1646273553">
    <w:abstractNumId w:val="13"/>
  </w:num>
  <w:num w:numId="32" w16cid:durableId="1570264242">
    <w:abstractNumId w:val="2"/>
  </w:num>
  <w:num w:numId="33" w16cid:durableId="1677418573">
    <w:abstractNumId w:val="29"/>
  </w:num>
  <w:num w:numId="34" w16cid:durableId="1810317912">
    <w:abstractNumId w:val="37"/>
  </w:num>
  <w:num w:numId="35" w16cid:durableId="1269120006">
    <w:abstractNumId w:val="16"/>
  </w:num>
  <w:num w:numId="36" w16cid:durableId="1616862058">
    <w:abstractNumId w:val="15"/>
  </w:num>
  <w:num w:numId="37" w16cid:durableId="1742823432">
    <w:abstractNumId w:val="23"/>
  </w:num>
  <w:num w:numId="38" w16cid:durableId="1728607538">
    <w:abstractNumId w:val="26"/>
  </w:num>
  <w:num w:numId="39" w16cid:durableId="379744132">
    <w:abstractNumId w:val="35"/>
  </w:num>
  <w:num w:numId="40" w16cid:durableId="2055230685">
    <w:abstractNumId w:val="32"/>
  </w:num>
  <w:num w:numId="41" w16cid:durableId="1071195997">
    <w:abstractNumId w:val="19"/>
  </w:num>
  <w:num w:numId="42" w16cid:durableId="84419069">
    <w:abstractNumId w:val="7"/>
  </w:num>
  <w:num w:numId="43" w16cid:durableId="2030183066">
    <w:abstractNumId w:val="14"/>
  </w:num>
  <w:num w:numId="44" w16cid:durableId="646209582">
    <w:abstractNumId w:val="33"/>
  </w:num>
  <w:num w:numId="45" w16cid:durableId="1654676739">
    <w:abstractNumId w:val="1"/>
    <w:lvlOverride w:ilvl="0">
      <w:startOverride w:val="5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7062985">
    <w:abstractNumId w:val="1"/>
    <w:lvlOverride w:ilvl="0">
      <w:startOverride w:val="11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CDB"/>
    <w:rsid w:val="0000117C"/>
    <w:rsid w:val="000011C9"/>
    <w:rsid w:val="00001259"/>
    <w:rsid w:val="00001475"/>
    <w:rsid w:val="00002272"/>
    <w:rsid w:val="00002770"/>
    <w:rsid w:val="00002953"/>
    <w:rsid w:val="00002BC8"/>
    <w:rsid w:val="00003CB9"/>
    <w:rsid w:val="0000450D"/>
    <w:rsid w:val="0000458D"/>
    <w:rsid w:val="000069DA"/>
    <w:rsid w:val="00006E09"/>
    <w:rsid w:val="000105CA"/>
    <w:rsid w:val="00010BC8"/>
    <w:rsid w:val="00010C25"/>
    <w:rsid w:val="00010C56"/>
    <w:rsid w:val="0001194E"/>
    <w:rsid w:val="00011B69"/>
    <w:rsid w:val="00011B94"/>
    <w:rsid w:val="000127E6"/>
    <w:rsid w:val="000129F1"/>
    <w:rsid w:val="00013048"/>
    <w:rsid w:val="00013CF1"/>
    <w:rsid w:val="00013DEF"/>
    <w:rsid w:val="00014337"/>
    <w:rsid w:val="0001473B"/>
    <w:rsid w:val="00014884"/>
    <w:rsid w:val="0001647B"/>
    <w:rsid w:val="00016829"/>
    <w:rsid w:val="0001719D"/>
    <w:rsid w:val="00021130"/>
    <w:rsid w:val="000215B5"/>
    <w:rsid w:val="000221CB"/>
    <w:rsid w:val="00024F8F"/>
    <w:rsid w:val="000258F1"/>
    <w:rsid w:val="0002594F"/>
    <w:rsid w:val="000277FD"/>
    <w:rsid w:val="00030501"/>
    <w:rsid w:val="00030C50"/>
    <w:rsid w:val="00031EB1"/>
    <w:rsid w:val="000322BB"/>
    <w:rsid w:val="000325A5"/>
    <w:rsid w:val="00033915"/>
    <w:rsid w:val="00034619"/>
    <w:rsid w:val="00034710"/>
    <w:rsid w:val="00035789"/>
    <w:rsid w:val="00035EAA"/>
    <w:rsid w:val="00036A04"/>
    <w:rsid w:val="00041F79"/>
    <w:rsid w:val="0004259B"/>
    <w:rsid w:val="00042C89"/>
    <w:rsid w:val="00043CAA"/>
    <w:rsid w:val="0004578D"/>
    <w:rsid w:val="0004594D"/>
    <w:rsid w:val="00046063"/>
    <w:rsid w:val="00046698"/>
    <w:rsid w:val="00046CD2"/>
    <w:rsid w:val="00047736"/>
    <w:rsid w:val="00047B9D"/>
    <w:rsid w:val="00050ADC"/>
    <w:rsid w:val="00050D99"/>
    <w:rsid w:val="00052CA3"/>
    <w:rsid w:val="00052CDD"/>
    <w:rsid w:val="00053B26"/>
    <w:rsid w:val="00054D46"/>
    <w:rsid w:val="0005528C"/>
    <w:rsid w:val="000564AF"/>
    <w:rsid w:val="00056727"/>
    <w:rsid w:val="00056958"/>
    <w:rsid w:val="00056B4F"/>
    <w:rsid w:val="00056D8D"/>
    <w:rsid w:val="00056E4A"/>
    <w:rsid w:val="000570EA"/>
    <w:rsid w:val="00057F85"/>
    <w:rsid w:val="000601E7"/>
    <w:rsid w:val="00060768"/>
    <w:rsid w:val="000608B4"/>
    <w:rsid w:val="00061FCC"/>
    <w:rsid w:val="000624D9"/>
    <w:rsid w:val="00063791"/>
    <w:rsid w:val="00063C35"/>
    <w:rsid w:val="00064066"/>
    <w:rsid w:val="00066032"/>
    <w:rsid w:val="00066B6D"/>
    <w:rsid w:val="00066D41"/>
    <w:rsid w:val="00067032"/>
    <w:rsid w:val="00067B1F"/>
    <w:rsid w:val="00067EBA"/>
    <w:rsid w:val="00070162"/>
    <w:rsid w:val="00071A95"/>
    <w:rsid w:val="00071EE1"/>
    <w:rsid w:val="0007261D"/>
    <w:rsid w:val="00073BD6"/>
    <w:rsid w:val="00075162"/>
    <w:rsid w:val="00075432"/>
    <w:rsid w:val="00075596"/>
    <w:rsid w:val="0007592C"/>
    <w:rsid w:val="00075A65"/>
    <w:rsid w:val="000817DB"/>
    <w:rsid w:val="00082B86"/>
    <w:rsid w:val="00084058"/>
    <w:rsid w:val="0008414C"/>
    <w:rsid w:val="00085A4F"/>
    <w:rsid w:val="00085EC2"/>
    <w:rsid w:val="00087415"/>
    <w:rsid w:val="00090330"/>
    <w:rsid w:val="0009121A"/>
    <w:rsid w:val="00092680"/>
    <w:rsid w:val="00092FFC"/>
    <w:rsid w:val="00093112"/>
    <w:rsid w:val="00093996"/>
    <w:rsid w:val="0009463A"/>
    <w:rsid w:val="00094E8C"/>
    <w:rsid w:val="00095449"/>
    <w:rsid w:val="000963D0"/>
    <w:rsid w:val="000964E0"/>
    <w:rsid w:val="000968B6"/>
    <w:rsid w:val="000968ED"/>
    <w:rsid w:val="00096B8E"/>
    <w:rsid w:val="000A03B4"/>
    <w:rsid w:val="000A0A3B"/>
    <w:rsid w:val="000A1593"/>
    <w:rsid w:val="000A426A"/>
    <w:rsid w:val="000A5510"/>
    <w:rsid w:val="000A63ED"/>
    <w:rsid w:val="000A75BE"/>
    <w:rsid w:val="000B0216"/>
    <w:rsid w:val="000B116C"/>
    <w:rsid w:val="000B165C"/>
    <w:rsid w:val="000B39F9"/>
    <w:rsid w:val="000B3C92"/>
    <w:rsid w:val="000B4AA3"/>
    <w:rsid w:val="000B5F77"/>
    <w:rsid w:val="000B65FA"/>
    <w:rsid w:val="000B733C"/>
    <w:rsid w:val="000B7BA1"/>
    <w:rsid w:val="000B7E42"/>
    <w:rsid w:val="000C0D6E"/>
    <w:rsid w:val="000C1405"/>
    <w:rsid w:val="000C1C41"/>
    <w:rsid w:val="000C2EAC"/>
    <w:rsid w:val="000C2FFE"/>
    <w:rsid w:val="000C3244"/>
    <w:rsid w:val="000C3695"/>
    <w:rsid w:val="000C445F"/>
    <w:rsid w:val="000C51A5"/>
    <w:rsid w:val="000C51F4"/>
    <w:rsid w:val="000C621B"/>
    <w:rsid w:val="000C6313"/>
    <w:rsid w:val="000C65A6"/>
    <w:rsid w:val="000C740F"/>
    <w:rsid w:val="000C74AA"/>
    <w:rsid w:val="000D03AD"/>
    <w:rsid w:val="000D0C79"/>
    <w:rsid w:val="000D14EC"/>
    <w:rsid w:val="000D18AC"/>
    <w:rsid w:val="000D4845"/>
    <w:rsid w:val="000D5BE3"/>
    <w:rsid w:val="000D69EA"/>
    <w:rsid w:val="000D6E43"/>
    <w:rsid w:val="000D7366"/>
    <w:rsid w:val="000D746E"/>
    <w:rsid w:val="000D7562"/>
    <w:rsid w:val="000D7964"/>
    <w:rsid w:val="000D7CF7"/>
    <w:rsid w:val="000E156C"/>
    <w:rsid w:val="000E27FF"/>
    <w:rsid w:val="000E2E90"/>
    <w:rsid w:val="000E373A"/>
    <w:rsid w:val="000E3D96"/>
    <w:rsid w:val="000E44FE"/>
    <w:rsid w:val="000E48AC"/>
    <w:rsid w:val="000E61D7"/>
    <w:rsid w:val="000E7128"/>
    <w:rsid w:val="000E7166"/>
    <w:rsid w:val="000F19BB"/>
    <w:rsid w:val="000F28E4"/>
    <w:rsid w:val="000F394F"/>
    <w:rsid w:val="000F3965"/>
    <w:rsid w:val="000F3D5F"/>
    <w:rsid w:val="000F4875"/>
    <w:rsid w:val="000F4CDE"/>
    <w:rsid w:val="000F4DCF"/>
    <w:rsid w:val="000F517C"/>
    <w:rsid w:val="000F52B2"/>
    <w:rsid w:val="000F52C8"/>
    <w:rsid w:val="000F577B"/>
    <w:rsid w:val="000F5B87"/>
    <w:rsid w:val="000F5E56"/>
    <w:rsid w:val="000F6B78"/>
    <w:rsid w:val="000F6C01"/>
    <w:rsid w:val="000F7D3E"/>
    <w:rsid w:val="001024FE"/>
    <w:rsid w:val="00102514"/>
    <w:rsid w:val="00102577"/>
    <w:rsid w:val="00102CD2"/>
    <w:rsid w:val="0010380F"/>
    <w:rsid w:val="00103D29"/>
    <w:rsid w:val="001044AB"/>
    <w:rsid w:val="00106F55"/>
    <w:rsid w:val="0011133B"/>
    <w:rsid w:val="00111625"/>
    <w:rsid w:val="0011177F"/>
    <w:rsid w:val="001135B1"/>
    <w:rsid w:val="001145B6"/>
    <w:rsid w:val="001151AC"/>
    <w:rsid w:val="0011742D"/>
    <w:rsid w:val="001200B3"/>
    <w:rsid w:val="001200E4"/>
    <w:rsid w:val="0012048F"/>
    <w:rsid w:val="00120D4E"/>
    <w:rsid w:val="00121854"/>
    <w:rsid w:val="0012287A"/>
    <w:rsid w:val="00126529"/>
    <w:rsid w:val="00131396"/>
    <w:rsid w:val="00133A13"/>
    <w:rsid w:val="00134071"/>
    <w:rsid w:val="0013440C"/>
    <w:rsid w:val="001348A7"/>
    <w:rsid w:val="00134B82"/>
    <w:rsid w:val="00135328"/>
    <w:rsid w:val="001362EE"/>
    <w:rsid w:val="001364AE"/>
    <w:rsid w:val="001364FA"/>
    <w:rsid w:val="001369C8"/>
    <w:rsid w:val="001374E8"/>
    <w:rsid w:val="00142868"/>
    <w:rsid w:val="00142F59"/>
    <w:rsid w:val="0014370A"/>
    <w:rsid w:val="00144E62"/>
    <w:rsid w:val="00147748"/>
    <w:rsid w:val="00147B3B"/>
    <w:rsid w:val="00150379"/>
    <w:rsid w:val="00150D52"/>
    <w:rsid w:val="00151A2B"/>
    <w:rsid w:val="00152258"/>
    <w:rsid w:val="00152B4E"/>
    <w:rsid w:val="00153448"/>
    <w:rsid w:val="00153673"/>
    <w:rsid w:val="001552AB"/>
    <w:rsid w:val="00156393"/>
    <w:rsid w:val="00156BB3"/>
    <w:rsid w:val="0015730F"/>
    <w:rsid w:val="00157AD1"/>
    <w:rsid w:val="001600A2"/>
    <w:rsid w:val="001615B9"/>
    <w:rsid w:val="0016249C"/>
    <w:rsid w:val="00162CC3"/>
    <w:rsid w:val="001666B9"/>
    <w:rsid w:val="001676F6"/>
    <w:rsid w:val="00167882"/>
    <w:rsid w:val="0017028D"/>
    <w:rsid w:val="0017033C"/>
    <w:rsid w:val="001709E3"/>
    <w:rsid w:val="00171222"/>
    <w:rsid w:val="0017151D"/>
    <w:rsid w:val="001724FE"/>
    <w:rsid w:val="001725C0"/>
    <w:rsid w:val="00172722"/>
    <w:rsid w:val="00173335"/>
    <w:rsid w:val="00173F3E"/>
    <w:rsid w:val="00173FA2"/>
    <w:rsid w:val="00174407"/>
    <w:rsid w:val="001747BD"/>
    <w:rsid w:val="00174D6B"/>
    <w:rsid w:val="00175AAD"/>
    <w:rsid w:val="00175B0C"/>
    <w:rsid w:val="001772C7"/>
    <w:rsid w:val="001775A7"/>
    <w:rsid w:val="00180CD2"/>
    <w:rsid w:val="0018104F"/>
    <w:rsid w:val="00181FB2"/>
    <w:rsid w:val="0018291B"/>
    <w:rsid w:val="00182B6C"/>
    <w:rsid w:val="001832A6"/>
    <w:rsid w:val="00183DAF"/>
    <w:rsid w:val="00183FBA"/>
    <w:rsid w:val="00185CDE"/>
    <w:rsid w:val="0018665C"/>
    <w:rsid w:val="00186BEC"/>
    <w:rsid w:val="001873A1"/>
    <w:rsid w:val="00191117"/>
    <w:rsid w:val="00191E28"/>
    <w:rsid w:val="00192767"/>
    <w:rsid w:val="001932CE"/>
    <w:rsid w:val="00193F67"/>
    <w:rsid w:val="00195505"/>
    <w:rsid w:val="00196DEC"/>
    <w:rsid w:val="00197196"/>
    <w:rsid w:val="001A01B3"/>
    <w:rsid w:val="001A0436"/>
    <w:rsid w:val="001A1031"/>
    <w:rsid w:val="001A2B92"/>
    <w:rsid w:val="001A32D0"/>
    <w:rsid w:val="001A394E"/>
    <w:rsid w:val="001A3D9F"/>
    <w:rsid w:val="001A40AF"/>
    <w:rsid w:val="001A4C13"/>
    <w:rsid w:val="001A5EC8"/>
    <w:rsid w:val="001A65BE"/>
    <w:rsid w:val="001B0C40"/>
    <w:rsid w:val="001B234D"/>
    <w:rsid w:val="001B34A9"/>
    <w:rsid w:val="001B46CE"/>
    <w:rsid w:val="001B5747"/>
    <w:rsid w:val="001B7683"/>
    <w:rsid w:val="001B7876"/>
    <w:rsid w:val="001C1E12"/>
    <w:rsid w:val="001C23CF"/>
    <w:rsid w:val="001C2C46"/>
    <w:rsid w:val="001C3415"/>
    <w:rsid w:val="001C4011"/>
    <w:rsid w:val="001C4428"/>
    <w:rsid w:val="001C48C7"/>
    <w:rsid w:val="001C5292"/>
    <w:rsid w:val="001C5B75"/>
    <w:rsid w:val="001C5ED4"/>
    <w:rsid w:val="001C64A8"/>
    <w:rsid w:val="001C6808"/>
    <w:rsid w:val="001C79CF"/>
    <w:rsid w:val="001D095E"/>
    <w:rsid w:val="001D0D39"/>
    <w:rsid w:val="001D16D6"/>
    <w:rsid w:val="001D36F8"/>
    <w:rsid w:val="001D4E68"/>
    <w:rsid w:val="001D54E2"/>
    <w:rsid w:val="001D560E"/>
    <w:rsid w:val="001D5737"/>
    <w:rsid w:val="001D67D6"/>
    <w:rsid w:val="001D7659"/>
    <w:rsid w:val="001E05B0"/>
    <w:rsid w:val="001E1907"/>
    <w:rsid w:val="001E2379"/>
    <w:rsid w:val="001E43CE"/>
    <w:rsid w:val="001E6C64"/>
    <w:rsid w:val="001E75C5"/>
    <w:rsid w:val="001F09CE"/>
    <w:rsid w:val="001F19B2"/>
    <w:rsid w:val="001F1DEB"/>
    <w:rsid w:val="001F313C"/>
    <w:rsid w:val="001F3AFC"/>
    <w:rsid w:val="001F661B"/>
    <w:rsid w:val="001F6B0C"/>
    <w:rsid w:val="001F7AD9"/>
    <w:rsid w:val="00201C33"/>
    <w:rsid w:val="00203457"/>
    <w:rsid w:val="002036D1"/>
    <w:rsid w:val="00203E0D"/>
    <w:rsid w:val="00205568"/>
    <w:rsid w:val="00205B91"/>
    <w:rsid w:val="00205C77"/>
    <w:rsid w:val="002069AE"/>
    <w:rsid w:val="002076E7"/>
    <w:rsid w:val="00210C0E"/>
    <w:rsid w:val="0021125E"/>
    <w:rsid w:val="00211759"/>
    <w:rsid w:val="002121FA"/>
    <w:rsid w:val="00212F12"/>
    <w:rsid w:val="002131B6"/>
    <w:rsid w:val="0021555E"/>
    <w:rsid w:val="00215B5B"/>
    <w:rsid w:val="002162DF"/>
    <w:rsid w:val="00216497"/>
    <w:rsid w:val="00216983"/>
    <w:rsid w:val="00216CB0"/>
    <w:rsid w:val="0021716A"/>
    <w:rsid w:val="0021734D"/>
    <w:rsid w:val="00221831"/>
    <w:rsid w:val="00222956"/>
    <w:rsid w:val="0022326D"/>
    <w:rsid w:val="00224315"/>
    <w:rsid w:val="002255AA"/>
    <w:rsid w:val="002262CE"/>
    <w:rsid w:val="00226736"/>
    <w:rsid w:val="00230ACF"/>
    <w:rsid w:val="00231BFE"/>
    <w:rsid w:val="00232C41"/>
    <w:rsid w:val="0023378E"/>
    <w:rsid w:val="00233820"/>
    <w:rsid w:val="00233F1A"/>
    <w:rsid w:val="00234420"/>
    <w:rsid w:val="00234CDB"/>
    <w:rsid w:val="00235F93"/>
    <w:rsid w:val="00236114"/>
    <w:rsid w:val="0023687B"/>
    <w:rsid w:val="0023768D"/>
    <w:rsid w:val="00237DF7"/>
    <w:rsid w:val="002401A9"/>
    <w:rsid w:val="00244533"/>
    <w:rsid w:val="002449AC"/>
    <w:rsid w:val="002460A1"/>
    <w:rsid w:val="0024781C"/>
    <w:rsid w:val="002478AA"/>
    <w:rsid w:val="002478AC"/>
    <w:rsid w:val="00247E6F"/>
    <w:rsid w:val="002503E3"/>
    <w:rsid w:val="00251983"/>
    <w:rsid w:val="00251BB9"/>
    <w:rsid w:val="00251C7D"/>
    <w:rsid w:val="00251D90"/>
    <w:rsid w:val="00251FB0"/>
    <w:rsid w:val="0025281D"/>
    <w:rsid w:val="00252E8A"/>
    <w:rsid w:val="00253519"/>
    <w:rsid w:val="0025388F"/>
    <w:rsid w:val="00253B91"/>
    <w:rsid w:val="00254008"/>
    <w:rsid w:val="002541D9"/>
    <w:rsid w:val="00254277"/>
    <w:rsid w:val="002555C0"/>
    <w:rsid w:val="00255FD3"/>
    <w:rsid w:val="0025708F"/>
    <w:rsid w:val="00257D86"/>
    <w:rsid w:val="00257D89"/>
    <w:rsid w:val="00260672"/>
    <w:rsid w:val="00260702"/>
    <w:rsid w:val="00260AF1"/>
    <w:rsid w:val="00261317"/>
    <w:rsid w:val="002618D0"/>
    <w:rsid w:val="00261FF7"/>
    <w:rsid w:val="002621A2"/>
    <w:rsid w:val="00262D7D"/>
    <w:rsid w:val="002634C4"/>
    <w:rsid w:val="00263802"/>
    <w:rsid w:val="00264A76"/>
    <w:rsid w:val="00265C6D"/>
    <w:rsid w:val="00267751"/>
    <w:rsid w:val="00267831"/>
    <w:rsid w:val="00271E14"/>
    <w:rsid w:val="00271E39"/>
    <w:rsid w:val="00272582"/>
    <w:rsid w:val="00273E3D"/>
    <w:rsid w:val="00273E85"/>
    <w:rsid w:val="00274239"/>
    <w:rsid w:val="00274E46"/>
    <w:rsid w:val="002751DF"/>
    <w:rsid w:val="0027673E"/>
    <w:rsid w:val="00276C1D"/>
    <w:rsid w:val="002802E4"/>
    <w:rsid w:val="00282392"/>
    <w:rsid w:val="002827DB"/>
    <w:rsid w:val="00283C8A"/>
    <w:rsid w:val="00284C0F"/>
    <w:rsid w:val="00287045"/>
    <w:rsid w:val="00287E98"/>
    <w:rsid w:val="00287FF9"/>
    <w:rsid w:val="00290420"/>
    <w:rsid w:val="00290748"/>
    <w:rsid w:val="00290F22"/>
    <w:rsid w:val="00291C12"/>
    <w:rsid w:val="002928D3"/>
    <w:rsid w:val="002948C7"/>
    <w:rsid w:val="0029652C"/>
    <w:rsid w:val="002A1137"/>
    <w:rsid w:val="002A1A4B"/>
    <w:rsid w:val="002A29DD"/>
    <w:rsid w:val="002A2A74"/>
    <w:rsid w:val="002A2EA6"/>
    <w:rsid w:val="002A465F"/>
    <w:rsid w:val="002A5136"/>
    <w:rsid w:val="002A5F41"/>
    <w:rsid w:val="002A66EF"/>
    <w:rsid w:val="002B0185"/>
    <w:rsid w:val="002B0ADA"/>
    <w:rsid w:val="002B1399"/>
    <w:rsid w:val="002B159C"/>
    <w:rsid w:val="002B188D"/>
    <w:rsid w:val="002B21A9"/>
    <w:rsid w:val="002B2C5B"/>
    <w:rsid w:val="002B3BFF"/>
    <w:rsid w:val="002B6BB3"/>
    <w:rsid w:val="002B78BA"/>
    <w:rsid w:val="002B7A37"/>
    <w:rsid w:val="002C22A9"/>
    <w:rsid w:val="002C3210"/>
    <w:rsid w:val="002C3AC7"/>
    <w:rsid w:val="002C5173"/>
    <w:rsid w:val="002C565B"/>
    <w:rsid w:val="002D0638"/>
    <w:rsid w:val="002D0942"/>
    <w:rsid w:val="002D0D6D"/>
    <w:rsid w:val="002D184A"/>
    <w:rsid w:val="002D22D1"/>
    <w:rsid w:val="002D2801"/>
    <w:rsid w:val="002D463F"/>
    <w:rsid w:val="002D522E"/>
    <w:rsid w:val="002D5A94"/>
    <w:rsid w:val="002D67AD"/>
    <w:rsid w:val="002D6DE9"/>
    <w:rsid w:val="002D73F4"/>
    <w:rsid w:val="002D772A"/>
    <w:rsid w:val="002D7745"/>
    <w:rsid w:val="002D77CF"/>
    <w:rsid w:val="002E04E8"/>
    <w:rsid w:val="002E0775"/>
    <w:rsid w:val="002E1211"/>
    <w:rsid w:val="002E1EEC"/>
    <w:rsid w:val="002E23F8"/>
    <w:rsid w:val="002E2F05"/>
    <w:rsid w:val="002E52CB"/>
    <w:rsid w:val="002E5380"/>
    <w:rsid w:val="002E6774"/>
    <w:rsid w:val="002E7302"/>
    <w:rsid w:val="002E7A02"/>
    <w:rsid w:val="002E7F5B"/>
    <w:rsid w:val="002F0250"/>
    <w:rsid w:val="002F086D"/>
    <w:rsid w:val="002F1FE6"/>
    <w:rsid w:val="002F471E"/>
    <w:rsid w:val="002F4E68"/>
    <w:rsid w:val="002F5786"/>
    <w:rsid w:val="002F6097"/>
    <w:rsid w:val="002F7890"/>
    <w:rsid w:val="002F7D13"/>
    <w:rsid w:val="00300B3B"/>
    <w:rsid w:val="00302079"/>
    <w:rsid w:val="00302C7C"/>
    <w:rsid w:val="00303391"/>
    <w:rsid w:val="00304F47"/>
    <w:rsid w:val="00305ADC"/>
    <w:rsid w:val="00310A58"/>
    <w:rsid w:val="00310A95"/>
    <w:rsid w:val="003111F8"/>
    <w:rsid w:val="00312F7F"/>
    <w:rsid w:val="003138E8"/>
    <w:rsid w:val="0031421C"/>
    <w:rsid w:val="00314C1D"/>
    <w:rsid w:val="00315CEA"/>
    <w:rsid w:val="00315FED"/>
    <w:rsid w:val="003167FA"/>
    <w:rsid w:val="00316C3B"/>
    <w:rsid w:val="0031762F"/>
    <w:rsid w:val="00317B1E"/>
    <w:rsid w:val="00320760"/>
    <w:rsid w:val="003224E1"/>
    <w:rsid w:val="003228B7"/>
    <w:rsid w:val="0032435C"/>
    <w:rsid w:val="0032489F"/>
    <w:rsid w:val="00325899"/>
    <w:rsid w:val="003274A7"/>
    <w:rsid w:val="00330F73"/>
    <w:rsid w:val="003317C7"/>
    <w:rsid w:val="00333553"/>
    <w:rsid w:val="003342D2"/>
    <w:rsid w:val="00334619"/>
    <w:rsid w:val="00335B1A"/>
    <w:rsid w:val="00335CF1"/>
    <w:rsid w:val="00337B31"/>
    <w:rsid w:val="00340D05"/>
    <w:rsid w:val="003416FC"/>
    <w:rsid w:val="00341B9D"/>
    <w:rsid w:val="00342CAC"/>
    <w:rsid w:val="00343F79"/>
    <w:rsid w:val="00344C48"/>
    <w:rsid w:val="00345179"/>
    <w:rsid w:val="003472C7"/>
    <w:rsid w:val="00347E2A"/>
    <w:rsid w:val="00347F16"/>
    <w:rsid w:val="003508A3"/>
    <w:rsid w:val="0035121F"/>
    <w:rsid w:val="00351761"/>
    <w:rsid w:val="00352A57"/>
    <w:rsid w:val="0035400A"/>
    <w:rsid w:val="00354103"/>
    <w:rsid w:val="00354F1E"/>
    <w:rsid w:val="0035628D"/>
    <w:rsid w:val="0035750D"/>
    <w:rsid w:val="00360C24"/>
    <w:rsid w:val="003612C7"/>
    <w:rsid w:val="003614D0"/>
    <w:rsid w:val="00362EC9"/>
    <w:rsid w:val="003639A3"/>
    <w:rsid w:val="00365E87"/>
    <w:rsid w:val="00366E73"/>
    <w:rsid w:val="00367218"/>
    <w:rsid w:val="003673CF"/>
    <w:rsid w:val="00367ABC"/>
    <w:rsid w:val="00370345"/>
    <w:rsid w:val="00370C1C"/>
    <w:rsid w:val="00371917"/>
    <w:rsid w:val="00371D98"/>
    <w:rsid w:val="003722AD"/>
    <w:rsid w:val="003722EB"/>
    <w:rsid w:val="00373329"/>
    <w:rsid w:val="0037589C"/>
    <w:rsid w:val="00375FE8"/>
    <w:rsid w:val="00376974"/>
    <w:rsid w:val="0038213A"/>
    <w:rsid w:val="003836E3"/>
    <w:rsid w:val="00383CDF"/>
    <w:rsid w:val="003845C1"/>
    <w:rsid w:val="00386674"/>
    <w:rsid w:val="00387C75"/>
    <w:rsid w:val="00390B87"/>
    <w:rsid w:val="003912A0"/>
    <w:rsid w:val="00391312"/>
    <w:rsid w:val="003919C8"/>
    <w:rsid w:val="00391E59"/>
    <w:rsid w:val="0039280E"/>
    <w:rsid w:val="00393D2F"/>
    <w:rsid w:val="003948E7"/>
    <w:rsid w:val="00395C7D"/>
    <w:rsid w:val="0039621F"/>
    <w:rsid w:val="00396243"/>
    <w:rsid w:val="00396D97"/>
    <w:rsid w:val="003971D7"/>
    <w:rsid w:val="0039786A"/>
    <w:rsid w:val="003A1EAB"/>
    <w:rsid w:val="003A2675"/>
    <w:rsid w:val="003A2EF6"/>
    <w:rsid w:val="003A4310"/>
    <w:rsid w:val="003A447D"/>
    <w:rsid w:val="003A4612"/>
    <w:rsid w:val="003A463C"/>
    <w:rsid w:val="003A48C0"/>
    <w:rsid w:val="003A4E7D"/>
    <w:rsid w:val="003A4E85"/>
    <w:rsid w:val="003A5377"/>
    <w:rsid w:val="003A5FAD"/>
    <w:rsid w:val="003A6161"/>
    <w:rsid w:val="003A6F89"/>
    <w:rsid w:val="003A7763"/>
    <w:rsid w:val="003B1E2F"/>
    <w:rsid w:val="003B2636"/>
    <w:rsid w:val="003B33BE"/>
    <w:rsid w:val="003B34D3"/>
    <w:rsid w:val="003B38C1"/>
    <w:rsid w:val="003B4D8E"/>
    <w:rsid w:val="003B508D"/>
    <w:rsid w:val="003B707A"/>
    <w:rsid w:val="003C006E"/>
    <w:rsid w:val="003C130C"/>
    <w:rsid w:val="003C18EE"/>
    <w:rsid w:val="003C336A"/>
    <w:rsid w:val="003C3930"/>
    <w:rsid w:val="003C4206"/>
    <w:rsid w:val="003C4ADC"/>
    <w:rsid w:val="003C6F1F"/>
    <w:rsid w:val="003D0388"/>
    <w:rsid w:val="003D062B"/>
    <w:rsid w:val="003D0B7C"/>
    <w:rsid w:val="003D0C25"/>
    <w:rsid w:val="003D3255"/>
    <w:rsid w:val="003D352A"/>
    <w:rsid w:val="003D4DDC"/>
    <w:rsid w:val="003D500C"/>
    <w:rsid w:val="003D6A7B"/>
    <w:rsid w:val="003D74EB"/>
    <w:rsid w:val="003D7DDB"/>
    <w:rsid w:val="003E00FD"/>
    <w:rsid w:val="003E1A91"/>
    <w:rsid w:val="003E2356"/>
    <w:rsid w:val="003E481B"/>
    <w:rsid w:val="003E5167"/>
    <w:rsid w:val="003E5580"/>
    <w:rsid w:val="003E6047"/>
    <w:rsid w:val="003E72CE"/>
    <w:rsid w:val="003E7D53"/>
    <w:rsid w:val="003F1486"/>
    <w:rsid w:val="003F2E6B"/>
    <w:rsid w:val="003F3B7D"/>
    <w:rsid w:val="003F4642"/>
    <w:rsid w:val="003F4D94"/>
    <w:rsid w:val="003F56F9"/>
    <w:rsid w:val="003F61CE"/>
    <w:rsid w:val="003F62D7"/>
    <w:rsid w:val="003F6682"/>
    <w:rsid w:val="003F67F7"/>
    <w:rsid w:val="003F6F24"/>
    <w:rsid w:val="003F6FAD"/>
    <w:rsid w:val="003F76CC"/>
    <w:rsid w:val="004030B8"/>
    <w:rsid w:val="0040346B"/>
    <w:rsid w:val="00403D59"/>
    <w:rsid w:val="00404311"/>
    <w:rsid w:val="004046C1"/>
    <w:rsid w:val="00404B42"/>
    <w:rsid w:val="0040618A"/>
    <w:rsid w:val="0040626E"/>
    <w:rsid w:val="00406BC2"/>
    <w:rsid w:val="004106EE"/>
    <w:rsid w:val="0041138A"/>
    <w:rsid w:val="004120E1"/>
    <w:rsid w:val="00412358"/>
    <w:rsid w:val="0041285D"/>
    <w:rsid w:val="00413AF1"/>
    <w:rsid w:val="00414ED1"/>
    <w:rsid w:val="004152D6"/>
    <w:rsid w:val="004154E0"/>
    <w:rsid w:val="00416781"/>
    <w:rsid w:val="0041702B"/>
    <w:rsid w:val="0041723C"/>
    <w:rsid w:val="0042059B"/>
    <w:rsid w:val="00420805"/>
    <w:rsid w:val="00423E3E"/>
    <w:rsid w:val="00425C5E"/>
    <w:rsid w:val="00425FCA"/>
    <w:rsid w:val="00427AF4"/>
    <w:rsid w:val="004307FD"/>
    <w:rsid w:val="00430E31"/>
    <w:rsid w:val="00432D20"/>
    <w:rsid w:val="00433606"/>
    <w:rsid w:val="004349B4"/>
    <w:rsid w:val="00434C2B"/>
    <w:rsid w:val="00435FED"/>
    <w:rsid w:val="00437682"/>
    <w:rsid w:val="004400E2"/>
    <w:rsid w:val="004406B8"/>
    <w:rsid w:val="0044283B"/>
    <w:rsid w:val="00443876"/>
    <w:rsid w:val="00446930"/>
    <w:rsid w:val="0044785E"/>
    <w:rsid w:val="00451CDF"/>
    <w:rsid w:val="00453D84"/>
    <w:rsid w:val="00454410"/>
    <w:rsid w:val="00454D3C"/>
    <w:rsid w:val="00454F79"/>
    <w:rsid w:val="004553F0"/>
    <w:rsid w:val="004601FD"/>
    <w:rsid w:val="00460816"/>
    <w:rsid w:val="00461632"/>
    <w:rsid w:val="00461829"/>
    <w:rsid w:val="00461D7E"/>
    <w:rsid w:val="004621D0"/>
    <w:rsid w:val="0046248C"/>
    <w:rsid w:val="0046449B"/>
    <w:rsid w:val="004647DA"/>
    <w:rsid w:val="00464813"/>
    <w:rsid w:val="004661DD"/>
    <w:rsid w:val="004673E3"/>
    <w:rsid w:val="00470373"/>
    <w:rsid w:val="004706DF"/>
    <w:rsid w:val="004706E3"/>
    <w:rsid w:val="00470B36"/>
    <w:rsid w:val="00470D62"/>
    <w:rsid w:val="0047115F"/>
    <w:rsid w:val="004712DE"/>
    <w:rsid w:val="00472AD1"/>
    <w:rsid w:val="00472FA1"/>
    <w:rsid w:val="00473874"/>
    <w:rsid w:val="00474062"/>
    <w:rsid w:val="004744C4"/>
    <w:rsid w:val="004747A7"/>
    <w:rsid w:val="004755CE"/>
    <w:rsid w:val="00475756"/>
    <w:rsid w:val="00475B33"/>
    <w:rsid w:val="00476C1D"/>
    <w:rsid w:val="00476FAB"/>
    <w:rsid w:val="0047750D"/>
    <w:rsid w:val="00477B4D"/>
    <w:rsid w:val="00477C63"/>
    <w:rsid w:val="00477D6B"/>
    <w:rsid w:val="004812BC"/>
    <w:rsid w:val="004823D5"/>
    <w:rsid w:val="00482778"/>
    <w:rsid w:val="004832EA"/>
    <w:rsid w:val="00483A8B"/>
    <w:rsid w:val="004861A5"/>
    <w:rsid w:val="004864AA"/>
    <w:rsid w:val="00486790"/>
    <w:rsid w:val="00486DC7"/>
    <w:rsid w:val="004875FB"/>
    <w:rsid w:val="00490476"/>
    <w:rsid w:val="00491422"/>
    <w:rsid w:val="00491461"/>
    <w:rsid w:val="00492068"/>
    <w:rsid w:val="00492FE1"/>
    <w:rsid w:val="00493506"/>
    <w:rsid w:val="00494A4B"/>
    <w:rsid w:val="004957D0"/>
    <w:rsid w:val="004A08DF"/>
    <w:rsid w:val="004A0B41"/>
    <w:rsid w:val="004A0C5C"/>
    <w:rsid w:val="004A5681"/>
    <w:rsid w:val="004A6087"/>
    <w:rsid w:val="004A623C"/>
    <w:rsid w:val="004A634D"/>
    <w:rsid w:val="004A685C"/>
    <w:rsid w:val="004A6EFC"/>
    <w:rsid w:val="004A7168"/>
    <w:rsid w:val="004B0930"/>
    <w:rsid w:val="004B0F1D"/>
    <w:rsid w:val="004B14C9"/>
    <w:rsid w:val="004B3CF5"/>
    <w:rsid w:val="004B5643"/>
    <w:rsid w:val="004B6B19"/>
    <w:rsid w:val="004B76A7"/>
    <w:rsid w:val="004B7824"/>
    <w:rsid w:val="004C00D0"/>
    <w:rsid w:val="004C02AB"/>
    <w:rsid w:val="004C1B29"/>
    <w:rsid w:val="004C2B0D"/>
    <w:rsid w:val="004C2F8E"/>
    <w:rsid w:val="004C604B"/>
    <w:rsid w:val="004C7DDC"/>
    <w:rsid w:val="004D0FFC"/>
    <w:rsid w:val="004D1BAB"/>
    <w:rsid w:val="004D1D64"/>
    <w:rsid w:val="004D23C5"/>
    <w:rsid w:val="004D2C54"/>
    <w:rsid w:val="004D39C4"/>
    <w:rsid w:val="004D39CC"/>
    <w:rsid w:val="004D3F48"/>
    <w:rsid w:val="004D53D8"/>
    <w:rsid w:val="004D626F"/>
    <w:rsid w:val="004D6AB0"/>
    <w:rsid w:val="004D7314"/>
    <w:rsid w:val="004E093A"/>
    <w:rsid w:val="004E10E8"/>
    <w:rsid w:val="004E1224"/>
    <w:rsid w:val="004E295A"/>
    <w:rsid w:val="004E297A"/>
    <w:rsid w:val="004E338E"/>
    <w:rsid w:val="004E3973"/>
    <w:rsid w:val="004E4858"/>
    <w:rsid w:val="004E5B6E"/>
    <w:rsid w:val="004E6E53"/>
    <w:rsid w:val="004F0D89"/>
    <w:rsid w:val="004F0E53"/>
    <w:rsid w:val="004F1163"/>
    <w:rsid w:val="004F336F"/>
    <w:rsid w:val="004F3BA0"/>
    <w:rsid w:val="004F4727"/>
    <w:rsid w:val="004F50DC"/>
    <w:rsid w:val="004F566C"/>
    <w:rsid w:val="004F5D64"/>
    <w:rsid w:val="004F63A6"/>
    <w:rsid w:val="004F6C6D"/>
    <w:rsid w:val="004F6DF0"/>
    <w:rsid w:val="004F7DD7"/>
    <w:rsid w:val="00500865"/>
    <w:rsid w:val="00500D8D"/>
    <w:rsid w:val="00500DD7"/>
    <w:rsid w:val="0050193F"/>
    <w:rsid w:val="00501DD2"/>
    <w:rsid w:val="00502868"/>
    <w:rsid w:val="00502982"/>
    <w:rsid w:val="00502E4B"/>
    <w:rsid w:val="00504D3A"/>
    <w:rsid w:val="00504F54"/>
    <w:rsid w:val="00505ED3"/>
    <w:rsid w:val="00507AE9"/>
    <w:rsid w:val="00510225"/>
    <w:rsid w:val="0051069B"/>
    <w:rsid w:val="00510C78"/>
    <w:rsid w:val="00511818"/>
    <w:rsid w:val="00511B94"/>
    <w:rsid w:val="00512318"/>
    <w:rsid w:val="005136B8"/>
    <w:rsid w:val="005142A6"/>
    <w:rsid w:val="00514C64"/>
    <w:rsid w:val="00515002"/>
    <w:rsid w:val="00517E08"/>
    <w:rsid w:val="005211BA"/>
    <w:rsid w:val="00522CD9"/>
    <w:rsid w:val="005236B4"/>
    <w:rsid w:val="005237C1"/>
    <w:rsid w:val="0052443A"/>
    <w:rsid w:val="00525588"/>
    <w:rsid w:val="00525BC7"/>
    <w:rsid w:val="00525E90"/>
    <w:rsid w:val="00526946"/>
    <w:rsid w:val="00526C5F"/>
    <w:rsid w:val="0053057A"/>
    <w:rsid w:val="005308B6"/>
    <w:rsid w:val="00531477"/>
    <w:rsid w:val="0053201D"/>
    <w:rsid w:val="00532137"/>
    <w:rsid w:val="00532956"/>
    <w:rsid w:val="00533173"/>
    <w:rsid w:val="005343C5"/>
    <w:rsid w:val="00535DAF"/>
    <w:rsid w:val="00537906"/>
    <w:rsid w:val="005379C6"/>
    <w:rsid w:val="00537C48"/>
    <w:rsid w:val="005407A9"/>
    <w:rsid w:val="00540C4B"/>
    <w:rsid w:val="005418D4"/>
    <w:rsid w:val="005425FB"/>
    <w:rsid w:val="00544AD6"/>
    <w:rsid w:val="0054702B"/>
    <w:rsid w:val="00547239"/>
    <w:rsid w:val="00555C3A"/>
    <w:rsid w:val="00555F26"/>
    <w:rsid w:val="0055638D"/>
    <w:rsid w:val="00557673"/>
    <w:rsid w:val="00560A29"/>
    <w:rsid w:val="00560B54"/>
    <w:rsid w:val="005614A3"/>
    <w:rsid w:val="00562126"/>
    <w:rsid w:val="0056298B"/>
    <w:rsid w:val="00563553"/>
    <w:rsid w:val="00563EB6"/>
    <w:rsid w:val="00564320"/>
    <w:rsid w:val="00564478"/>
    <w:rsid w:val="00564632"/>
    <w:rsid w:val="005652AD"/>
    <w:rsid w:val="00566FD2"/>
    <w:rsid w:val="00567EE2"/>
    <w:rsid w:val="005700FA"/>
    <w:rsid w:val="00570117"/>
    <w:rsid w:val="005702ED"/>
    <w:rsid w:val="0057086D"/>
    <w:rsid w:val="00570FD1"/>
    <w:rsid w:val="00571F30"/>
    <w:rsid w:val="0057417B"/>
    <w:rsid w:val="00574555"/>
    <w:rsid w:val="00574EF8"/>
    <w:rsid w:val="00575597"/>
    <w:rsid w:val="0057637A"/>
    <w:rsid w:val="005763DB"/>
    <w:rsid w:val="005774CA"/>
    <w:rsid w:val="00580052"/>
    <w:rsid w:val="0058164A"/>
    <w:rsid w:val="00582CC9"/>
    <w:rsid w:val="005838EA"/>
    <w:rsid w:val="00584E9E"/>
    <w:rsid w:val="005861A8"/>
    <w:rsid w:val="005861DA"/>
    <w:rsid w:val="00587022"/>
    <w:rsid w:val="005919B9"/>
    <w:rsid w:val="00592333"/>
    <w:rsid w:val="00592C87"/>
    <w:rsid w:val="00593011"/>
    <w:rsid w:val="00593099"/>
    <w:rsid w:val="00593C70"/>
    <w:rsid w:val="00594D27"/>
    <w:rsid w:val="00595B2E"/>
    <w:rsid w:val="005964AC"/>
    <w:rsid w:val="00596DCB"/>
    <w:rsid w:val="005A12DC"/>
    <w:rsid w:val="005A1ACB"/>
    <w:rsid w:val="005A1B33"/>
    <w:rsid w:val="005A22D9"/>
    <w:rsid w:val="005A3936"/>
    <w:rsid w:val="005A3AAF"/>
    <w:rsid w:val="005A4813"/>
    <w:rsid w:val="005A59DD"/>
    <w:rsid w:val="005A6555"/>
    <w:rsid w:val="005A6AF7"/>
    <w:rsid w:val="005B0AB7"/>
    <w:rsid w:val="005B14A6"/>
    <w:rsid w:val="005B1A8B"/>
    <w:rsid w:val="005B3322"/>
    <w:rsid w:val="005B3778"/>
    <w:rsid w:val="005B6EED"/>
    <w:rsid w:val="005B6F57"/>
    <w:rsid w:val="005B706F"/>
    <w:rsid w:val="005B7D3B"/>
    <w:rsid w:val="005C125F"/>
    <w:rsid w:val="005C23EF"/>
    <w:rsid w:val="005C2739"/>
    <w:rsid w:val="005C2D00"/>
    <w:rsid w:val="005C5584"/>
    <w:rsid w:val="005C676A"/>
    <w:rsid w:val="005C775E"/>
    <w:rsid w:val="005D143C"/>
    <w:rsid w:val="005D14FC"/>
    <w:rsid w:val="005D352C"/>
    <w:rsid w:val="005D4403"/>
    <w:rsid w:val="005D4D7C"/>
    <w:rsid w:val="005D5A0F"/>
    <w:rsid w:val="005D6C12"/>
    <w:rsid w:val="005D704B"/>
    <w:rsid w:val="005D757E"/>
    <w:rsid w:val="005D7674"/>
    <w:rsid w:val="005D77C0"/>
    <w:rsid w:val="005D784C"/>
    <w:rsid w:val="005D7A6B"/>
    <w:rsid w:val="005D7C3F"/>
    <w:rsid w:val="005E122B"/>
    <w:rsid w:val="005E12AB"/>
    <w:rsid w:val="005E2442"/>
    <w:rsid w:val="005E3069"/>
    <w:rsid w:val="005E32E1"/>
    <w:rsid w:val="005E37AF"/>
    <w:rsid w:val="005E3815"/>
    <w:rsid w:val="005E3E0D"/>
    <w:rsid w:val="005E4090"/>
    <w:rsid w:val="005E7986"/>
    <w:rsid w:val="005E7B5D"/>
    <w:rsid w:val="005F0CC7"/>
    <w:rsid w:val="005F1107"/>
    <w:rsid w:val="005F1C70"/>
    <w:rsid w:val="005F2542"/>
    <w:rsid w:val="005F33AA"/>
    <w:rsid w:val="005F36F4"/>
    <w:rsid w:val="005F396B"/>
    <w:rsid w:val="005F43A2"/>
    <w:rsid w:val="005F52FC"/>
    <w:rsid w:val="005F57AC"/>
    <w:rsid w:val="005F5EEC"/>
    <w:rsid w:val="005F6018"/>
    <w:rsid w:val="005F6C83"/>
    <w:rsid w:val="005F70DA"/>
    <w:rsid w:val="005F7728"/>
    <w:rsid w:val="005F78EA"/>
    <w:rsid w:val="00600C2B"/>
    <w:rsid w:val="00600D8F"/>
    <w:rsid w:val="00600F06"/>
    <w:rsid w:val="00601760"/>
    <w:rsid w:val="00602A4F"/>
    <w:rsid w:val="00603EAB"/>
    <w:rsid w:val="006041AB"/>
    <w:rsid w:val="00604242"/>
    <w:rsid w:val="00605827"/>
    <w:rsid w:val="00610066"/>
    <w:rsid w:val="006104DB"/>
    <w:rsid w:val="006109C9"/>
    <w:rsid w:val="00610B30"/>
    <w:rsid w:val="00612DD1"/>
    <w:rsid w:val="006131E6"/>
    <w:rsid w:val="00613BE2"/>
    <w:rsid w:val="00614600"/>
    <w:rsid w:val="00614DE5"/>
    <w:rsid w:val="00615F48"/>
    <w:rsid w:val="00616DDD"/>
    <w:rsid w:val="00617521"/>
    <w:rsid w:val="00617B2C"/>
    <w:rsid w:val="00620285"/>
    <w:rsid w:val="00620D03"/>
    <w:rsid w:val="00622483"/>
    <w:rsid w:val="00623AAD"/>
    <w:rsid w:val="00623C57"/>
    <w:rsid w:val="00623F4A"/>
    <w:rsid w:val="00626D6B"/>
    <w:rsid w:val="0063142A"/>
    <w:rsid w:val="0063185E"/>
    <w:rsid w:val="00632704"/>
    <w:rsid w:val="00632F14"/>
    <w:rsid w:val="0063537D"/>
    <w:rsid w:val="00636D20"/>
    <w:rsid w:val="00636E25"/>
    <w:rsid w:val="00637A98"/>
    <w:rsid w:val="00643F70"/>
    <w:rsid w:val="006442E2"/>
    <w:rsid w:val="00644565"/>
    <w:rsid w:val="00645DA5"/>
    <w:rsid w:val="00646050"/>
    <w:rsid w:val="00646121"/>
    <w:rsid w:val="00646C74"/>
    <w:rsid w:val="006516A4"/>
    <w:rsid w:val="0065517E"/>
    <w:rsid w:val="00657FEA"/>
    <w:rsid w:val="00663B80"/>
    <w:rsid w:val="00664179"/>
    <w:rsid w:val="00664550"/>
    <w:rsid w:val="006654F3"/>
    <w:rsid w:val="00665780"/>
    <w:rsid w:val="00670B8B"/>
    <w:rsid w:val="006713CA"/>
    <w:rsid w:val="00672DCD"/>
    <w:rsid w:val="006737D9"/>
    <w:rsid w:val="00673A7E"/>
    <w:rsid w:val="0067422A"/>
    <w:rsid w:val="006743EA"/>
    <w:rsid w:val="00675B5E"/>
    <w:rsid w:val="00676C5C"/>
    <w:rsid w:val="00676E17"/>
    <w:rsid w:val="0067710F"/>
    <w:rsid w:val="00677490"/>
    <w:rsid w:val="0067771D"/>
    <w:rsid w:val="00680AE3"/>
    <w:rsid w:val="00683BA0"/>
    <w:rsid w:val="00683BB2"/>
    <w:rsid w:val="00684299"/>
    <w:rsid w:val="00685153"/>
    <w:rsid w:val="00687B82"/>
    <w:rsid w:val="00687B9C"/>
    <w:rsid w:val="00687C45"/>
    <w:rsid w:val="00690619"/>
    <w:rsid w:val="006906D5"/>
    <w:rsid w:val="006925C5"/>
    <w:rsid w:val="00692FC1"/>
    <w:rsid w:val="0069385F"/>
    <w:rsid w:val="006940E5"/>
    <w:rsid w:val="00694F4F"/>
    <w:rsid w:val="00695558"/>
    <w:rsid w:val="0069570A"/>
    <w:rsid w:val="00697067"/>
    <w:rsid w:val="00697614"/>
    <w:rsid w:val="00697884"/>
    <w:rsid w:val="0069790C"/>
    <w:rsid w:val="006A0AA3"/>
    <w:rsid w:val="006A1B8F"/>
    <w:rsid w:val="006A1FC2"/>
    <w:rsid w:val="006A2DBE"/>
    <w:rsid w:val="006A3601"/>
    <w:rsid w:val="006A3777"/>
    <w:rsid w:val="006A4BFA"/>
    <w:rsid w:val="006A68F7"/>
    <w:rsid w:val="006A6FE0"/>
    <w:rsid w:val="006A773F"/>
    <w:rsid w:val="006B0967"/>
    <w:rsid w:val="006B17B3"/>
    <w:rsid w:val="006B2838"/>
    <w:rsid w:val="006B2DD0"/>
    <w:rsid w:val="006B301C"/>
    <w:rsid w:val="006B3160"/>
    <w:rsid w:val="006B3270"/>
    <w:rsid w:val="006B3B1C"/>
    <w:rsid w:val="006B4E5B"/>
    <w:rsid w:val="006B5D51"/>
    <w:rsid w:val="006B5F7A"/>
    <w:rsid w:val="006B74FD"/>
    <w:rsid w:val="006C0549"/>
    <w:rsid w:val="006C176A"/>
    <w:rsid w:val="006C1BF8"/>
    <w:rsid w:val="006C1D64"/>
    <w:rsid w:val="006C20BA"/>
    <w:rsid w:val="006C32D9"/>
    <w:rsid w:val="006C359F"/>
    <w:rsid w:val="006C4869"/>
    <w:rsid w:val="006C5954"/>
    <w:rsid w:val="006C5C2C"/>
    <w:rsid w:val="006C5D37"/>
    <w:rsid w:val="006C6032"/>
    <w:rsid w:val="006C63A3"/>
    <w:rsid w:val="006C6FC2"/>
    <w:rsid w:val="006D22B0"/>
    <w:rsid w:val="006D3075"/>
    <w:rsid w:val="006D32FA"/>
    <w:rsid w:val="006D3E90"/>
    <w:rsid w:val="006D4F44"/>
    <w:rsid w:val="006D5E0F"/>
    <w:rsid w:val="006D67D3"/>
    <w:rsid w:val="006D6E6A"/>
    <w:rsid w:val="006E166D"/>
    <w:rsid w:val="006E2443"/>
    <w:rsid w:val="006E27E1"/>
    <w:rsid w:val="006E2F3F"/>
    <w:rsid w:val="006E3AF4"/>
    <w:rsid w:val="006E3FD1"/>
    <w:rsid w:val="006E49F0"/>
    <w:rsid w:val="006E4CE9"/>
    <w:rsid w:val="006E4EDC"/>
    <w:rsid w:val="006E7A6F"/>
    <w:rsid w:val="006F0E75"/>
    <w:rsid w:val="006F18E5"/>
    <w:rsid w:val="006F2142"/>
    <w:rsid w:val="006F2C80"/>
    <w:rsid w:val="006F5395"/>
    <w:rsid w:val="006F55C1"/>
    <w:rsid w:val="006F606E"/>
    <w:rsid w:val="006F6544"/>
    <w:rsid w:val="006F6D29"/>
    <w:rsid w:val="006F7469"/>
    <w:rsid w:val="006F7D59"/>
    <w:rsid w:val="007009E9"/>
    <w:rsid w:val="00700C21"/>
    <w:rsid w:val="007017CE"/>
    <w:rsid w:val="007033A0"/>
    <w:rsid w:val="007037E8"/>
    <w:rsid w:val="00703F8E"/>
    <w:rsid w:val="007052F2"/>
    <w:rsid w:val="0070534C"/>
    <w:rsid w:val="007058FB"/>
    <w:rsid w:val="00705D91"/>
    <w:rsid w:val="0070644B"/>
    <w:rsid w:val="00706553"/>
    <w:rsid w:val="007074B3"/>
    <w:rsid w:val="00710054"/>
    <w:rsid w:val="00710637"/>
    <w:rsid w:val="00710696"/>
    <w:rsid w:val="0071167A"/>
    <w:rsid w:val="0071275E"/>
    <w:rsid w:val="007136A1"/>
    <w:rsid w:val="00713D83"/>
    <w:rsid w:val="007140C9"/>
    <w:rsid w:val="00720A84"/>
    <w:rsid w:val="00722883"/>
    <w:rsid w:val="00723E89"/>
    <w:rsid w:val="00727F58"/>
    <w:rsid w:val="007315EA"/>
    <w:rsid w:val="00731DBB"/>
    <w:rsid w:val="00731F8B"/>
    <w:rsid w:val="00731FD3"/>
    <w:rsid w:val="007325C6"/>
    <w:rsid w:val="00732B29"/>
    <w:rsid w:val="007347EB"/>
    <w:rsid w:val="007365D4"/>
    <w:rsid w:val="00740375"/>
    <w:rsid w:val="007416C0"/>
    <w:rsid w:val="00741E09"/>
    <w:rsid w:val="00742AE9"/>
    <w:rsid w:val="00743A45"/>
    <w:rsid w:val="00744987"/>
    <w:rsid w:val="007453BD"/>
    <w:rsid w:val="00745BDA"/>
    <w:rsid w:val="00747D89"/>
    <w:rsid w:val="00750A26"/>
    <w:rsid w:val="00752772"/>
    <w:rsid w:val="007538CA"/>
    <w:rsid w:val="007546F9"/>
    <w:rsid w:val="00757514"/>
    <w:rsid w:val="0076104D"/>
    <w:rsid w:val="0076256A"/>
    <w:rsid w:val="00763C0B"/>
    <w:rsid w:val="00764172"/>
    <w:rsid w:val="007659BE"/>
    <w:rsid w:val="007677B7"/>
    <w:rsid w:val="00770139"/>
    <w:rsid w:val="00771183"/>
    <w:rsid w:val="007754FF"/>
    <w:rsid w:val="00775D36"/>
    <w:rsid w:val="00777185"/>
    <w:rsid w:val="00780040"/>
    <w:rsid w:val="007816FB"/>
    <w:rsid w:val="00781C55"/>
    <w:rsid w:val="00783421"/>
    <w:rsid w:val="0078456D"/>
    <w:rsid w:val="00784A90"/>
    <w:rsid w:val="007876F8"/>
    <w:rsid w:val="00787AA7"/>
    <w:rsid w:val="0079183A"/>
    <w:rsid w:val="00791D21"/>
    <w:rsid w:val="007931E3"/>
    <w:rsid w:val="0079438C"/>
    <w:rsid w:val="00794600"/>
    <w:rsid w:val="007960EF"/>
    <w:rsid w:val="007965B9"/>
    <w:rsid w:val="00796DAC"/>
    <w:rsid w:val="0079700F"/>
    <w:rsid w:val="007A140E"/>
    <w:rsid w:val="007A199A"/>
    <w:rsid w:val="007A1B2D"/>
    <w:rsid w:val="007A24E2"/>
    <w:rsid w:val="007A2688"/>
    <w:rsid w:val="007A2CF7"/>
    <w:rsid w:val="007A2D83"/>
    <w:rsid w:val="007A3898"/>
    <w:rsid w:val="007A3ACC"/>
    <w:rsid w:val="007A471C"/>
    <w:rsid w:val="007A4E6C"/>
    <w:rsid w:val="007A51F0"/>
    <w:rsid w:val="007A542D"/>
    <w:rsid w:val="007A567F"/>
    <w:rsid w:val="007A5884"/>
    <w:rsid w:val="007A5E45"/>
    <w:rsid w:val="007B0EBA"/>
    <w:rsid w:val="007B2EDC"/>
    <w:rsid w:val="007B31DD"/>
    <w:rsid w:val="007B63DD"/>
    <w:rsid w:val="007B6750"/>
    <w:rsid w:val="007B6A58"/>
    <w:rsid w:val="007B6A99"/>
    <w:rsid w:val="007B73BE"/>
    <w:rsid w:val="007B7582"/>
    <w:rsid w:val="007C070B"/>
    <w:rsid w:val="007C0BF3"/>
    <w:rsid w:val="007C1286"/>
    <w:rsid w:val="007C24CB"/>
    <w:rsid w:val="007C327F"/>
    <w:rsid w:val="007C3A04"/>
    <w:rsid w:val="007C4221"/>
    <w:rsid w:val="007C5A2B"/>
    <w:rsid w:val="007D0E25"/>
    <w:rsid w:val="007D1613"/>
    <w:rsid w:val="007D16F6"/>
    <w:rsid w:val="007D2058"/>
    <w:rsid w:val="007D4032"/>
    <w:rsid w:val="007D4174"/>
    <w:rsid w:val="007D4C43"/>
    <w:rsid w:val="007D598C"/>
    <w:rsid w:val="007D6102"/>
    <w:rsid w:val="007D62C6"/>
    <w:rsid w:val="007D6552"/>
    <w:rsid w:val="007D66B3"/>
    <w:rsid w:val="007D6849"/>
    <w:rsid w:val="007D7102"/>
    <w:rsid w:val="007D73D7"/>
    <w:rsid w:val="007D7BCB"/>
    <w:rsid w:val="007E1B89"/>
    <w:rsid w:val="007E3E17"/>
    <w:rsid w:val="007E3F5E"/>
    <w:rsid w:val="007E4202"/>
    <w:rsid w:val="007E547A"/>
    <w:rsid w:val="007E5A8F"/>
    <w:rsid w:val="007E5E17"/>
    <w:rsid w:val="007E7611"/>
    <w:rsid w:val="007F0118"/>
    <w:rsid w:val="007F02AC"/>
    <w:rsid w:val="007F0B01"/>
    <w:rsid w:val="007F0FA5"/>
    <w:rsid w:val="007F1F09"/>
    <w:rsid w:val="007F1FC2"/>
    <w:rsid w:val="007F3ED4"/>
    <w:rsid w:val="007F411D"/>
    <w:rsid w:val="007F6BFE"/>
    <w:rsid w:val="008012B4"/>
    <w:rsid w:val="00801713"/>
    <w:rsid w:val="00802411"/>
    <w:rsid w:val="00802BF3"/>
    <w:rsid w:val="0080449C"/>
    <w:rsid w:val="00804FAE"/>
    <w:rsid w:val="0080753F"/>
    <w:rsid w:val="008103E0"/>
    <w:rsid w:val="008112FA"/>
    <w:rsid w:val="00811D2A"/>
    <w:rsid w:val="00812074"/>
    <w:rsid w:val="00812805"/>
    <w:rsid w:val="0081280E"/>
    <w:rsid w:val="008171CE"/>
    <w:rsid w:val="0081794B"/>
    <w:rsid w:val="00817F5C"/>
    <w:rsid w:val="00820C88"/>
    <w:rsid w:val="00822549"/>
    <w:rsid w:val="0082277F"/>
    <w:rsid w:val="00822D64"/>
    <w:rsid w:val="00822DCA"/>
    <w:rsid w:val="008253DA"/>
    <w:rsid w:val="00825A06"/>
    <w:rsid w:val="00827223"/>
    <w:rsid w:val="00830494"/>
    <w:rsid w:val="00832603"/>
    <w:rsid w:val="00832C85"/>
    <w:rsid w:val="00833953"/>
    <w:rsid w:val="00833DD8"/>
    <w:rsid w:val="008345DC"/>
    <w:rsid w:val="008346A9"/>
    <w:rsid w:val="008348B8"/>
    <w:rsid w:val="00835F22"/>
    <w:rsid w:val="00836A43"/>
    <w:rsid w:val="00842267"/>
    <w:rsid w:val="008425CD"/>
    <w:rsid w:val="0084533B"/>
    <w:rsid w:val="00845A90"/>
    <w:rsid w:val="00845B7C"/>
    <w:rsid w:val="00846AE3"/>
    <w:rsid w:val="008475DF"/>
    <w:rsid w:val="0085078D"/>
    <w:rsid w:val="00851181"/>
    <w:rsid w:val="008516E0"/>
    <w:rsid w:val="008531C0"/>
    <w:rsid w:val="00853409"/>
    <w:rsid w:val="00854388"/>
    <w:rsid w:val="00854CCC"/>
    <w:rsid w:val="00855EDB"/>
    <w:rsid w:val="0085697C"/>
    <w:rsid w:val="008570DD"/>
    <w:rsid w:val="00857F13"/>
    <w:rsid w:val="00860474"/>
    <w:rsid w:val="0086052E"/>
    <w:rsid w:val="008618DD"/>
    <w:rsid w:val="00861FCC"/>
    <w:rsid w:val="00862236"/>
    <w:rsid w:val="00862322"/>
    <w:rsid w:val="00862432"/>
    <w:rsid w:val="00862D76"/>
    <w:rsid w:val="00864816"/>
    <w:rsid w:val="008650C6"/>
    <w:rsid w:val="00865A88"/>
    <w:rsid w:val="00865E63"/>
    <w:rsid w:val="0086616F"/>
    <w:rsid w:val="00866974"/>
    <w:rsid w:val="008669AA"/>
    <w:rsid w:val="00867CEB"/>
    <w:rsid w:val="008701D9"/>
    <w:rsid w:val="0087188D"/>
    <w:rsid w:val="00872FBF"/>
    <w:rsid w:val="00873EE5"/>
    <w:rsid w:val="00874793"/>
    <w:rsid w:val="00874E31"/>
    <w:rsid w:val="008754D3"/>
    <w:rsid w:val="008779CE"/>
    <w:rsid w:val="00877E78"/>
    <w:rsid w:val="00881B8E"/>
    <w:rsid w:val="00882BC5"/>
    <w:rsid w:val="00882CB4"/>
    <w:rsid w:val="00882EE4"/>
    <w:rsid w:val="0088395E"/>
    <w:rsid w:val="008843D0"/>
    <w:rsid w:val="008846C5"/>
    <w:rsid w:val="00884A68"/>
    <w:rsid w:val="0088523C"/>
    <w:rsid w:val="00886942"/>
    <w:rsid w:val="00890B7D"/>
    <w:rsid w:val="00892177"/>
    <w:rsid w:val="008921CB"/>
    <w:rsid w:val="00892440"/>
    <w:rsid w:val="0089515D"/>
    <w:rsid w:val="0089625B"/>
    <w:rsid w:val="008965C1"/>
    <w:rsid w:val="00897CC4"/>
    <w:rsid w:val="008A020F"/>
    <w:rsid w:val="008A1083"/>
    <w:rsid w:val="008A141A"/>
    <w:rsid w:val="008A2939"/>
    <w:rsid w:val="008A41F4"/>
    <w:rsid w:val="008A5F9E"/>
    <w:rsid w:val="008B26C0"/>
    <w:rsid w:val="008B2CC1"/>
    <w:rsid w:val="008B3297"/>
    <w:rsid w:val="008B390C"/>
    <w:rsid w:val="008B45F4"/>
    <w:rsid w:val="008B460A"/>
    <w:rsid w:val="008B4B5E"/>
    <w:rsid w:val="008B60B2"/>
    <w:rsid w:val="008B7979"/>
    <w:rsid w:val="008B7EC0"/>
    <w:rsid w:val="008C3920"/>
    <w:rsid w:val="008C40A8"/>
    <w:rsid w:val="008C516C"/>
    <w:rsid w:val="008C51C3"/>
    <w:rsid w:val="008C5E76"/>
    <w:rsid w:val="008C6142"/>
    <w:rsid w:val="008C73AD"/>
    <w:rsid w:val="008C7B54"/>
    <w:rsid w:val="008D0E80"/>
    <w:rsid w:val="008D1C84"/>
    <w:rsid w:val="008D247C"/>
    <w:rsid w:val="008D356B"/>
    <w:rsid w:val="008D3D20"/>
    <w:rsid w:val="008D3FDD"/>
    <w:rsid w:val="008D49F5"/>
    <w:rsid w:val="008D4E2A"/>
    <w:rsid w:val="008D4EC3"/>
    <w:rsid w:val="008D7BCC"/>
    <w:rsid w:val="008E021E"/>
    <w:rsid w:val="008E08A8"/>
    <w:rsid w:val="008E27B5"/>
    <w:rsid w:val="008E43B5"/>
    <w:rsid w:val="008E573C"/>
    <w:rsid w:val="008F08F3"/>
    <w:rsid w:val="008F249C"/>
    <w:rsid w:val="008F33FC"/>
    <w:rsid w:val="008F363D"/>
    <w:rsid w:val="008F5404"/>
    <w:rsid w:val="008F5867"/>
    <w:rsid w:val="008F6021"/>
    <w:rsid w:val="008F718F"/>
    <w:rsid w:val="008F7C71"/>
    <w:rsid w:val="00900735"/>
    <w:rsid w:val="00900C08"/>
    <w:rsid w:val="009012FC"/>
    <w:rsid w:val="0090139F"/>
    <w:rsid w:val="00902189"/>
    <w:rsid w:val="009064AC"/>
    <w:rsid w:val="0090731E"/>
    <w:rsid w:val="00907F6E"/>
    <w:rsid w:val="0091031D"/>
    <w:rsid w:val="0091063F"/>
    <w:rsid w:val="00910CE8"/>
    <w:rsid w:val="009112A6"/>
    <w:rsid w:val="0091147F"/>
    <w:rsid w:val="009121BB"/>
    <w:rsid w:val="0091221D"/>
    <w:rsid w:val="009122B5"/>
    <w:rsid w:val="009129E8"/>
    <w:rsid w:val="00912D09"/>
    <w:rsid w:val="00913EEE"/>
    <w:rsid w:val="009158E0"/>
    <w:rsid w:val="00916EE2"/>
    <w:rsid w:val="00917738"/>
    <w:rsid w:val="009179E0"/>
    <w:rsid w:val="00920025"/>
    <w:rsid w:val="0092090C"/>
    <w:rsid w:val="00922848"/>
    <w:rsid w:val="00922F1D"/>
    <w:rsid w:val="00923574"/>
    <w:rsid w:val="00923C87"/>
    <w:rsid w:val="00924390"/>
    <w:rsid w:val="009252FD"/>
    <w:rsid w:val="0092697C"/>
    <w:rsid w:val="00926E96"/>
    <w:rsid w:val="009303AC"/>
    <w:rsid w:val="00931705"/>
    <w:rsid w:val="00931B91"/>
    <w:rsid w:val="009332A1"/>
    <w:rsid w:val="009342A1"/>
    <w:rsid w:val="00935066"/>
    <w:rsid w:val="009368D0"/>
    <w:rsid w:val="00937286"/>
    <w:rsid w:val="0094019E"/>
    <w:rsid w:val="0094081A"/>
    <w:rsid w:val="00940CFD"/>
    <w:rsid w:val="009417A1"/>
    <w:rsid w:val="00941B09"/>
    <w:rsid w:val="00943617"/>
    <w:rsid w:val="00944759"/>
    <w:rsid w:val="00945196"/>
    <w:rsid w:val="00945D61"/>
    <w:rsid w:val="009474F2"/>
    <w:rsid w:val="0094798A"/>
    <w:rsid w:val="0095037B"/>
    <w:rsid w:val="00950644"/>
    <w:rsid w:val="009516D3"/>
    <w:rsid w:val="009520DC"/>
    <w:rsid w:val="00952AEE"/>
    <w:rsid w:val="009537EF"/>
    <w:rsid w:val="00953F99"/>
    <w:rsid w:val="00954B55"/>
    <w:rsid w:val="00955BCA"/>
    <w:rsid w:val="00957480"/>
    <w:rsid w:val="00957D60"/>
    <w:rsid w:val="009607F8"/>
    <w:rsid w:val="00961375"/>
    <w:rsid w:val="00962DEC"/>
    <w:rsid w:val="00962E24"/>
    <w:rsid w:val="00963A83"/>
    <w:rsid w:val="00964179"/>
    <w:rsid w:val="00964BDE"/>
    <w:rsid w:val="00966A22"/>
    <w:rsid w:val="0096722F"/>
    <w:rsid w:val="00971665"/>
    <w:rsid w:val="00971C9E"/>
    <w:rsid w:val="00972C83"/>
    <w:rsid w:val="00974178"/>
    <w:rsid w:val="00974A3A"/>
    <w:rsid w:val="00974B14"/>
    <w:rsid w:val="00975A83"/>
    <w:rsid w:val="00977342"/>
    <w:rsid w:val="0097740C"/>
    <w:rsid w:val="00980843"/>
    <w:rsid w:val="009809F1"/>
    <w:rsid w:val="00981A86"/>
    <w:rsid w:val="00982F28"/>
    <w:rsid w:val="00983753"/>
    <w:rsid w:val="00985B38"/>
    <w:rsid w:val="00985B65"/>
    <w:rsid w:val="00985C62"/>
    <w:rsid w:val="00986230"/>
    <w:rsid w:val="009865CE"/>
    <w:rsid w:val="00986D5A"/>
    <w:rsid w:val="00987080"/>
    <w:rsid w:val="0098722A"/>
    <w:rsid w:val="00987B43"/>
    <w:rsid w:val="009901E2"/>
    <w:rsid w:val="009921B8"/>
    <w:rsid w:val="00993FA9"/>
    <w:rsid w:val="0099416B"/>
    <w:rsid w:val="00994380"/>
    <w:rsid w:val="00996CFC"/>
    <w:rsid w:val="00996E1C"/>
    <w:rsid w:val="00997021"/>
    <w:rsid w:val="0099712F"/>
    <w:rsid w:val="009A1459"/>
    <w:rsid w:val="009A28C2"/>
    <w:rsid w:val="009A2B02"/>
    <w:rsid w:val="009A2F1D"/>
    <w:rsid w:val="009A3021"/>
    <w:rsid w:val="009A4DF8"/>
    <w:rsid w:val="009A5AA6"/>
    <w:rsid w:val="009A5B70"/>
    <w:rsid w:val="009A63CC"/>
    <w:rsid w:val="009B10FD"/>
    <w:rsid w:val="009B158F"/>
    <w:rsid w:val="009B16AA"/>
    <w:rsid w:val="009B3DF7"/>
    <w:rsid w:val="009B4795"/>
    <w:rsid w:val="009B482A"/>
    <w:rsid w:val="009B612D"/>
    <w:rsid w:val="009B6145"/>
    <w:rsid w:val="009B6E48"/>
    <w:rsid w:val="009B7D62"/>
    <w:rsid w:val="009C0524"/>
    <w:rsid w:val="009C11B7"/>
    <w:rsid w:val="009C1AF0"/>
    <w:rsid w:val="009C367D"/>
    <w:rsid w:val="009C430B"/>
    <w:rsid w:val="009C498C"/>
    <w:rsid w:val="009C4E74"/>
    <w:rsid w:val="009C5BB5"/>
    <w:rsid w:val="009C7C78"/>
    <w:rsid w:val="009C7D77"/>
    <w:rsid w:val="009C7E8C"/>
    <w:rsid w:val="009D155E"/>
    <w:rsid w:val="009D267B"/>
    <w:rsid w:val="009D31CC"/>
    <w:rsid w:val="009D5245"/>
    <w:rsid w:val="009D5B7A"/>
    <w:rsid w:val="009D5C63"/>
    <w:rsid w:val="009D609F"/>
    <w:rsid w:val="009D6593"/>
    <w:rsid w:val="009D6996"/>
    <w:rsid w:val="009E2791"/>
    <w:rsid w:val="009E3E4C"/>
    <w:rsid w:val="009E3F6F"/>
    <w:rsid w:val="009E6106"/>
    <w:rsid w:val="009E62F0"/>
    <w:rsid w:val="009E7944"/>
    <w:rsid w:val="009E7E98"/>
    <w:rsid w:val="009F0F5C"/>
    <w:rsid w:val="009F10C0"/>
    <w:rsid w:val="009F3201"/>
    <w:rsid w:val="009F3BF9"/>
    <w:rsid w:val="009F4346"/>
    <w:rsid w:val="009F4714"/>
    <w:rsid w:val="009F499F"/>
    <w:rsid w:val="009F63C0"/>
    <w:rsid w:val="009F6578"/>
    <w:rsid w:val="00A0110B"/>
    <w:rsid w:val="00A01441"/>
    <w:rsid w:val="00A016EA"/>
    <w:rsid w:val="00A01F5F"/>
    <w:rsid w:val="00A0253A"/>
    <w:rsid w:val="00A027B3"/>
    <w:rsid w:val="00A03392"/>
    <w:rsid w:val="00A03713"/>
    <w:rsid w:val="00A03C57"/>
    <w:rsid w:val="00A05AB6"/>
    <w:rsid w:val="00A0668E"/>
    <w:rsid w:val="00A06AB9"/>
    <w:rsid w:val="00A07D5D"/>
    <w:rsid w:val="00A10E34"/>
    <w:rsid w:val="00A13D11"/>
    <w:rsid w:val="00A13F1A"/>
    <w:rsid w:val="00A14705"/>
    <w:rsid w:val="00A14C51"/>
    <w:rsid w:val="00A15276"/>
    <w:rsid w:val="00A16229"/>
    <w:rsid w:val="00A17F8C"/>
    <w:rsid w:val="00A2042E"/>
    <w:rsid w:val="00A2176F"/>
    <w:rsid w:val="00A21E1F"/>
    <w:rsid w:val="00A22DC9"/>
    <w:rsid w:val="00A24D6D"/>
    <w:rsid w:val="00A25743"/>
    <w:rsid w:val="00A27A12"/>
    <w:rsid w:val="00A320F8"/>
    <w:rsid w:val="00A334D9"/>
    <w:rsid w:val="00A33D55"/>
    <w:rsid w:val="00A34067"/>
    <w:rsid w:val="00A3441B"/>
    <w:rsid w:val="00A35902"/>
    <w:rsid w:val="00A4038E"/>
    <w:rsid w:val="00A413DC"/>
    <w:rsid w:val="00A42DAF"/>
    <w:rsid w:val="00A4319E"/>
    <w:rsid w:val="00A433D1"/>
    <w:rsid w:val="00A43978"/>
    <w:rsid w:val="00A43BEC"/>
    <w:rsid w:val="00A43DB8"/>
    <w:rsid w:val="00A43E68"/>
    <w:rsid w:val="00A45BD8"/>
    <w:rsid w:val="00A46158"/>
    <w:rsid w:val="00A510BD"/>
    <w:rsid w:val="00A51723"/>
    <w:rsid w:val="00A51790"/>
    <w:rsid w:val="00A51BD7"/>
    <w:rsid w:val="00A53598"/>
    <w:rsid w:val="00A5427E"/>
    <w:rsid w:val="00A543CA"/>
    <w:rsid w:val="00A54BA5"/>
    <w:rsid w:val="00A54F74"/>
    <w:rsid w:val="00A555E9"/>
    <w:rsid w:val="00A573B9"/>
    <w:rsid w:val="00A57E38"/>
    <w:rsid w:val="00A60512"/>
    <w:rsid w:val="00A60A7C"/>
    <w:rsid w:val="00A60FD6"/>
    <w:rsid w:val="00A6100C"/>
    <w:rsid w:val="00A61D6F"/>
    <w:rsid w:val="00A61E18"/>
    <w:rsid w:val="00A62516"/>
    <w:rsid w:val="00A62A61"/>
    <w:rsid w:val="00A62E2E"/>
    <w:rsid w:val="00A6354C"/>
    <w:rsid w:val="00A640FC"/>
    <w:rsid w:val="00A644AF"/>
    <w:rsid w:val="00A64DA2"/>
    <w:rsid w:val="00A65F90"/>
    <w:rsid w:val="00A665F8"/>
    <w:rsid w:val="00A666F9"/>
    <w:rsid w:val="00A6776C"/>
    <w:rsid w:val="00A704A6"/>
    <w:rsid w:val="00A70FAD"/>
    <w:rsid w:val="00A72E9E"/>
    <w:rsid w:val="00A734AC"/>
    <w:rsid w:val="00A760B6"/>
    <w:rsid w:val="00A76969"/>
    <w:rsid w:val="00A77020"/>
    <w:rsid w:val="00A774C6"/>
    <w:rsid w:val="00A778BF"/>
    <w:rsid w:val="00A80612"/>
    <w:rsid w:val="00A80C52"/>
    <w:rsid w:val="00A818FD"/>
    <w:rsid w:val="00A81D76"/>
    <w:rsid w:val="00A83875"/>
    <w:rsid w:val="00A83CF8"/>
    <w:rsid w:val="00A85B8E"/>
    <w:rsid w:val="00A86026"/>
    <w:rsid w:val="00A877AD"/>
    <w:rsid w:val="00A87C17"/>
    <w:rsid w:val="00A9098F"/>
    <w:rsid w:val="00A913C2"/>
    <w:rsid w:val="00A949EF"/>
    <w:rsid w:val="00A94C51"/>
    <w:rsid w:val="00A95403"/>
    <w:rsid w:val="00A95AD1"/>
    <w:rsid w:val="00A961F5"/>
    <w:rsid w:val="00A969FF"/>
    <w:rsid w:val="00A974E0"/>
    <w:rsid w:val="00AA18F2"/>
    <w:rsid w:val="00AA3028"/>
    <w:rsid w:val="00AA397A"/>
    <w:rsid w:val="00AA4F12"/>
    <w:rsid w:val="00AA708C"/>
    <w:rsid w:val="00AB197E"/>
    <w:rsid w:val="00AB1C66"/>
    <w:rsid w:val="00AB2249"/>
    <w:rsid w:val="00AB2D58"/>
    <w:rsid w:val="00AB3724"/>
    <w:rsid w:val="00AB430A"/>
    <w:rsid w:val="00AB44B8"/>
    <w:rsid w:val="00AB4999"/>
    <w:rsid w:val="00AB4D69"/>
    <w:rsid w:val="00AB6A53"/>
    <w:rsid w:val="00AB70F1"/>
    <w:rsid w:val="00AC03CC"/>
    <w:rsid w:val="00AC12F9"/>
    <w:rsid w:val="00AC1ADB"/>
    <w:rsid w:val="00AC1C14"/>
    <w:rsid w:val="00AC1C8F"/>
    <w:rsid w:val="00AC1EB2"/>
    <w:rsid w:val="00AC205C"/>
    <w:rsid w:val="00AC20EE"/>
    <w:rsid w:val="00AC24E7"/>
    <w:rsid w:val="00AC321D"/>
    <w:rsid w:val="00AC3E85"/>
    <w:rsid w:val="00AC40B4"/>
    <w:rsid w:val="00AC6BFA"/>
    <w:rsid w:val="00AC7888"/>
    <w:rsid w:val="00AC7A18"/>
    <w:rsid w:val="00AD1310"/>
    <w:rsid w:val="00AD1638"/>
    <w:rsid w:val="00AD2A80"/>
    <w:rsid w:val="00AD333C"/>
    <w:rsid w:val="00AD5586"/>
    <w:rsid w:val="00AD5EDC"/>
    <w:rsid w:val="00AD689A"/>
    <w:rsid w:val="00AE2472"/>
    <w:rsid w:val="00AE2859"/>
    <w:rsid w:val="00AE2A75"/>
    <w:rsid w:val="00AE4923"/>
    <w:rsid w:val="00AE6429"/>
    <w:rsid w:val="00AE645F"/>
    <w:rsid w:val="00AE7A78"/>
    <w:rsid w:val="00AF0D0F"/>
    <w:rsid w:val="00AF1CE1"/>
    <w:rsid w:val="00AF2D04"/>
    <w:rsid w:val="00AF3C41"/>
    <w:rsid w:val="00AF5123"/>
    <w:rsid w:val="00AF5612"/>
    <w:rsid w:val="00AF5902"/>
    <w:rsid w:val="00AF59AE"/>
    <w:rsid w:val="00AF5C73"/>
    <w:rsid w:val="00AF65ED"/>
    <w:rsid w:val="00AF6750"/>
    <w:rsid w:val="00AF7C6A"/>
    <w:rsid w:val="00AF7D13"/>
    <w:rsid w:val="00B000B6"/>
    <w:rsid w:val="00B00909"/>
    <w:rsid w:val="00B00A98"/>
    <w:rsid w:val="00B03F3B"/>
    <w:rsid w:val="00B05A69"/>
    <w:rsid w:val="00B05D8F"/>
    <w:rsid w:val="00B0681F"/>
    <w:rsid w:val="00B07DF6"/>
    <w:rsid w:val="00B112C9"/>
    <w:rsid w:val="00B11D77"/>
    <w:rsid w:val="00B121A3"/>
    <w:rsid w:val="00B12DE0"/>
    <w:rsid w:val="00B1305A"/>
    <w:rsid w:val="00B13472"/>
    <w:rsid w:val="00B169C3"/>
    <w:rsid w:val="00B217EF"/>
    <w:rsid w:val="00B21A8A"/>
    <w:rsid w:val="00B21CF5"/>
    <w:rsid w:val="00B23420"/>
    <w:rsid w:val="00B24B40"/>
    <w:rsid w:val="00B24DF8"/>
    <w:rsid w:val="00B250E0"/>
    <w:rsid w:val="00B2543A"/>
    <w:rsid w:val="00B25807"/>
    <w:rsid w:val="00B2688C"/>
    <w:rsid w:val="00B31D18"/>
    <w:rsid w:val="00B33F35"/>
    <w:rsid w:val="00B33F64"/>
    <w:rsid w:val="00B33F99"/>
    <w:rsid w:val="00B35C9D"/>
    <w:rsid w:val="00B36E94"/>
    <w:rsid w:val="00B40598"/>
    <w:rsid w:val="00B42904"/>
    <w:rsid w:val="00B42AE1"/>
    <w:rsid w:val="00B439C9"/>
    <w:rsid w:val="00B43B83"/>
    <w:rsid w:val="00B43D5C"/>
    <w:rsid w:val="00B44F5F"/>
    <w:rsid w:val="00B4642E"/>
    <w:rsid w:val="00B473A6"/>
    <w:rsid w:val="00B505BE"/>
    <w:rsid w:val="00B50B99"/>
    <w:rsid w:val="00B51713"/>
    <w:rsid w:val="00B51DE1"/>
    <w:rsid w:val="00B536C1"/>
    <w:rsid w:val="00B544D5"/>
    <w:rsid w:val="00B547BA"/>
    <w:rsid w:val="00B5562B"/>
    <w:rsid w:val="00B566A5"/>
    <w:rsid w:val="00B570E1"/>
    <w:rsid w:val="00B6005D"/>
    <w:rsid w:val="00B61F11"/>
    <w:rsid w:val="00B6283F"/>
    <w:rsid w:val="00B62863"/>
    <w:rsid w:val="00B62CD9"/>
    <w:rsid w:val="00B62D8E"/>
    <w:rsid w:val="00B6338B"/>
    <w:rsid w:val="00B63FB3"/>
    <w:rsid w:val="00B6462E"/>
    <w:rsid w:val="00B64A8E"/>
    <w:rsid w:val="00B6506B"/>
    <w:rsid w:val="00B65364"/>
    <w:rsid w:val="00B661CA"/>
    <w:rsid w:val="00B70068"/>
    <w:rsid w:val="00B713BB"/>
    <w:rsid w:val="00B71874"/>
    <w:rsid w:val="00B71B02"/>
    <w:rsid w:val="00B71DFD"/>
    <w:rsid w:val="00B72110"/>
    <w:rsid w:val="00B72B7D"/>
    <w:rsid w:val="00B73CD6"/>
    <w:rsid w:val="00B75AD3"/>
    <w:rsid w:val="00B76D30"/>
    <w:rsid w:val="00B77189"/>
    <w:rsid w:val="00B77669"/>
    <w:rsid w:val="00B807C0"/>
    <w:rsid w:val="00B80AD5"/>
    <w:rsid w:val="00B8149D"/>
    <w:rsid w:val="00B82ED3"/>
    <w:rsid w:val="00B83736"/>
    <w:rsid w:val="00B84D26"/>
    <w:rsid w:val="00B86427"/>
    <w:rsid w:val="00B901E7"/>
    <w:rsid w:val="00B902DC"/>
    <w:rsid w:val="00B90B44"/>
    <w:rsid w:val="00B90E5B"/>
    <w:rsid w:val="00B92844"/>
    <w:rsid w:val="00B92983"/>
    <w:rsid w:val="00B92E7F"/>
    <w:rsid w:val="00B958A1"/>
    <w:rsid w:val="00B96560"/>
    <w:rsid w:val="00B9734B"/>
    <w:rsid w:val="00B97756"/>
    <w:rsid w:val="00B97E36"/>
    <w:rsid w:val="00B97FB2"/>
    <w:rsid w:val="00BA02E2"/>
    <w:rsid w:val="00BA07FC"/>
    <w:rsid w:val="00BA0BEB"/>
    <w:rsid w:val="00BA2C47"/>
    <w:rsid w:val="00BA4674"/>
    <w:rsid w:val="00BA47B1"/>
    <w:rsid w:val="00BA5741"/>
    <w:rsid w:val="00BA6371"/>
    <w:rsid w:val="00BA654F"/>
    <w:rsid w:val="00BA65CA"/>
    <w:rsid w:val="00BA6AE6"/>
    <w:rsid w:val="00BA71F1"/>
    <w:rsid w:val="00BA75CE"/>
    <w:rsid w:val="00BA77DB"/>
    <w:rsid w:val="00BA7C9C"/>
    <w:rsid w:val="00BA7FA1"/>
    <w:rsid w:val="00BB034A"/>
    <w:rsid w:val="00BB15F4"/>
    <w:rsid w:val="00BB1D34"/>
    <w:rsid w:val="00BB2890"/>
    <w:rsid w:val="00BB3837"/>
    <w:rsid w:val="00BB38D1"/>
    <w:rsid w:val="00BB402E"/>
    <w:rsid w:val="00BB526C"/>
    <w:rsid w:val="00BB6B97"/>
    <w:rsid w:val="00BB7B92"/>
    <w:rsid w:val="00BC0A74"/>
    <w:rsid w:val="00BC1753"/>
    <w:rsid w:val="00BC366F"/>
    <w:rsid w:val="00BC399B"/>
    <w:rsid w:val="00BC468E"/>
    <w:rsid w:val="00BC46F2"/>
    <w:rsid w:val="00BC4A76"/>
    <w:rsid w:val="00BC4EE9"/>
    <w:rsid w:val="00BC5192"/>
    <w:rsid w:val="00BC5611"/>
    <w:rsid w:val="00BC58F6"/>
    <w:rsid w:val="00BC69AE"/>
    <w:rsid w:val="00BC7FB1"/>
    <w:rsid w:val="00BD00A4"/>
    <w:rsid w:val="00BD02E7"/>
    <w:rsid w:val="00BD0753"/>
    <w:rsid w:val="00BD0F45"/>
    <w:rsid w:val="00BD101A"/>
    <w:rsid w:val="00BD179C"/>
    <w:rsid w:val="00BD17F4"/>
    <w:rsid w:val="00BD1914"/>
    <w:rsid w:val="00BD1BFE"/>
    <w:rsid w:val="00BD2470"/>
    <w:rsid w:val="00BD2C2B"/>
    <w:rsid w:val="00BD44EB"/>
    <w:rsid w:val="00BD4D9F"/>
    <w:rsid w:val="00BD70DE"/>
    <w:rsid w:val="00BE0741"/>
    <w:rsid w:val="00BE0DA5"/>
    <w:rsid w:val="00BE101D"/>
    <w:rsid w:val="00BE2A0C"/>
    <w:rsid w:val="00BE486B"/>
    <w:rsid w:val="00BE4A5E"/>
    <w:rsid w:val="00BE5879"/>
    <w:rsid w:val="00BE6B69"/>
    <w:rsid w:val="00BE6C39"/>
    <w:rsid w:val="00BE6C55"/>
    <w:rsid w:val="00BE6D0E"/>
    <w:rsid w:val="00BE7062"/>
    <w:rsid w:val="00BE7BE3"/>
    <w:rsid w:val="00BF1A83"/>
    <w:rsid w:val="00BF1C05"/>
    <w:rsid w:val="00BF247A"/>
    <w:rsid w:val="00BF2ABB"/>
    <w:rsid w:val="00BF3C82"/>
    <w:rsid w:val="00BF3CDD"/>
    <w:rsid w:val="00BF465A"/>
    <w:rsid w:val="00BF4AFD"/>
    <w:rsid w:val="00BF4BB4"/>
    <w:rsid w:val="00BF56D1"/>
    <w:rsid w:val="00BF5926"/>
    <w:rsid w:val="00BF5A56"/>
    <w:rsid w:val="00BF5F67"/>
    <w:rsid w:val="00BF6056"/>
    <w:rsid w:val="00BF644E"/>
    <w:rsid w:val="00C00CAA"/>
    <w:rsid w:val="00C0195E"/>
    <w:rsid w:val="00C07A60"/>
    <w:rsid w:val="00C112ED"/>
    <w:rsid w:val="00C11996"/>
    <w:rsid w:val="00C11BFE"/>
    <w:rsid w:val="00C12028"/>
    <w:rsid w:val="00C12F47"/>
    <w:rsid w:val="00C1474F"/>
    <w:rsid w:val="00C14BA5"/>
    <w:rsid w:val="00C1521B"/>
    <w:rsid w:val="00C173A7"/>
    <w:rsid w:val="00C205E2"/>
    <w:rsid w:val="00C20F04"/>
    <w:rsid w:val="00C231F2"/>
    <w:rsid w:val="00C23ACB"/>
    <w:rsid w:val="00C2457C"/>
    <w:rsid w:val="00C246B3"/>
    <w:rsid w:val="00C26A6C"/>
    <w:rsid w:val="00C274D4"/>
    <w:rsid w:val="00C27EE7"/>
    <w:rsid w:val="00C31654"/>
    <w:rsid w:val="00C31C79"/>
    <w:rsid w:val="00C32DD1"/>
    <w:rsid w:val="00C345C8"/>
    <w:rsid w:val="00C35319"/>
    <w:rsid w:val="00C35B27"/>
    <w:rsid w:val="00C365D5"/>
    <w:rsid w:val="00C36845"/>
    <w:rsid w:val="00C37012"/>
    <w:rsid w:val="00C3790C"/>
    <w:rsid w:val="00C379AC"/>
    <w:rsid w:val="00C41992"/>
    <w:rsid w:val="00C43F21"/>
    <w:rsid w:val="00C44B47"/>
    <w:rsid w:val="00C457A6"/>
    <w:rsid w:val="00C45B62"/>
    <w:rsid w:val="00C46068"/>
    <w:rsid w:val="00C47A17"/>
    <w:rsid w:val="00C47A38"/>
    <w:rsid w:val="00C5057E"/>
    <w:rsid w:val="00C50A6D"/>
    <w:rsid w:val="00C50D1D"/>
    <w:rsid w:val="00C51460"/>
    <w:rsid w:val="00C52603"/>
    <w:rsid w:val="00C527CC"/>
    <w:rsid w:val="00C52817"/>
    <w:rsid w:val="00C52F70"/>
    <w:rsid w:val="00C54C6E"/>
    <w:rsid w:val="00C554EE"/>
    <w:rsid w:val="00C561D5"/>
    <w:rsid w:val="00C56B36"/>
    <w:rsid w:val="00C57C33"/>
    <w:rsid w:val="00C60D32"/>
    <w:rsid w:val="00C60DF0"/>
    <w:rsid w:val="00C61671"/>
    <w:rsid w:val="00C6217C"/>
    <w:rsid w:val="00C6260A"/>
    <w:rsid w:val="00C62DB7"/>
    <w:rsid w:val="00C6376A"/>
    <w:rsid w:val="00C641F2"/>
    <w:rsid w:val="00C64940"/>
    <w:rsid w:val="00C66A18"/>
    <w:rsid w:val="00C67129"/>
    <w:rsid w:val="00C67461"/>
    <w:rsid w:val="00C677E5"/>
    <w:rsid w:val="00C677E6"/>
    <w:rsid w:val="00C70796"/>
    <w:rsid w:val="00C707A3"/>
    <w:rsid w:val="00C72299"/>
    <w:rsid w:val="00C725B0"/>
    <w:rsid w:val="00C733DB"/>
    <w:rsid w:val="00C73D79"/>
    <w:rsid w:val="00C75057"/>
    <w:rsid w:val="00C754C2"/>
    <w:rsid w:val="00C76513"/>
    <w:rsid w:val="00C76CDB"/>
    <w:rsid w:val="00C778A7"/>
    <w:rsid w:val="00C822EC"/>
    <w:rsid w:val="00C8310E"/>
    <w:rsid w:val="00C93639"/>
    <w:rsid w:val="00C93DF2"/>
    <w:rsid w:val="00C9433F"/>
    <w:rsid w:val="00C94629"/>
    <w:rsid w:val="00C94E49"/>
    <w:rsid w:val="00C95289"/>
    <w:rsid w:val="00C95646"/>
    <w:rsid w:val="00C957CB"/>
    <w:rsid w:val="00CA2AC6"/>
    <w:rsid w:val="00CA48AC"/>
    <w:rsid w:val="00CA5F73"/>
    <w:rsid w:val="00CA65CA"/>
    <w:rsid w:val="00CA74E9"/>
    <w:rsid w:val="00CA7BF2"/>
    <w:rsid w:val="00CB06D0"/>
    <w:rsid w:val="00CB3AE7"/>
    <w:rsid w:val="00CB3E6C"/>
    <w:rsid w:val="00CB4751"/>
    <w:rsid w:val="00CB4B25"/>
    <w:rsid w:val="00CB4F4F"/>
    <w:rsid w:val="00CB6855"/>
    <w:rsid w:val="00CB6C6A"/>
    <w:rsid w:val="00CB7B9E"/>
    <w:rsid w:val="00CC0887"/>
    <w:rsid w:val="00CC0E46"/>
    <w:rsid w:val="00CC3672"/>
    <w:rsid w:val="00CC3AE6"/>
    <w:rsid w:val="00CC5085"/>
    <w:rsid w:val="00CC5898"/>
    <w:rsid w:val="00CD090F"/>
    <w:rsid w:val="00CD1142"/>
    <w:rsid w:val="00CD1A0A"/>
    <w:rsid w:val="00CD31E0"/>
    <w:rsid w:val="00CD34F1"/>
    <w:rsid w:val="00CD4F34"/>
    <w:rsid w:val="00CD57AC"/>
    <w:rsid w:val="00CD6273"/>
    <w:rsid w:val="00CD7E11"/>
    <w:rsid w:val="00CE0313"/>
    <w:rsid w:val="00CE149B"/>
    <w:rsid w:val="00CE1A7A"/>
    <w:rsid w:val="00CE2912"/>
    <w:rsid w:val="00CE2C1C"/>
    <w:rsid w:val="00CE3801"/>
    <w:rsid w:val="00CE392E"/>
    <w:rsid w:val="00CE4C0E"/>
    <w:rsid w:val="00CE4F5D"/>
    <w:rsid w:val="00CE65D4"/>
    <w:rsid w:val="00CE6937"/>
    <w:rsid w:val="00CE7894"/>
    <w:rsid w:val="00CF0C20"/>
    <w:rsid w:val="00CF0CB9"/>
    <w:rsid w:val="00CF3ADB"/>
    <w:rsid w:val="00CF506B"/>
    <w:rsid w:val="00CF5259"/>
    <w:rsid w:val="00CF7C57"/>
    <w:rsid w:val="00CF7F0A"/>
    <w:rsid w:val="00D01249"/>
    <w:rsid w:val="00D0215D"/>
    <w:rsid w:val="00D03625"/>
    <w:rsid w:val="00D044C4"/>
    <w:rsid w:val="00D046C7"/>
    <w:rsid w:val="00D0476E"/>
    <w:rsid w:val="00D060E9"/>
    <w:rsid w:val="00D07E0A"/>
    <w:rsid w:val="00D100DD"/>
    <w:rsid w:val="00D11F9D"/>
    <w:rsid w:val="00D1281A"/>
    <w:rsid w:val="00D13C88"/>
    <w:rsid w:val="00D1454D"/>
    <w:rsid w:val="00D1465E"/>
    <w:rsid w:val="00D15067"/>
    <w:rsid w:val="00D158B3"/>
    <w:rsid w:val="00D15D2C"/>
    <w:rsid w:val="00D16473"/>
    <w:rsid w:val="00D170D0"/>
    <w:rsid w:val="00D17411"/>
    <w:rsid w:val="00D20776"/>
    <w:rsid w:val="00D2094C"/>
    <w:rsid w:val="00D21622"/>
    <w:rsid w:val="00D23A73"/>
    <w:rsid w:val="00D244B4"/>
    <w:rsid w:val="00D2504C"/>
    <w:rsid w:val="00D254B6"/>
    <w:rsid w:val="00D2588F"/>
    <w:rsid w:val="00D265DD"/>
    <w:rsid w:val="00D26B63"/>
    <w:rsid w:val="00D301F3"/>
    <w:rsid w:val="00D30BD8"/>
    <w:rsid w:val="00D316BE"/>
    <w:rsid w:val="00D324D4"/>
    <w:rsid w:val="00D33AC2"/>
    <w:rsid w:val="00D343EF"/>
    <w:rsid w:val="00D34D9D"/>
    <w:rsid w:val="00D351E7"/>
    <w:rsid w:val="00D364BE"/>
    <w:rsid w:val="00D36569"/>
    <w:rsid w:val="00D3728A"/>
    <w:rsid w:val="00D3789D"/>
    <w:rsid w:val="00D421A3"/>
    <w:rsid w:val="00D438C9"/>
    <w:rsid w:val="00D44ABB"/>
    <w:rsid w:val="00D45252"/>
    <w:rsid w:val="00D454EB"/>
    <w:rsid w:val="00D470F0"/>
    <w:rsid w:val="00D470FF"/>
    <w:rsid w:val="00D5083C"/>
    <w:rsid w:val="00D50C1D"/>
    <w:rsid w:val="00D5128B"/>
    <w:rsid w:val="00D52C76"/>
    <w:rsid w:val="00D5328B"/>
    <w:rsid w:val="00D541DA"/>
    <w:rsid w:val="00D543D3"/>
    <w:rsid w:val="00D55535"/>
    <w:rsid w:val="00D55ADD"/>
    <w:rsid w:val="00D55CB6"/>
    <w:rsid w:val="00D56B3D"/>
    <w:rsid w:val="00D56FD4"/>
    <w:rsid w:val="00D574F0"/>
    <w:rsid w:val="00D60975"/>
    <w:rsid w:val="00D626E4"/>
    <w:rsid w:val="00D62A60"/>
    <w:rsid w:val="00D63844"/>
    <w:rsid w:val="00D64943"/>
    <w:rsid w:val="00D64D5F"/>
    <w:rsid w:val="00D653AF"/>
    <w:rsid w:val="00D66049"/>
    <w:rsid w:val="00D6629E"/>
    <w:rsid w:val="00D66867"/>
    <w:rsid w:val="00D67C88"/>
    <w:rsid w:val="00D70907"/>
    <w:rsid w:val="00D71244"/>
    <w:rsid w:val="00D718F4"/>
    <w:rsid w:val="00D71B4D"/>
    <w:rsid w:val="00D72BC0"/>
    <w:rsid w:val="00D75169"/>
    <w:rsid w:val="00D7569E"/>
    <w:rsid w:val="00D773F1"/>
    <w:rsid w:val="00D80134"/>
    <w:rsid w:val="00D806C6"/>
    <w:rsid w:val="00D81045"/>
    <w:rsid w:val="00D81EC3"/>
    <w:rsid w:val="00D839A9"/>
    <w:rsid w:val="00D85658"/>
    <w:rsid w:val="00D858F0"/>
    <w:rsid w:val="00D85D9C"/>
    <w:rsid w:val="00D8770B"/>
    <w:rsid w:val="00D877E2"/>
    <w:rsid w:val="00D90312"/>
    <w:rsid w:val="00D92248"/>
    <w:rsid w:val="00D926F0"/>
    <w:rsid w:val="00D93294"/>
    <w:rsid w:val="00D93D55"/>
    <w:rsid w:val="00D93FEB"/>
    <w:rsid w:val="00D95961"/>
    <w:rsid w:val="00D95B3A"/>
    <w:rsid w:val="00D96152"/>
    <w:rsid w:val="00D9632C"/>
    <w:rsid w:val="00D96560"/>
    <w:rsid w:val="00D96806"/>
    <w:rsid w:val="00D968A2"/>
    <w:rsid w:val="00D97000"/>
    <w:rsid w:val="00D97832"/>
    <w:rsid w:val="00DA034F"/>
    <w:rsid w:val="00DA0BAD"/>
    <w:rsid w:val="00DA1305"/>
    <w:rsid w:val="00DA1F2C"/>
    <w:rsid w:val="00DA3540"/>
    <w:rsid w:val="00DA5693"/>
    <w:rsid w:val="00DA7670"/>
    <w:rsid w:val="00DA769A"/>
    <w:rsid w:val="00DA7EFB"/>
    <w:rsid w:val="00DB00C7"/>
    <w:rsid w:val="00DB0E83"/>
    <w:rsid w:val="00DB17CC"/>
    <w:rsid w:val="00DB1F49"/>
    <w:rsid w:val="00DB1F83"/>
    <w:rsid w:val="00DB3211"/>
    <w:rsid w:val="00DB3603"/>
    <w:rsid w:val="00DB37E7"/>
    <w:rsid w:val="00DB403A"/>
    <w:rsid w:val="00DC081E"/>
    <w:rsid w:val="00DC0E0F"/>
    <w:rsid w:val="00DC19E3"/>
    <w:rsid w:val="00DC1BD1"/>
    <w:rsid w:val="00DC349D"/>
    <w:rsid w:val="00DC3D44"/>
    <w:rsid w:val="00DC68B7"/>
    <w:rsid w:val="00DC775C"/>
    <w:rsid w:val="00DD02E5"/>
    <w:rsid w:val="00DD0B29"/>
    <w:rsid w:val="00DD1B67"/>
    <w:rsid w:val="00DD1F64"/>
    <w:rsid w:val="00DD2AF3"/>
    <w:rsid w:val="00DD5482"/>
    <w:rsid w:val="00DD5C36"/>
    <w:rsid w:val="00DD6C20"/>
    <w:rsid w:val="00DD71DD"/>
    <w:rsid w:val="00DD7605"/>
    <w:rsid w:val="00DD7B50"/>
    <w:rsid w:val="00DE00DD"/>
    <w:rsid w:val="00DE5F21"/>
    <w:rsid w:val="00DE61D7"/>
    <w:rsid w:val="00DF0CC4"/>
    <w:rsid w:val="00DF0E70"/>
    <w:rsid w:val="00DF1A4F"/>
    <w:rsid w:val="00DF2026"/>
    <w:rsid w:val="00DF21CC"/>
    <w:rsid w:val="00DF38BE"/>
    <w:rsid w:val="00DF4156"/>
    <w:rsid w:val="00DF41B5"/>
    <w:rsid w:val="00DF496A"/>
    <w:rsid w:val="00DF5D37"/>
    <w:rsid w:val="00DF60AE"/>
    <w:rsid w:val="00DF6604"/>
    <w:rsid w:val="00DF6CC3"/>
    <w:rsid w:val="00DF6E68"/>
    <w:rsid w:val="00E00267"/>
    <w:rsid w:val="00E0137A"/>
    <w:rsid w:val="00E02088"/>
    <w:rsid w:val="00E02D3A"/>
    <w:rsid w:val="00E03322"/>
    <w:rsid w:val="00E066E9"/>
    <w:rsid w:val="00E0671E"/>
    <w:rsid w:val="00E06BC5"/>
    <w:rsid w:val="00E0710F"/>
    <w:rsid w:val="00E07353"/>
    <w:rsid w:val="00E1047A"/>
    <w:rsid w:val="00E1171C"/>
    <w:rsid w:val="00E11A00"/>
    <w:rsid w:val="00E122CE"/>
    <w:rsid w:val="00E140A0"/>
    <w:rsid w:val="00E161A2"/>
    <w:rsid w:val="00E16A12"/>
    <w:rsid w:val="00E20609"/>
    <w:rsid w:val="00E21151"/>
    <w:rsid w:val="00E21567"/>
    <w:rsid w:val="00E21A86"/>
    <w:rsid w:val="00E21EF3"/>
    <w:rsid w:val="00E22F09"/>
    <w:rsid w:val="00E24CA4"/>
    <w:rsid w:val="00E253BA"/>
    <w:rsid w:val="00E25EFC"/>
    <w:rsid w:val="00E27A0D"/>
    <w:rsid w:val="00E30A45"/>
    <w:rsid w:val="00E30A6C"/>
    <w:rsid w:val="00E31813"/>
    <w:rsid w:val="00E331E7"/>
    <w:rsid w:val="00E333BA"/>
    <w:rsid w:val="00E335FE"/>
    <w:rsid w:val="00E33695"/>
    <w:rsid w:val="00E34804"/>
    <w:rsid w:val="00E349CB"/>
    <w:rsid w:val="00E34A0D"/>
    <w:rsid w:val="00E35129"/>
    <w:rsid w:val="00E35FF6"/>
    <w:rsid w:val="00E360FC"/>
    <w:rsid w:val="00E36A1F"/>
    <w:rsid w:val="00E36E5C"/>
    <w:rsid w:val="00E400FD"/>
    <w:rsid w:val="00E40B54"/>
    <w:rsid w:val="00E418E6"/>
    <w:rsid w:val="00E42555"/>
    <w:rsid w:val="00E426C1"/>
    <w:rsid w:val="00E44335"/>
    <w:rsid w:val="00E44C84"/>
    <w:rsid w:val="00E469BE"/>
    <w:rsid w:val="00E46F7A"/>
    <w:rsid w:val="00E479A9"/>
    <w:rsid w:val="00E5021F"/>
    <w:rsid w:val="00E50631"/>
    <w:rsid w:val="00E51AF8"/>
    <w:rsid w:val="00E527DF"/>
    <w:rsid w:val="00E53775"/>
    <w:rsid w:val="00E55020"/>
    <w:rsid w:val="00E55493"/>
    <w:rsid w:val="00E56B7C"/>
    <w:rsid w:val="00E56EE8"/>
    <w:rsid w:val="00E57398"/>
    <w:rsid w:val="00E60451"/>
    <w:rsid w:val="00E606B9"/>
    <w:rsid w:val="00E61B1E"/>
    <w:rsid w:val="00E630DB"/>
    <w:rsid w:val="00E643F9"/>
    <w:rsid w:val="00E649AE"/>
    <w:rsid w:val="00E66097"/>
    <w:rsid w:val="00E6630F"/>
    <w:rsid w:val="00E671A6"/>
    <w:rsid w:val="00E6720D"/>
    <w:rsid w:val="00E674F4"/>
    <w:rsid w:val="00E719DB"/>
    <w:rsid w:val="00E73131"/>
    <w:rsid w:val="00E74401"/>
    <w:rsid w:val="00E74851"/>
    <w:rsid w:val="00E752E6"/>
    <w:rsid w:val="00E76CA0"/>
    <w:rsid w:val="00E76D19"/>
    <w:rsid w:val="00E773A3"/>
    <w:rsid w:val="00E77B75"/>
    <w:rsid w:val="00E77FDB"/>
    <w:rsid w:val="00E8035E"/>
    <w:rsid w:val="00E8040F"/>
    <w:rsid w:val="00E80C5A"/>
    <w:rsid w:val="00E815A6"/>
    <w:rsid w:val="00E818BA"/>
    <w:rsid w:val="00E82A94"/>
    <w:rsid w:val="00E82D2C"/>
    <w:rsid w:val="00E82E1B"/>
    <w:rsid w:val="00E85FA3"/>
    <w:rsid w:val="00E915AE"/>
    <w:rsid w:val="00E918F4"/>
    <w:rsid w:val="00E91BB2"/>
    <w:rsid w:val="00E91EB8"/>
    <w:rsid w:val="00E9224E"/>
    <w:rsid w:val="00E92819"/>
    <w:rsid w:val="00E934F6"/>
    <w:rsid w:val="00E93569"/>
    <w:rsid w:val="00E94776"/>
    <w:rsid w:val="00E96CF8"/>
    <w:rsid w:val="00E97A2E"/>
    <w:rsid w:val="00EA0847"/>
    <w:rsid w:val="00EA1FA4"/>
    <w:rsid w:val="00EA3A8E"/>
    <w:rsid w:val="00EA3E35"/>
    <w:rsid w:val="00EA49B1"/>
    <w:rsid w:val="00EA5007"/>
    <w:rsid w:val="00EA5077"/>
    <w:rsid w:val="00EA56F6"/>
    <w:rsid w:val="00EA66D7"/>
    <w:rsid w:val="00EA71BB"/>
    <w:rsid w:val="00EB11EC"/>
    <w:rsid w:val="00EB2DE0"/>
    <w:rsid w:val="00EB3B25"/>
    <w:rsid w:val="00EB48DA"/>
    <w:rsid w:val="00EB4A0F"/>
    <w:rsid w:val="00EB5C80"/>
    <w:rsid w:val="00EB7704"/>
    <w:rsid w:val="00EC0283"/>
    <w:rsid w:val="00EC0F65"/>
    <w:rsid w:val="00EC104F"/>
    <w:rsid w:val="00EC2AC1"/>
    <w:rsid w:val="00EC471D"/>
    <w:rsid w:val="00EC4E49"/>
    <w:rsid w:val="00EC594E"/>
    <w:rsid w:val="00EC6CEC"/>
    <w:rsid w:val="00EC6E12"/>
    <w:rsid w:val="00EC7942"/>
    <w:rsid w:val="00EC7F15"/>
    <w:rsid w:val="00ED0E7B"/>
    <w:rsid w:val="00ED3381"/>
    <w:rsid w:val="00ED447E"/>
    <w:rsid w:val="00ED4C24"/>
    <w:rsid w:val="00ED6867"/>
    <w:rsid w:val="00ED77FB"/>
    <w:rsid w:val="00ED7E24"/>
    <w:rsid w:val="00EE142B"/>
    <w:rsid w:val="00EE1C60"/>
    <w:rsid w:val="00EE1E32"/>
    <w:rsid w:val="00EE237C"/>
    <w:rsid w:val="00EE338A"/>
    <w:rsid w:val="00EE415A"/>
    <w:rsid w:val="00EE6AD6"/>
    <w:rsid w:val="00EE6E71"/>
    <w:rsid w:val="00EE758E"/>
    <w:rsid w:val="00EE7824"/>
    <w:rsid w:val="00EE7A6B"/>
    <w:rsid w:val="00EF0597"/>
    <w:rsid w:val="00EF1846"/>
    <w:rsid w:val="00EF2542"/>
    <w:rsid w:val="00EF3808"/>
    <w:rsid w:val="00EF418B"/>
    <w:rsid w:val="00EF43D8"/>
    <w:rsid w:val="00EF4F2C"/>
    <w:rsid w:val="00EF7826"/>
    <w:rsid w:val="00F01042"/>
    <w:rsid w:val="00F01A32"/>
    <w:rsid w:val="00F01FEA"/>
    <w:rsid w:val="00F021A6"/>
    <w:rsid w:val="00F05304"/>
    <w:rsid w:val="00F05A2E"/>
    <w:rsid w:val="00F066EB"/>
    <w:rsid w:val="00F0761E"/>
    <w:rsid w:val="00F076DB"/>
    <w:rsid w:val="00F1092F"/>
    <w:rsid w:val="00F11D94"/>
    <w:rsid w:val="00F12323"/>
    <w:rsid w:val="00F12E92"/>
    <w:rsid w:val="00F13708"/>
    <w:rsid w:val="00F143BF"/>
    <w:rsid w:val="00F14C26"/>
    <w:rsid w:val="00F159D8"/>
    <w:rsid w:val="00F1779B"/>
    <w:rsid w:val="00F21BE4"/>
    <w:rsid w:val="00F21F70"/>
    <w:rsid w:val="00F225AD"/>
    <w:rsid w:val="00F22D2E"/>
    <w:rsid w:val="00F237EE"/>
    <w:rsid w:val="00F23FB0"/>
    <w:rsid w:val="00F263E8"/>
    <w:rsid w:val="00F26594"/>
    <w:rsid w:val="00F27258"/>
    <w:rsid w:val="00F300B2"/>
    <w:rsid w:val="00F30BED"/>
    <w:rsid w:val="00F310F3"/>
    <w:rsid w:val="00F3151A"/>
    <w:rsid w:val="00F317F8"/>
    <w:rsid w:val="00F33538"/>
    <w:rsid w:val="00F33824"/>
    <w:rsid w:val="00F4292C"/>
    <w:rsid w:val="00F435BD"/>
    <w:rsid w:val="00F4502A"/>
    <w:rsid w:val="00F46909"/>
    <w:rsid w:val="00F4694C"/>
    <w:rsid w:val="00F475BB"/>
    <w:rsid w:val="00F4782B"/>
    <w:rsid w:val="00F478C6"/>
    <w:rsid w:val="00F47A45"/>
    <w:rsid w:val="00F47E23"/>
    <w:rsid w:val="00F506B4"/>
    <w:rsid w:val="00F51200"/>
    <w:rsid w:val="00F52BF3"/>
    <w:rsid w:val="00F52D61"/>
    <w:rsid w:val="00F53649"/>
    <w:rsid w:val="00F5407A"/>
    <w:rsid w:val="00F5457C"/>
    <w:rsid w:val="00F546B7"/>
    <w:rsid w:val="00F54A19"/>
    <w:rsid w:val="00F553D2"/>
    <w:rsid w:val="00F55553"/>
    <w:rsid w:val="00F55688"/>
    <w:rsid w:val="00F5658F"/>
    <w:rsid w:val="00F60180"/>
    <w:rsid w:val="00F60728"/>
    <w:rsid w:val="00F60A14"/>
    <w:rsid w:val="00F61B11"/>
    <w:rsid w:val="00F6385A"/>
    <w:rsid w:val="00F648E7"/>
    <w:rsid w:val="00F65CFD"/>
    <w:rsid w:val="00F66100"/>
    <w:rsid w:val="00F66152"/>
    <w:rsid w:val="00F676E3"/>
    <w:rsid w:val="00F6777C"/>
    <w:rsid w:val="00F67BE6"/>
    <w:rsid w:val="00F67E50"/>
    <w:rsid w:val="00F71370"/>
    <w:rsid w:val="00F71E91"/>
    <w:rsid w:val="00F7262F"/>
    <w:rsid w:val="00F76176"/>
    <w:rsid w:val="00F76489"/>
    <w:rsid w:val="00F80382"/>
    <w:rsid w:val="00F81BCA"/>
    <w:rsid w:val="00F82647"/>
    <w:rsid w:val="00F85949"/>
    <w:rsid w:val="00F85F1E"/>
    <w:rsid w:val="00F873F7"/>
    <w:rsid w:val="00F87510"/>
    <w:rsid w:val="00F94455"/>
    <w:rsid w:val="00F94D1C"/>
    <w:rsid w:val="00F94F5D"/>
    <w:rsid w:val="00F959DB"/>
    <w:rsid w:val="00F96D26"/>
    <w:rsid w:val="00F97193"/>
    <w:rsid w:val="00F9734D"/>
    <w:rsid w:val="00FA02A6"/>
    <w:rsid w:val="00FA0D96"/>
    <w:rsid w:val="00FA0DDA"/>
    <w:rsid w:val="00FA1AA0"/>
    <w:rsid w:val="00FA24C9"/>
    <w:rsid w:val="00FA2683"/>
    <w:rsid w:val="00FA2EC6"/>
    <w:rsid w:val="00FA3A81"/>
    <w:rsid w:val="00FA42C7"/>
    <w:rsid w:val="00FA5630"/>
    <w:rsid w:val="00FA7A19"/>
    <w:rsid w:val="00FB0A07"/>
    <w:rsid w:val="00FB305B"/>
    <w:rsid w:val="00FB37EB"/>
    <w:rsid w:val="00FB51AF"/>
    <w:rsid w:val="00FB51F6"/>
    <w:rsid w:val="00FB5FFF"/>
    <w:rsid w:val="00FB6C17"/>
    <w:rsid w:val="00FB7C9E"/>
    <w:rsid w:val="00FC0591"/>
    <w:rsid w:val="00FC0C4D"/>
    <w:rsid w:val="00FC2774"/>
    <w:rsid w:val="00FC32FA"/>
    <w:rsid w:val="00FC3700"/>
    <w:rsid w:val="00FC3EEA"/>
    <w:rsid w:val="00FC4A8E"/>
    <w:rsid w:val="00FC4E50"/>
    <w:rsid w:val="00FC5C33"/>
    <w:rsid w:val="00FD01A9"/>
    <w:rsid w:val="00FD1C94"/>
    <w:rsid w:val="00FD515F"/>
    <w:rsid w:val="00FD5317"/>
    <w:rsid w:val="00FD5801"/>
    <w:rsid w:val="00FD61C0"/>
    <w:rsid w:val="00FD6543"/>
    <w:rsid w:val="00FD7D33"/>
    <w:rsid w:val="00FE023C"/>
    <w:rsid w:val="00FE41A7"/>
    <w:rsid w:val="00FE439E"/>
    <w:rsid w:val="00FF24E6"/>
    <w:rsid w:val="00FF315F"/>
    <w:rsid w:val="00FF44A7"/>
    <w:rsid w:val="00FF474A"/>
    <w:rsid w:val="00FF51C1"/>
    <w:rsid w:val="00FF573C"/>
    <w:rsid w:val="00FF5EFB"/>
    <w:rsid w:val="03A826EB"/>
    <w:rsid w:val="047C1F84"/>
    <w:rsid w:val="04A87297"/>
    <w:rsid w:val="078B310E"/>
    <w:rsid w:val="090CAEC3"/>
    <w:rsid w:val="0965998A"/>
    <w:rsid w:val="0F393FDA"/>
    <w:rsid w:val="1298DFAE"/>
    <w:rsid w:val="12D7CD79"/>
    <w:rsid w:val="13C4C5E5"/>
    <w:rsid w:val="152AB00D"/>
    <w:rsid w:val="16B84C99"/>
    <w:rsid w:val="18E7BC61"/>
    <w:rsid w:val="1B5BE607"/>
    <w:rsid w:val="1FB955B3"/>
    <w:rsid w:val="23C2C7F1"/>
    <w:rsid w:val="25136CDB"/>
    <w:rsid w:val="272155D8"/>
    <w:rsid w:val="2B85D81D"/>
    <w:rsid w:val="30686976"/>
    <w:rsid w:val="31EFD8CF"/>
    <w:rsid w:val="33CA6186"/>
    <w:rsid w:val="3ADC4B6C"/>
    <w:rsid w:val="3EBBC547"/>
    <w:rsid w:val="42B779AE"/>
    <w:rsid w:val="44FCC836"/>
    <w:rsid w:val="45D90DFC"/>
    <w:rsid w:val="491EEF37"/>
    <w:rsid w:val="498230A4"/>
    <w:rsid w:val="49CB2285"/>
    <w:rsid w:val="4A0FD5F1"/>
    <w:rsid w:val="4AD62819"/>
    <w:rsid w:val="4B2BABC3"/>
    <w:rsid w:val="4BE4E82F"/>
    <w:rsid w:val="4EDADB26"/>
    <w:rsid w:val="5417A120"/>
    <w:rsid w:val="56000E6B"/>
    <w:rsid w:val="57657BFA"/>
    <w:rsid w:val="58110C80"/>
    <w:rsid w:val="5DA53E40"/>
    <w:rsid w:val="5FCD48ED"/>
    <w:rsid w:val="60F8A249"/>
    <w:rsid w:val="630B53DF"/>
    <w:rsid w:val="65B83293"/>
    <w:rsid w:val="67F70275"/>
    <w:rsid w:val="764F2234"/>
    <w:rsid w:val="79359498"/>
    <w:rsid w:val="7BD64201"/>
    <w:rsid w:val="7ED468D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0F2ED4"/>
  <w15:docId w15:val="{F52DF5EF-76A4-4FF5-97BD-AFFE3222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F0"/>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B76A7"/>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8921CB"/>
    <w:rPr>
      <w:color w:val="0000FF" w:themeColor="hyperlink"/>
      <w:u w:val="single"/>
    </w:rPr>
  </w:style>
  <w:style w:type="character" w:styleId="UnresolvedMention">
    <w:name w:val="Unresolved Mention"/>
    <w:basedOn w:val="DefaultParagraphFont"/>
    <w:uiPriority w:val="99"/>
    <w:semiHidden/>
    <w:unhideWhenUsed/>
    <w:rsid w:val="003A4310"/>
    <w:rPr>
      <w:color w:val="605E5C"/>
      <w:shd w:val="clear" w:color="auto" w:fill="E1DFDD"/>
    </w:rPr>
  </w:style>
  <w:style w:type="paragraph" w:styleId="ListParagraph">
    <w:name w:val="List Paragraph"/>
    <w:basedOn w:val="Normal"/>
    <w:uiPriority w:val="34"/>
    <w:qFormat/>
    <w:rsid w:val="004C2F8E"/>
    <w:pPr>
      <w:ind w:left="720"/>
      <w:contextualSpacing/>
    </w:pPr>
  </w:style>
  <w:style w:type="character" w:styleId="IntenseEmphasis">
    <w:name w:val="Intense Emphasis"/>
    <w:basedOn w:val="DefaultParagraphFont"/>
    <w:uiPriority w:val="21"/>
    <w:qFormat/>
    <w:rsid w:val="002E23F8"/>
    <w:rPr>
      <w:i/>
      <w:iCs/>
      <w:color w:val="4F81BD" w:themeColor="accent1"/>
    </w:rPr>
  </w:style>
  <w:style w:type="table" w:styleId="ListTable3-Accent1">
    <w:name w:val="List Table 3 Accent 1"/>
    <w:basedOn w:val="TableNormal"/>
    <w:uiPriority w:val="48"/>
    <w:rsid w:val="00A0668E"/>
    <w:pPr>
      <w:spacing w:before="180"/>
    </w:pPr>
    <w:rPr>
      <w:rFonts w:ascii="Noto Sans" w:eastAsiaTheme="minorHAnsi" w:hAnsi="Noto Sans"/>
      <w:sz w:val="22"/>
      <w:szCs w:val="22"/>
      <w:lang w:val="en-US"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5Dark-Accent1">
    <w:name w:val="Grid Table 5 Dark Accent 1"/>
    <w:basedOn w:val="TableNormal"/>
    <w:uiPriority w:val="50"/>
    <w:rsid w:val="00F27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7Colorful-Accent1">
    <w:name w:val="List Table 7 Colorful Accent 1"/>
    <w:basedOn w:val="TableNormal"/>
    <w:uiPriority w:val="52"/>
    <w:rsid w:val="00F2725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688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4601F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460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4601F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6E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3416FC"/>
    <w:pPr>
      <w:spacing w:after="160"/>
    </w:pPr>
    <w:rPr>
      <w:rFonts w:ascii="Arial" w:eastAsia="Arial" w:hAnsi="Arial"/>
      <w:lang w:val="en-US"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paragraph" w:styleId="Revision">
    <w:name w:val="Revision"/>
    <w:hidden/>
    <w:uiPriority w:val="99"/>
    <w:semiHidden/>
    <w:rsid w:val="007B0EBA"/>
    <w:rPr>
      <w:rFonts w:ascii="Arial" w:eastAsia="SimSun" w:hAnsi="Arial"/>
      <w:sz w:val="22"/>
      <w:lang w:val="en-US" w:eastAsia="zh-CN"/>
    </w:rPr>
  </w:style>
  <w:style w:type="character" w:styleId="CommentReference">
    <w:name w:val="annotation reference"/>
    <w:basedOn w:val="DefaultParagraphFont"/>
    <w:semiHidden/>
    <w:unhideWhenUsed/>
    <w:rsid w:val="007B0EBA"/>
    <w:rPr>
      <w:sz w:val="16"/>
      <w:szCs w:val="16"/>
    </w:rPr>
  </w:style>
  <w:style w:type="paragraph" w:styleId="CommentSubject">
    <w:name w:val="annotation subject"/>
    <w:basedOn w:val="CommentText"/>
    <w:next w:val="CommentText"/>
    <w:link w:val="CommentSubjectChar"/>
    <w:semiHidden/>
    <w:unhideWhenUsed/>
    <w:rsid w:val="007B0EBA"/>
    <w:rPr>
      <w:b/>
      <w:bCs/>
      <w:sz w:val="20"/>
    </w:rPr>
  </w:style>
  <w:style w:type="character" w:customStyle="1" w:styleId="CommentTextChar">
    <w:name w:val="Comment Text Char"/>
    <w:basedOn w:val="DefaultParagraphFont"/>
    <w:link w:val="CommentText"/>
    <w:semiHidden/>
    <w:rsid w:val="007B0EB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B0EBA"/>
    <w:rPr>
      <w:rFonts w:ascii="Arial" w:eastAsia="SimSun" w:hAnsi="Arial" w:cs="Arial"/>
      <w:b/>
      <w:bCs/>
      <w:sz w:val="18"/>
      <w:lang w:val="en-US" w:eastAsia="zh-CN"/>
    </w:rPr>
  </w:style>
  <w:style w:type="character" w:customStyle="1" w:styleId="Heading3Char">
    <w:name w:val="Heading 3 Char"/>
    <w:basedOn w:val="DefaultParagraphFont"/>
    <w:link w:val="Heading3"/>
    <w:uiPriority w:val="9"/>
    <w:rsid w:val="00273E85"/>
    <w:rPr>
      <w:rFonts w:ascii="Arial" w:eastAsia="SimSun" w:hAnsi="Arial" w:cs="Arial"/>
      <w:bCs/>
      <w:sz w:val="22"/>
      <w:szCs w:val="26"/>
      <w:u w:val="single"/>
      <w:lang w:val="en-US" w:eastAsia="zh-CN"/>
    </w:rPr>
  </w:style>
  <w:style w:type="character" w:styleId="FollowedHyperlink">
    <w:name w:val="FollowedHyperlink"/>
    <w:basedOn w:val="DefaultParagraphFont"/>
    <w:semiHidden/>
    <w:unhideWhenUsed/>
    <w:rsid w:val="00470D62"/>
    <w:rPr>
      <w:color w:val="800080" w:themeColor="followedHyperlink"/>
      <w:u w:val="single"/>
    </w:rPr>
  </w:style>
  <w:style w:type="character" w:styleId="Mention">
    <w:name w:val="Mention"/>
    <w:basedOn w:val="DefaultParagraphFont"/>
    <w:uiPriority w:val="99"/>
    <w:unhideWhenUsed/>
    <w:rsid w:val="00052CD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chart" Target="charts/chart1.xml"/><Relationship Id="rId26" Type="http://schemas.openxmlformats.org/officeDocument/2006/relationships/chart" Target="charts/chart9.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en/web/standards/part_07" TargetMode="External"/><Relationship Id="rId25" Type="http://schemas.openxmlformats.org/officeDocument/2006/relationships/chart" Target="charts/chart8.xml"/><Relationship Id="rId2" Type="http://schemas.openxmlformats.org/officeDocument/2006/relationships/customXml" Target="../customXml/item2.xml"/><Relationship Id="rId16" Type="http://schemas.openxmlformats.org/officeDocument/2006/relationships/hyperlink" Target="https://www.wipo.int/documents/d/cws/docs-en-circulars-files-cws-211.pdf" TargetMode="External"/><Relationship Id="rId20" Type="http://schemas.openxmlformats.org/officeDocument/2006/relationships/chart" Target="charts/chart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7.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chart" Target="charts/chart6.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chart" Target="charts/chart5.xml"/><Relationship Id="rId27"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D6F-4515-BE11-FD09B2170AD7}"/>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AD6F-4515-BE11-FD09B2170AD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D6F-4515-BE11-FD09B2170AD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D6F-4515-BE11-FD09B2170AD7}"/>
              </c:ext>
            </c:extLst>
          </c:dPt>
          <c:dLbls>
            <c:dLbl>
              <c:idx val="0"/>
              <c:tx>
                <c:rich>
                  <a:bodyPr/>
                  <a:lstStyle/>
                  <a:p>
                    <a:fld id="{5B60B71A-A445-4906-BE7F-D163AF68891F}" type="VALUE">
                      <a:rPr lang="en-US"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D6F-4515-BE11-FD09B2170AD7}"/>
                </c:ext>
              </c:extLst>
            </c:dLbl>
            <c:dLbl>
              <c:idx val="1"/>
              <c:tx>
                <c:rich>
                  <a:bodyPr/>
                  <a:lstStyle/>
                  <a:p>
                    <a:fld id="{D231C904-5E47-4975-913A-A957471066D1}" type="VALUE">
                      <a:rPr lang="en-US"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D6F-4515-BE11-FD09B2170AD7}"/>
                </c:ext>
              </c:extLst>
            </c:dLbl>
            <c:dLbl>
              <c:idx val="2"/>
              <c:tx>
                <c:rich>
                  <a:bodyPr/>
                  <a:lstStyle/>
                  <a:p>
                    <a:fld id="{374296D9-622A-4099-AE83-9904C311525B}" type="VALUE">
                      <a:rPr lang="en-US" sz="800"/>
                      <a:pPr/>
                      <a:t>[VALUE]</a:t>
                    </a:fld>
                    <a:r>
                      <a:rPr lang="en-US" sz="800"/>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D6F-4515-BE11-FD09B2170AD7}"/>
                </c:ext>
              </c:extLst>
            </c:dLbl>
            <c:dLbl>
              <c:idx val="3"/>
              <c:tx>
                <c:rich>
                  <a:bodyPr/>
                  <a:lstStyle/>
                  <a:p>
                    <a:fld id="{ED1F3960-429F-4DDA-8517-990DFD4590C7}" type="VALUE">
                      <a:rPr lang="en-US" sz="800"/>
                      <a:pPr/>
                      <a:t>[VALUE]</a:t>
                    </a:fld>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D6F-4515-BE11-FD09B2170AD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نعم، نقدم فقط (نحن نقدم البيانات إلى مكاتب أخرى) </c:v>
                </c:pt>
                <c:pt idx="1">
                  <c:v>نعم، نقدم ونجمع </c:v>
                </c:pt>
                <c:pt idx="2">
                  <c:v>لا نقوم حاليًا بتقديم بيانات الملكية الفكرية أو جمعها، لكننا نخطط لتبادلها </c:v>
                </c:pt>
                <c:pt idx="3">
                  <c:v>لا شيء مما سبق </c:v>
                </c:pt>
              </c:strCache>
            </c:strRef>
          </c:cat>
          <c:val>
            <c:numRef>
              <c:f>Sheet1!$B$1:$B$4</c:f>
              <c:numCache>
                <c:formatCode>General</c:formatCode>
                <c:ptCount val="4"/>
                <c:pt idx="0">
                  <c:v>33.299999999999997</c:v>
                </c:pt>
                <c:pt idx="1">
                  <c:v>52.4</c:v>
                </c:pt>
                <c:pt idx="2">
                  <c:v>4.8</c:v>
                </c:pt>
                <c:pt idx="3">
                  <c:v>9.5</c:v>
                </c:pt>
              </c:numCache>
            </c:numRef>
          </c:val>
          <c:extLst>
            <c:ext xmlns:c15="http://schemas.microsoft.com/office/drawing/2012/chart" uri="{02D57815-91ED-43cb-92C2-25804820EDAC}">
              <c15:filteredSeriesTitle>
                <c15:tx>
                  <c:strRef>
                    <c:extLst>
                      <c:ext uri="{02D57815-91ED-43cb-92C2-25804820EDAC}">
                        <c15:formulaRef>
                          <c15:sqref>Sheet1!$B$1:$B$0</c15:sqref>
                        </c15:formulaRef>
                      </c:ext>
                    </c:extLst>
                  </c:strRef>
                </c15:tx>
              </c15:filteredSeriesTitle>
            </c:ext>
            <c:ext xmlns:c16="http://schemas.microsoft.com/office/drawing/2014/chart" uri="{C3380CC4-5D6E-409C-BE32-E72D297353CC}">
              <c16:uniqueId val="{00000008-AD6F-4515-BE11-FD09B2170AD7}"/>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0.16326100014197256"/>
          <c:w val="0.35080847782174135"/>
          <c:h val="0.723408214749855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غير ذلك </c:v>
                </c:pt>
                <c:pt idx="1">
                  <c:v>الاتفاقات الثنائية</c:v>
                </c:pt>
                <c:pt idx="2">
                  <c:v>الاتفاقات المتعددة الأطراف </c:v>
                </c:pt>
                <c:pt idx="3">
                  <c:v>التحميل/التنزيل المباشر للبيانات الضخمة</c:v>
                </c:pt>
                <c:pt idx="4">
                  <c:v>رخصة موحدة للبيانات المفتوحة</c:v>
                </c:pt>
                <c:pt idx="5">
                  <c:v>رخصة مقيدة للبيانات المفتوحة </c:v>
                </c:pt>
              </c:strCache>
            </c:strRef>
          </c:cat>
          <c:val>
            <c:numRef>
              <c:f>Sheet1!$B$2:$B$7</c:f>
              <c:numCache>
                <c:formatCode>General</c:formatCode>
                <c:ptCount val="6"/>
                <c:pt idx="0">
                  <c:v>5</c:v>
                </c:pt>
                <c:pt idx="1">
                  <c:v>34</c:v>
                </c:pt>
                <c:pt idx="2">
                  <c:v>19</c:v>
                </c:pt>
                <c:pt idx="3">
                  <c:v>25</c:v>
                </c:pt>
                <c:pt idx="4">
                  <c:v>6</c:v>
                </c:pt>
                <c:pt idx="5">
                  <c:v>1</c:v>
                </c:pt>
              </c:numCache>
            </c:numRef>
          </c:val>
          <c:extLst>
            <c:ext xmlns:c16="http://schemas.microsoft.com/office/drawing/2014/chart" uri="{C3380CC4-5D6E-409C-BE32-E72D297353CC}">
              <c16:uniqueId val="{00000000-3012-4916-96A2-041893489912}"/>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تقديم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المؤشرات الجغرافية</c:v>
                </c:pt>
                <c:pt idx="1">
                  <c:v>التصاميم الصناعية</c:v>
                </c:pt>
                <c:pt idx="2">
                  <c:v>البراءات</c:v>
                </c:pt>
                <c:pt idx="3">
                  <c:v>العلامات التجارية</c:v>
                </c:pt>
              </c:strCache>
            </c:strRef>
          </c:cat>
          <c:val>
            <c:numRef>
              <c:f>Sheet1!$B$2:$B$5</c:f>
              <c:numCache>
                <c:formatCode>#,##0</c:formatCode>
                <c:ptCount val="4"/>
                <c:pt idx="0">
                  <c:v>7</c:v>
                </c:pt>
                <c:pt idx="1">
                  <c:v>17</c:v>
                </c:pt>
                <c:pt idx="2">
                  <c:v>15</c:v>
                </c:pt>
                <c:pt idx="3">
                  <c:v>17</c:v>
                </c:pt>
              </c:numCache>
            </c:numRef>
          </c:val>
          <c:extLst>
            <c:ext xmlns:c16="http://schemas.microsoft.com/office/drawing/2014/chart" uri="{C3380CC4-5D6E-409C-BE32-E72D297353CC}">
              <c16:uniqueId val="{00000000-9669-483A-B8FA-4AEDE8937302}"/>
            </c:ext>
          </c:extLst>
        </c:ser>
        <c:ser>
          <c:idx val="1"/>
          <c:order val="1"/>
          <c:tx>
            <c:strRef>
              <c:f>Sheet1!$C$1</c:f>
              <c:strCache>
                <c:ptCount val="1"/>
                <c:pt idx="0">
                  <c:v>جمع</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2356-48A7-A8A3-A12622E6AF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المؤشرات الجغرافية</c:v>
                </c:pt>
                <c:pt idx="1">
                  <c:v>التصاميم الصناعية</c:v>
                </c:pt>
                <c:pt idx="2">
                  <c:v>البراءات</c:v>
                </c:pt>
                <c:pt idx="3">
                  <c:v>العلامات التجارية</c:v>
                </c:pt>
              </c:strCache>
            </c:strRef>
          </c:cat>
          <c:val>
            <c:numRef>
              <c:f>Sheet1!$C$2:$C$5</c:f>
              <c:numCache>
                <c:formatCode>0</c:formatCode>
                <c:ptCount val="4"/>
                <c:pt idx="0">
                  <c:v>3</c:v>
                </c:pt>
                <c:pt idx="1">
                  <c:v>1</c:v>
                </c:pt>
                <c:pt idx="2">
                  <c:v>0</c:v>
                </c:pt>
                <c:pt idx="3">
                  <c:v>1</c:v>
                </c:pt>
              </c:numCache>
            </c:numRef>
          </c:val>
          <c:extLst>
            <c:ext xmlns:c16="http://schemas.microsoft.com/office/drawing/2014/chart" uri="{C3380CC4-5D6E-409C-BE32-E72D297353CC}">
              <c16:uniqueId val="{00000001-9669-483A-B8FA-4AEDE8937302}"/>
            </c:ext>
          </c:extLst>
        </c:ser>
        <c:ser>
          <c:idx val="2"/>
          <c:order val="2"/>
          <c:tx>
            <c:strRef>
              <c:f>Sheet1!$D$1</c:f>
              <c:strCache>
                <c:ptCount val="1"/>
                <c:pt idx="0">
                  <c:v>كلاهما: تقديم وجمع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المؤشرات الجغرافية</c:v>
                </c:pt>
                <c:pt idx="1">
                  <c:v>التصاميم الصناعية</c:v>
                </c:pt>
                <c:pt idx="2">
                  <c:v>البراءات</c:v>
                </c:pt>
                <c:pt idx="3">
                  <c:v>العلامات التجارية</c:v>
                </c:pt>
              </c:strCache>
            </c:strRef>
          </c:cat>
          <c:val>
            <c:numRef>
              <c:f>Sheet1!$D$2:$D$5</c:f>
              <c:numCache>
                <c:formatCode>#,##0</c:formatCode>
                <c:ptCount val="4"/>
                <c:pt idx="0">
                  <c:v>5</c:v>
                </c:pt>
                <c:pt idx="1">
                  <c:v>15</c:v>
                </c:pt>
                <c:pt idx="2">
                  <c:v>20</c:v>
                </c:pt>
                <c:pt idx="3">
                  <c:v>17</c:v>
                </c:pt>
              </c:numCache>
            </c:numRef>
          </c:val>
          <c:extLst>
            <c:ext xmlns:c16="http://schemas.microsoft.com/office/drawing/2014/chart" uri="{C3380CC4-5D6E-409C-BE32-E72D297353CC}">
              <c16:uniqueId val="{00000002-9669-483A-B8FA-4AEDE8937302}"/>
            </c:ext>
          </c:extLst>
        </c:ser>
        <c:ser>
          <c:idx val="3"/>
          <c:order val="3"/>
          <c:tx>
            <c:strRef>
              <c:f>Sheet1!$E$1</c:f>
              <c:strCache>
                <c:ptCount val="1"/>
                <c:pt idx="0">
                  <c:v>لا ينطبق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المؤشرات الجغرافية</c:v>
                </c:pt>
                <c:pt idx="1">
                  <c:v>التصاميم الصناعية</c:v>
                </c:pt>
                <c:pt idx="2">
                  <c:v>البراءات</c:v>
                </c:pt>
                <c:pt idx="3">
                  <c:v>العلامات التجارية</c:v>
                </c:pt>
              </c:strCache>
            </c:strRef>
          </c:cat>
          <c:val>
            <c:numRef>
              <c:f>Sheet1!$E$2:$E$5</c:f>
              <c:numCache>
                <c:formatCode>#,##0</c:formatCode>
                <c:ptCount val="4"/>
                <c:pt idx="0">
                  <c:v>21</c:v>
                </c:pt>
                <c:pt idx="1">
                  <c:v>3</c:v>
                </c:pt>
                <c:pt idx="2">
                  <c:v>1</c:v>
                </c:pt>
                <c:pt idx="3">
                  <c:v>2</c:v>
                </c:pt>
              </c:numCache>
            </c:numRef>
          </c:val>
          <c:extLst>
            <c:ext xmlns:c16="http://schemas.microsoft.com/office/drawing/2014/chart" uri="{C3380CC4-5D6E-409C-BE32-E72D297353CC}">
              <c16:uniqueId val="{00000003-9669-483A-B8FA-4AEDE8937302}"/>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وضع معيار جديد للويبو بشأن التوصية المتعلقة بتبادل بيانات الملكية الفكرية واستخدامها</c:v>
                </c:pt>
                <c:pt idx="1">
                  <c:v>توفير بوابة إلكترونية لتعزيز التواصل بين المكاتب بهدف مشاركة الخبرات في مجال تبادل بيانات الملكية الفكرية</c:v>
                </c:pt>
                <c:pt idx="2">
                  <c:v>إنشاء منصة بيانات عالمية لكي تستخدم كمركز لتبادل البيانات</c:v>
                </c:pt>
                <c:pt idx="3">
                  <c:v>جمع ومشاركة أفضل الممارسات بشأن تبادل البيانات</c:v>
                </c:pt>
                <c:pt idx="4">
                  <c:v>حلول أخرى مقترحة </c:v>
                </c:pt>
              </c:strCache>
            </c:strRef>
          </c:cat>
          <c:val>
            <c:numRef>
              <c:f>Sheet1!$B$2:$B$6</c:f>
              <c:numCache>
                <c:formatCode>General</c:formatCode>
                <c:ptCount val="5"/>
                <c:pt idx="0">
                  <c:v>14</c:v>
                </c:pt>
                <c:pt idx="1">
                  <c:v>19</c:v>
                </c:pt>
                <c:pt idx="2">
                  <c:v>20</c:v>
                </c:pt>
                <c:pt idx="3">
                  <c:v>29</c:v>
                </c:pt>
                <c:pt idx="4">
                  <c:v>7</c:v>
                </c:pt>
              </c:numCache>
            </c:numRef>
          </c:val>
          <c:extLst>
            <c:ext xmlns:c16="http://schemas.microsoft.com/office/drawing/2014/chart" uri="{C3380CC4-5D6E-409C-BE32-E72D297353CC}">
              <c16:uniqueId val="{00000000-C9A0-4113-B1C0-0443F372CBDF}"/>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122-4362-AE93-08682926FD9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F122-4362-AE93-08682926FD9E}"/>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F122-4362-AE93-08682926FD9E}"/>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F122-4362-AE93-08682926FD9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نعم </c:v>
                </c:pt>
                <c:pt idx="1">
                  <c:v>لا</c:v>
                </c:pt>
              </c:strCache>
            </c:strRef>
          </c:cat>
          <c:val>
            <c:numRef>
              <c:f>Sheet1!$B$2:$B$3</c:f>
              <c:numCache>
                <c:formatCode>0.00%</c:formatCode>
                <c:ptCount val="2"/>
                <c:pt idx="0">
                  <c:v>0.52400000000000002</c:v>
                </c:pt>
                <c:pt idx="1">
                  <c:v>0.47599999999999998</c:v>
                </c:pt>
              </c:numCache>
            </c:numRef>
          </c:val>
          <c:extLst>
            <c:ext xmlns:c16="http://schemas.microsoft.com/office/drawing/2014/chart" uri="{C3380CC4-5D6E-409C-BE32-E72D297353CC}">
              <c16:uniqueId val="{00000004-F122-4362-AE93-08682926FD9E}"/>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تُمنح الموافقة في إطار المناقشات التي يجريها المكتبين المشاركين في اتفاق التعاون بشأن تبادل البيانات </c:v>
                </c:pt>
                <c:pt idx="1">
                  <c:v>تُمنح الموافقة بموجب القوانين أو اللوائح الخاصة بالمكتبين المشاركين في اتفاق التعاون بشأن تبادل البيانات أو  تلك الخاصة ببلدهما و/أو إقليمهما</c:v>
                </c:pt>
                <c:pt idx="2">
                  <c:v>تُمنح الموافقة بطرق أو شروط أخرى (يُرجى التحديد)</c:v>
                </c:pt>
                <c:pt idx="3">
                  <c:v>لا حاجة للموافقة</c:v>
                </c:pt>
                <c:pt idx="4">
                  <c:v>لا ينطبق</c:v>
                </c:pt>
              </c:strCache>
            </c:strRef>
          </c:cat>
          <c:val>
            <c:numRef>
              <c:f>Sheet1!$B$2:$B$6</c:f>
              <c:numCache>
                <c:formatCode>General</c:formatCode>
                <c:ptCount val="5"/>
                <c:pt idx="0">
                  <c:v>22</c:v>
                </c:pt>
                <c:pt idx="1">
                  <c:v>10</c:v>
                </c:pt>
                <c:pt idx="2">
                  <c:v>6</c:v>
                </c:pt>
                <c:pt idx="3">
                  <c:v>6</c:v>
                </c:pt>
                <c:pt idx="4">
                  <c:v>11</c:v>
                </c:pt>
              </c:numCache>
            </c:numRef>
          </c:val>
          <c:extLst>
            <c:ext xmlns:c16="http://schemas.microsoft.com/office/drawing/2014/chart" uri="{C3380CC4-5D6E-409C-BE32-E72D297353CC}">
              <c16:uniqueId val="{00000000-AAEF-4235-94F2-4E87C57C99DE}"/>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953-4440-8037-2497F2E0F1C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953-4440-8037-2497F2E0F1C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953-4440-8037-2497F2E0F1C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953-4440-8037-2497F2E0F1CF}"/>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4953-4440-8037-2497F2E0F1CF}"/>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4953-4440-8037-2497F2E0F1CF}"/>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4953-4440-8037-2497F2E0F1CF}"/>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7-4953-4440-8037-2497F2E0F1C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تبادل مصحوب بحقوق إعادة توزيع مشروطة بالامتثال لقيود استخدام محددة (يُرجى تقديم التفاصيل)</c:v>
                </c:pt>
                <c:pt idx="1">
                  <c:v>تبادل غير مصحوب بحقوق إعادة توزيع (يُرجى تقديم التفاصيل)</c:v>
                </c:pt>
                <c:pt idx="2">
                  <c:v>غير ذلك (يُرجى التحديد)</c:v>
                </c:pt>
                <c:pt idx="3">
                  <c:v>تبادل مصحوب بحقوق إعادة توزيع غير مشروطة (يُرجى تقديم التفاصيل)</c:v>
                </c:pt>
              </c:strCache>
            </c:strRef>
          </c:cat>
          <c:val>
            <c:numRef>
              <c:f>Sheet1!$B$2:$B$5</c:f>
              <c:numCache>
                <c:formatCode>0.00%</c:formatCode>
                <c:ptCount val="4"/>
                <c:pt idx="0">
                  <c:v>0.28599999999999998</c:v>
                </c:pt>
                <c:pt idx="1">
                  <c:v>0.23799999999999999</c:v>
                </c:pt>
                <c:pt idx="2">
                  <c:v>0.28599999999999998</c:v>
                </c:pt>
                <c:pt idx="3">
                  <c:v>0.19</c:v>
                </c:pt>
              </c:numCache>
            </c:numRef>
          </c:val>
          <c:extLst>
            <c:ext xmlns:c16="http://schemas.microsoft.com/office/drawing/2014/chart" uri="{C3380CC4-5D6E-409C-BE32-E72D297353CC}">
              <c16:uniqueId val="{00000008-4953-4440-8037-2497F2E0F1CF}"/>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907426592754228"/>
          <c:y val="9.4092066904921015E-2"/>
          <c:w val="0.3959447159187196"/>
          <c:h val="0.81181586619015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في المائة </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1867-46E1-90EB-7D6EC2563C5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1867-46E1-90EB-7D6EC2563C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867-46E1-90EB-7D6EC2563C5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ln>
                      <a:noFill/>
                    </a:ln>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نعم </c:v>
                </c:pt>
                <c:pt idx="1">
                  <c:v>لا </c:v>
                </c:pt>
                <c:pt idx="2">
                  <c:v>لا ينطبق؛ إذ لا يقوم المكتب المجيب بمشاركة بيانات الملكية الفكرية </c:v>
                </c:pt>
              </c:strCache>
            </c:strRef>
          </c:cat>
          <c:val>
            <c:numRef>
              <c:f>Sheet1!$B$2:$B$4</c:f>
              <c:numCache>
                <c:formatCode>0.0%</c:formatCode>
                <c:ptCount val="3"/>
                <c:pt idx="0">
                  <c:v>0.69</c:v>
                </c:pt>
                <c:pt idx="1">
                  <c:v>0.14299999999999999</c:v>
                </c:pt>
                <c:pt idx="2">
                  <c:v>0.16700000000000001</c:v>
                </c:pt>
              </c:numCache>
            </c:numRef>
          </c:val>
          <c:extLst>
            <c:ext xmlns:c16="http://schemas.microsoft.com/office/drawing/2014/chart" uri="{C3380CC4-5D6E-409C-BE32-E72D297353CC}">
              <c16:uniqueId val="{00000006-1867-46E1-90EB-7D6EC2563C5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في الوقت الفعلي</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Sheet1!$B$2:$B$5</c:f>
              <c:numCache>
                <c:formatCode>General</c:formatCode>
                <c:ptCount val="4"/>
                <c:pt idx="0">
                  <c:v>4</c:v>
                </c:pt>
                <c:pt idx="1">
                  <c:v>7</c:v>
                </c:pt>
                <c:pt idx="2">
                  <c:v>5</c:v>
                </c:pt>
                <c:pt idx="3">
                  <c:v>1</c:v>
                </c:pt>
              </c:numCache>
            </c:numRef>
          </c:val>
          <c:extLst>
            <c:ext xmlns:c16="http://schemas.microsoft.com/office/drawing/2014/chart" uri="{C3380CC4-5D6E-409C-BE32-E72D297353CC}">
              <c16:uniqueId val="{00000000-9282-4370-8FE9-F57A99D61711}"/>
            </c:ext>
          </c:extLst>
        </c:ser>
        <c:ser>
          <c:idx val="1"/>
          <c:order val="1"/>
          <c:tx>
            <c:strRef>
              <c:f>Sheet1!$C$1</c:f>
              <c:strCache>
                <c:ptCount val="1"/>
                <c:pt idx="0">
                  <c:v>كل أسبوع</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Sheet1!$C$2:$C$5</c:f>
              <c:numCache>
                <c:formatCode>General</c:formatCode>
                <c:ptCount val="4"/>
                <c:pt idx="0">
                  <c:v>8</c:v>
                </c:pt>
                <c:pt idx="1">
                  <c:v>6</c:v>
                </c:pt>
                <c:pt idx="2">
                  <c:v>5</c:v>
                </c:pt>
                <c:pt idx="3">
                  <c:v>3</c:v>
                </c:pt>
              </c:numCache>
            </c:numRef>
          </c:val>
          <c:extLst>
            <c:ext xmlns:c16="http://schemas.microsoft.com/office/drawing/2014/chart" uri="{C3380CC4-5D6E-409C-BE32-E72D297353CC}">
              <c16:uniqueId val="{00000001-9282-4370-8FE9-F57A99D61711}"/>
            </c:ext>
          </c:extLst>
        </c:ser>
        <c:ser>
          <c:idx val="2"/>
          <c:order val="2"/>
          <c:tx>
            <c:strRef>
              <c:f>Sheet1!$D$1</c:f>
              <c:strCache>
                <c:ptCount val="1"/>
                <c:pt idx="0">
                  <c:v>كل شهر</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Sheet1!$D$2:$D$5</c:f>
              <c:numCache>
                <c:formatCode>General</c:formatCode>
                <c:ptCount val="4"/>
                <c:pt idx="0">
                  <c:v>9</c:v>
                </c:pt>
                <c:pt idx="1">
                  <c:v>3</c:v>
                </c:pt>
                <c:pt idx="2">
                  <c:v>6</c:v>
                </c:pt>
                <c:pt idx="3">
                  <c:v>2</c:v>
                </c:pt>
              </c:numCache>
            </c:numRef>
          </c:val>
          <c:extLst>
            <c:ext xmlns:c16="http://schemas.microsoft.com/office/drawing/2014/chart" uri="{C3380CC4-5D6E-409C-BE32-E72D297353CC}">
              <c16:uniqueId val="{00000002-9282-4370-8FE9-F57A99D61711}"/>
            </c:ext>
          </c:extLst>
        </c:ser>
        <c:ser>
          <c:idx val="3"/>
          <c:order val="3"/>
          <c:tx>
            <c:strRef>
              <c:f>Sheet1!$E$1</c:f>
              <c:strCache>
                <c:ptCount val="1"/>
                <c:pt idx="0">
                  <c:v>كل يوم</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Sheet1!$E$2:$E$5</c:f>
              <c:numCache>
                <c:formatCode>General</c:formatCode>
                <c:ptCount val="4"/>
                <c:pt idx="0">
                  <c:v>12</c:v>
                </c:pt>
                <c:pt idx="1">
                  <c:v>17</c:v>
                </c:pt>
                <c:pt idx="2">
                  <c:v>16</c:v>
                </c:pt>
                <c:pt idx="3">
                  <c:v>7</c:v>
                </c:pt>
              </c:numCache>
            </c:numRef>
          </c:val>
          <c:extLst>
            <c:ext xmlns:c16="http://schemas.microsoft.com/office/drawing/2014/chart" uri="{C3380CC4-5D6E-409C-BE32-E72D297353CC}">
              <c16:uniqueId val="{00000003-9282-4370-8FE9-F57A99D61711}"/>
            </c:ext>
          </c:extLst>
        </c:ser>
        <c:ser>
          <c:idx val="4"/>
          <c:order val="4"/>
          <c:tx>
            <c:strRef>
              <c:f>Sheet1!$F$1</c:f>
              <c:strCache>
                <c:ptCount val="1"/>
                <c:pt idx="0">
                  <c:v>ربع سنوي</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Sheet1!$F$2:$F$5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9282-4370-8FE9-F57A99D61711}"/>
            </c:ext>
          </c:extLst>
        </c:ser>
        <c:ser>
          <c:idx val="5"/>
          <c:order val="5"/>
          <c:tx>
            <c:strRef>
              <c:f>Sheet1!$G$1</c:f>
              <c:strCache>
                <c:ptCount val="1"/>
                <c:pt idx="0">
                  <c:v>سنوياً</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Sheet1!$G$2:$G$5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9282-4370-8FE9-F57A99D61711}"/>
            </c:ext>
          </c:extLst>
        </c:ser>
        <c:ser>
          <c:idx val="6"/>
          <c:order val="6"/>
          <c:tx>
            <c:strRef>
              <c:f>Sheet1!$H$1</c:f>
              <c:strCache>
                <c:ptCount val="1"/>
                <c:pt idx="0">
                  <c:v>لا ينطبق</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البراءات</c:v>
                </c:pt>
                <c:pt idx="1">
                  <c:v>العلامات التجارية</c:v>
                </c:pt>
                <c:pt idx="2">
                  <c:v>التصاميم الصناعية</c:v>
                </c:pt>
                <c:pt idx="3">
                  <c:v>المؤشرات الجغرافية</c:v>
                </c:pt>
              </c:strCache>
            </c:strRef>
          </c:cat>
          <c:val>
            <c:numRef>
              <c:f>Sheet1!$H$2:$H$5</c:f>
              <c:numCache>
                <c:formatCode>General</c:formatCode>
                <c:ptCount val="4"/>
                <c:pt idx="0">
                  <c:v>7</c:v>
                </c:pt>
                <c:pt idx="1">
                  <c:v>7</c:v>
                </c:pt>
                <c:pt idx="2">
                  <c:v>8</c:v>
                </c:pt>
                <c:pt idx="3">
                  <c:v>27</c:v>
                </c:pt>
              </c:numCache>
            </c:numRef>
          </c:val>
          <c:extLst>
            <c:ext xmlns:c16="http://schemas.microsoft.com/office/drawing/2014/chart" uri="{C3380CC4-5D6E-409C-BE32-E72D297353CC}">
              <c16:uniqueId val="{00000006-9282-4370-8FE9-F57A99D61711}"/>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6198AC5E-7429-4701-A8B1-4E7F83ED881D}">
  <ds:schemaRefs>
    <ds:schemaRef ds:uri="Microsoft.SharePoint.Taxonomy.ContentTypeSync"/>
  </ds:schemaRefs>
</ds:datastoreItem>
</file>

<file path=customXml/itemProps3.xml><?xml version="1.0" encoding="utf-8"?>
<ds:datastoreItem xmlns:ds="http://schemas.openxmlformats.org/officeDocument/2006/customXml" ds:itemID="{D706C087-559B-460E-B066-98EE16000A1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D889D2E7-8C75-4ADA-A4DB-F901CE852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BC872CB-8179-4D1E-A0F7-F0383FEE9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112</TotalTime>
  <Pages>15</Pages>
  <Words>5856</Words>
  <Characters>33385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CWS/14/12 (Arabic)</vt:lpstr>
    </vt:vector>
  </TitlesOfParts>
  <Company>WIPO</Company>
  <LinksUpToDate>false</LinksUpToDate>
  <CharactersWithSpaces>39163</CharactersWithSpaces>
  <SharedDoc>false</SharedDoc>
  <HLinks>
    <vt:vector size="12" baseType="variant">
      <vt:variant>
        <vt:i4>4587641</vt:i4>
      </vt:variant>
      <vt:variant>
        <vt:i4>3</vt:i4>
      </vt:variant>
      <vt:variant>
        <vt:i4>0</vt:i4>
      </vt:variant>
      <vt:variant>
        <vt:i4>5</vt:i4>
      </vt:variant>
      <vt:variant>
        <vt:lpwstr>https://www.wipo.int/en/web/standards/part_07</vt:lpwstr>
      </vt:variant>
      <vt:variant>
        <vt:lpwstr/>
      </vt:variant>
      <vt:variant>
        <vt:i4>1966102</vt:i4>
      </vt:variant>
      <vt:variant>
        <vt:i4>0</vt:i4>
      </vt:variant>
      <vt:variant>
        <vt:i4>0</vt:i4>
      </vt:variant>
      <vt:variant>
        <vt:i4>5</vt:i4>
      </vt:variant>
      <vt:variant>
        <vt:lpwstr>https://www.wipo.int/documents/d/cws/docs-en-circulars-files-cws-211.pdf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(Arabic)</dc:title>
  <dc:subject>تحليل نتائج الدراسة الاستقصائية بشأن تبال بيانات الملكية الفكرية </dc:subject>
  <dc:creator>WIPO</dc:creator>
  <cp:keywords>WIPO CWS Fourteenth Session, Analysis, survey results, IP data exchange</cp:keywords>
  <cp:lastModifiedBy>EMMETT Claudia</cp:lastModifiedBy>
  <cp:revision>89</cp:revision>
  <cp:lastPrinted>2011-02-15T11:56:00Z</cp:lastPrinted>
  <dcterms:created xsi:type="dcterms:W3CDTF">2026-09-25T13:21:00Z</dcterms:created>
  <dcterms:modified xsi:type="dcterms:W3CDTF">2026-10-09T09:42:00Z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4ff9e292-9b41-4ab8-857b-7aff4f7c40c6</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5f6bec1e-8e4b-40eb-8d2f-fcc8e429ba28_Extended_MSFT_Method">
    <vt:lpwstr>Standard</vt:lpwstr>
  </property>
  <property fmtid="{D5CDD505-2E9C-101B-9397-08002B2CF9AE}" pid="20" name="MSIP_Label_5f6bec1e-8e4b-40eb-8d2f-fcc8e429ba28_Parent">
    <vt:lpwstr>129d12b7-1a6c-4a2a-bdcd-2c4f41019546</vt:lpwstr>
  </property>
  <property fmtid="{D5CDD505-2E9C-101B-9397-08002B2CF9AE}" pid="21" name="MSIP_Label_5f6bec1e-8e4b-40eb-8d2f-fcc8e429ba28_Removed">
    <vt:lpwstr>False</vt:lpwstr>
  </property>
  <property fmtid="{D5CDD505-2E9C-101B-9397-08002B2CF9AE}" pid="22" name="MSIP_Label_5f6bec1e-8e4b-40eb-8d2f-fcc8e429ba28_ActionId">
    <vt:lpwstr>b93687b1-66fa-4717-bf73-e1110d37410e</vt:lpwstr>
  </property>
  <property fmtid="{D5CDD505-2E9C-101B-9397-08002B2CF9AE}" pid="23" name="MSIP_Label_5f6bec1e-8e4b-40eb-8d2f-fcc8e429ba28_Name">
    <vt:lpwstr>CONFIDENTIAL \ CONFIDENTIAL</vt:lpwstr>
  </property>
  <property fmtid="{D5CDD505-2E9C-101B-9397-08002B2CF9AE}" pid="24" name="MSIP_Label_5f6bec1e-8e4b-40eb-8d2f-fcc8e429ba28_SetDate">
    <vt:lpwstr>2026-10-02T09:19:39Z</vt:lpwstr>
  </property>
  <property fmtid="{D5CDD505-2E9C-101B-9397-08002B2CF9AE}" pid="25" name="MSIP_Label_5f6bec1e-8e4b-40eb-8d2f-fcc8e429ba28_SiteId">
    <vt:lpwstr>faa31b06-8ccc-48c9-867f-f7510dd11c02</vt:lpwstr>
  </property>
  <property fmtid="{D5CDD505-2E9C-101B-9397-08002B2CF9AE}" pid="26" name="MSIP_Label_5f6bec1e-8e4b-40eb-8d2f-fcc8e429ba28_Enabled">
    <vt:lpwstr>True</vt:lpwstr>
  </property>
  <property fmtid="{D5CDD505-2E9C-101B-9397-08002B2CF9AE}" pid="27" name="MSIP_Label_20773ee6-353b-4fb9-a59d-0b94c8c67bea_Enabled">
    <vt:lpwstr>true</vt:lpwstr>
  </property>
  <property fmtid="{D5CDD505-2E9C-101B-9397-08002B2CF9AE}" pid="28" name="MSIP_Label_20773ee6-353b-4fb9-a59d-0b94c8c67bea_SetDate">
    <vt:lpwstr>2026-10-09T09:37:18Z</vt:lpwstr>
  </property>
  <property fmtid="{D5CDD505-2E9C-101B-9397-08002B2CF9AE}" pid="29" name="MSIP_Label_20773ee6-353b-4fb9-a59d-0b94c8c67bea_Method">
    <vt:lpwstr>Privileged</vt:lpwstr>
  </property>
  <property fmtid="{D5CDD505-2E9C-101B-9397-08002B2CF9AE}" pid="30" name="MSIP_Label_20773ee6-353b-4fb9-a59d-0b94c8c67bea_Name">
    <vt:lpwstr>No markings</vt:lpwstr>
  </property>
  <property fmtid="{D5CDD505-2E9C-101B-9397-08002B2CF9AE}" pid="31" name="MSIP_Label_20773ee6-353b-4fb9-a59d-0b94c8c67bea_SiteId">
    <vt:lpwstr>faa31b06-8ccc-48c9-867f-f7510dd11c02</vt:lpwstr>
  </property>
  <property fmtid="{D5CDD505-2E9C-101B-9397-08002B2CF9AE}" pid="32" name="MSIP_Label_20773ee6-353b-4fb9-a59d-0b94c8c67bea_ActionId">
    <vt:lpwstr>7fd0e284-dc34-4121-970d-65ad7c720a87</vt:lpwstr>
  </property>
  <property fmtid="{D5CDD505-2E9C-101B-9397-08002B2CF9AE}" pid="33" name="MSIP_Label_20773ee6-353b-4fb9-a59d-0b94c8c67bea_ContentBits">
    <vt:lpwstr>0</vt:lpwstr>
  </property>
  <property fmtid="{D5CDD505-2E9C-101B-9397-08002B2CF9AE}" pid="34" name="MSIP_Label_20773ee6-353b-4fb9-a59d-0b94c8c67bea_Tag">
    <vt:lpwstr>10, 0, 1, 1</vt:lpwstr>
  </property>
</Properties>
</file>