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429E"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E576A9B" wp14:editId="7AA1B31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C27792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3E977A6" w14:textId="27591407"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847C3D">
        <w:rPr>
          <w:rFonts w:ascii="Arial Black" w:hAnsi="Arial Black"/>
          <w:caps/>
          <w:sz w:val="15"/>
          <w:szCs w:val="15"/>
        </w:rPr>
        <w:t>26</w:t>
      </w:r>
    </w:p>
    <w:p w14:paraId="4E9FE363" w14:textId="5E985D19" w:rsidR="008B2CC1" w:rsidRPr="0070778E" w:rsidRDefault="00CC3E2D" w:rsidP="00CC3E2D">
      <w:pPr>
        <w:jc w:val="right"/>
        <w:rPr>
          <w:rFonts w:asciiTheme="minorHAnsi" w:hAnsiTheme="minorHAnsi" w:cstheme="minorHAnsi"/>
          <w:b/>
          <w:bCs/>
          <w:caps/>
          <w:sz w:val="15"/>
          <w:szCs w:val="15"/>
          <w:rtl/>
        </w:rPr>
      </w:pPr>
      <w:bookmarkStart w:id="1" w:name="Original"/>
      <w:r w:rsidRPr="0070778E">
        <w:rPr>
          <w:rFonts w:asciiTheme="minorHAnsi" w:hAnsiTheme="minorHAnsi" w:cstheme="minorHAnsi" w:hint="cs"/>
          <w:b/>
          <w:bCs/>
          <w:caps/>
          <w:sz w:val="15"/>
          <w:szCs w:val="15"/>
          <w:rtl/>
        </w:rPr>
        <w:t xml:space="preserve">الأصل: </w:t>
      </w:r>
      <w:r w:rsidR="00847C3D">
        <w:rPr>
          <w:rFonts w:asciiTheme="minorHAnsi" w:hAnsiTheme="minorHAnsi" w:cstheme="minorHAnsi" w:hint="cs"/>
          <w:b/>
          <w:bCs/>
          <w:caps/>
          <w:sz w:val="15"/>
          <w:szCs w:val="15"/>
          <w:rtl/>
        </w:rPr>
        <w:t>بالإنكليزية</w:t>
      </w:r>
    </w:p>
    <w:p w14:paraId="66E31CC3" w14:textId="44D8C1CD"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847C3D">
        <w:rPr>
          <w:rFonts w:asciiTheme="minorHAnsi" w:hAnsiTheme="minorHAnsi" w:cstheme="minorHAnsi" w:hint="cs"/>
          <w:b/>
          <w:bCs/>
          <w:caps/>
          <w:sz w:val="15"/>
          <w:szCs w:val="15"/>
          <w:rtl/>
        </w:rPr>
        <w:t>8 سبتمبر 2025</w:t>
      </w:r>
    </w:p>
    <w:bookmarkEnd w:id="2"/>
    <w:p w14:paraId="31D34FD7"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12AAAD45"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38C5F274"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1CF3236F" w14:textId="7CE82803" w:rsidR="008B2CC1" w:rsidRPr="00262607" w:rsidRDefault="00847C3D" w:rsidP="00262607">
      <w:pPr>
        <w:spacing w:after="360"/>
        <w:outlineLvl w:val="0"/>
        <w:rPr>
          <w:rFonts w:asciiTheme="minorHAnsi" w:hAnsiTheme="minorHAnsi" w:cstheme="minorHAnsi"/>
          <w:caps/>
          <w:sz w:val="24"/>
          <w:szCs w:val="24"/>
        </w:rPr>
      </w:pPr>
      <w:bookmarkStart w:id="3" w:name="TitleOfDoc"/>
      <w:r w:rsidRPr="00847C3D">
        <w:rPr>
          <w:rFonts w:asciiTheme="minorHAnsi" w:hAnsiTheme="minorHAnsi"/>
          <w:caps/>
          <w:sz w:val="24"/>
          <w:szCs w:val="24"/>
          <w:rtl/>
        </w:rPr>
        <w:t>تنفيذ التوصيات بشأن تكنولوجيات المعلومات والاتصالات الموجهة إلى المكاتب</w:t>
      </w:r>
    </w:p>
    <w:bookmarkEnd w:id="3"/>
    <w:p w14:paraId="36A32441" w14:textId="71534E1D" w:rsidR="007969D1" w:rsidRPr="00D32D75" w:rsidRDefault="00847C3D" w:rsidP="00D32D75">
      <w:pPr>
        <w:pStyle w:val="BodyText"/>
        <w:spacing w:after="720"/>
        <w:rPr>
          <w:i/>
          <w:iCs/>
          <w:rtl/>
        </w:rPr>
      </w:pPr>
      <w:r w:rsidRPr="00847C3D">
        <w:rPr>
          <w:i/>
          <w:iCs/>
          <w:rtl/>
        </w:rPr>
        <w:t>وثيقة من إعداد المشرفين المشاركين على فرقة العمل المعنية باستراتيجية تكنولوجيا المعلومات والاتصالات</w:t>
      </w:r>
    </w:p>
    <w:p w14:paraId="6745C3E2" w14:textId="77777777" w:rsidR="00847C3D" w:rsidRPr="00847C3D" w:rsidRDefault="00847C3D" w:rsidP="00847C3D">
      <w:pPr>
        <w:pStyle w:val="Heading2"/>
        <w:rPr>
          <w:rtl/>
        </w:rPr>
      </w:pPr>
      <w:r w:rsidRPr="00847C3D">
        <w:rPr>
          <w:rFonts w:hint="cs"/>
          <w:rtl/>
        </w:rPr>
        <w:t>الملخص</w:t>
      </w:r>
    </w:p>
    <w:p w14:paraId="7A78AD82" w14:textId="0754A04D" w:rsidR="00847C3D" w:rsidRPr="00847C3D" w:rsidRDefault="00847C3D" w:rsidP="00847C3D">
      <w:pPr>
        <w:pStyle w:val="ONUMA"/>
        <w:rPr>
          <w:rtl/>
        </w:rPr>
      </w:pPr>
      <w:r w:rsidRPr="00847C3D">
        <w:rPr>
          <w:rFonts w:hint="cs"/>
          <w:rtl/>
        </w:rPr>
        <w:t>تقدّم فرقة العمل المعنية باستراتيجية تكنولوجيا المعلومات والاتصالات نتائج دراسة استقصائية أُجريت حول درجة تنفيذ التوصيات العشر بشأن تكنولوجيا المعلومات والاتصالات الموجهة إلى مكاتب الملكية الفكرية، التي اعتُمدت في الدورة الثانية عشرة للجنة المعايير العام الماضي</w:t>
      </w:r>
      <w:r w:rsidR="004A7F2F">
        <w:rPr>
          <w:rFonts w:hint="cs"/>
          <w:rtl/>
        </w:rPr>
        <w:t xml:space="preserve">. </w:t>
      </w:r>
      <w:r w:rsidRPr="00847C3D">
        <w:rPr>
          <w:rFonts w:hint="cs"/>
          <w:rtl/>
        </w:rPr>
        <w:t>واستناداً إلى هذه النتائج، تقترح فرقة العمل خطواتها التالية في إطار المهمة رقم 58.</w:t>
      </w:r>
    </w:p>
    <w:p w14:paraId="02A55076" w14:textId="77777777" w:rsidR="00847C3D" w:rsidRPr="00847C3D" w:rsidRDefault="00847C3D" w:rsidP="00847C3D">
      <w:pPr>
        <w:pStyle w:val="Heading2"/>
        <w:rPr>
          <w:rtl/>
        </w:rPr>
      </w:pPr>
      <w:r w:rsidRPr="00847C3D">
        <w:rPr>
          <w:rFonts w:hint="cs"/>
          <w:rtl/>
        </w:rPr>
        <w:t>مقدمة</w:t>
      </w:r>
    </w:p>
    <w:p w14:paraId="1B0C78A4" w14:textId="267AC2BD" w:rsidR="00847C3D" w:rsidRPr="00847C3D" w:rsidRDefault="00847C3D" w:rsidP="00847C3D">
      <w:pPr>
        <w:pStyle w:val="ONUMA"/>
        <w:rPr>
          <w:rtl/>
        </w:rPr>
      </w:pPr>
      <w:r w:rsidRPr="00847C3D">
        <w:rPr>
          <w:rFonts w:hint="cs"/>
          <w:rtl/>
        </w:rPr>
        <w:t>أحاطت اللجنة المعنية بمعايير الويبو (لجنة المعايير)، في دورتها السادسة المعقودة في عام 2018، علماً بالتوصيات الأربعين التي أُعدت في اجتماع مكاتب الملكية الفكرية المنعقد بشأن استراتيجيات تكنولوجيا المعلومات والاتصالات والذكاء الاصطناعي لأغراض إدارة الملكية الفكرية، الذي دعا إليه المكتب الدولي من أجل دعم تبادل وجهات النظر والتجارب في مجال إدارة تكنولوجيا المعلومات والاتصالات والأعمال التجارية في سبيل تحقيق إدارة فعالة لمكاتب الملكية الفكرية</w:t>
      </w:r>
      <w:r w:rsidR="004A7F2F">
        <w:rPr>
          <w:rFonts w:hint="cs"/>
          <w:rtl/>
        </w:rPr>
        <w:t xml:space="preserve">. </w:t>
      </w:r>
      <w:r w:rsidRPr="00847C3D">
        <w:rPr>
          <w:rFonts w:hint="cs"/>
          <w:rtl/>
        </w:rPr>
        <w:t xml:space="preserve">وأحاطت لجنة المعايير علماً بتحليل التوصيات الأربعين الذي أعدته الأمانة وبمدى وجاهة تلك التوصيات المصنفة إلى ثلاث مجموعات بالنسبة إلى أنشطة اللجنة (انظر(ي) الفقرات 17 إلى 27 من الوثيقة </w:t>
      </w:r>
      <w:r w:rsidRPr="00847C3D">
        <w:t>CWS/6/34</w:t>
      </w:r>
      <w:r w:rsidRPr="00847C3D">
        <w:rPr>
          <w:rFonts w:hint="cs"/>
          <w:rtl/>
        </w:rPr>
        <w:t>).</w:t>
      </w:r>
    </w:p>
    <w:p w14:paraId="487CE0C8" w14:textId="1F30BF78" w:rsidR="00847C3D" w:rsidRPr="00847C3D" w:rsidRDefault="00847C3D" w:rsidP="00847C3D">
      <w:pPr>
        <w:pStyle w:val="ONUMA"/>
        <w:rPr>
          <w:rtl/>
        </w:rPr>
      </w:pPr>
      <w:r w:rsidRPr="00847C3D">
        <w:rPr>
          <w:rFonts w:hint="cs"/>
          <w:rtl/>
        </w:rPr>
        <w:t>وبالنظر إلى وجاهة التوصيات بالنسبة إلى لجنة المعايير، ونتائج الدراستين الاستقصائيتين اللتين أُجريتا أولاً من قبل فرقة العمل وثانياً من قبل أعضاء لجنة المعايير (انظر</w:t>
      </w:r>
      <w:r w:rsidR="004A7F2F">
        <w:rPr>
          <w:rFonts w:hint="cs"/>
          <w:rtl/>
        </w:rPr>
        <w:t>(ي)</w:t>
      </w:r>
      <w:r w:rsidRPr="00847C3D">
        <w:rPr>
          <w:rFonts w:hint="cs"/>
          <w:rtl/>
        </w:rPr>
        <w:t xml:space="preserve"> الوثيقة </w:t>
      </w:r>
      <w:r w:rsidRPr="00847C3D">
        <w:t>CWS/11/21</w:t>
      </w:r>
      <w:r w:rsidR="004A7F2F">
        <w:rPr>
          <w:rFonts w:hint="cs"/>
          <w:rtl/>
        </w:rPr>
        <w:t>)</w:t>
      </w:r>
      <w:r w:rsidRPr="00847C3D">
        <w:rPr>
          <w:rFonts w:hint="cs"/>
          <w:rtl/>
        </w:rPr>
        <w:t xml:space="preserve">، والفرص الأخرى لتحسين التوصيات الأربعين الأصلية، قدّمت فرقة العمل المعنية باستراتيجية تكنولوجيا المعلومات والاتصالات مجموعة جديدة من 10 توصيات بشأن تكنولوجيا المعلومات والاتصالات وإدارة الملكية الفكرية مصحوبة بإجراءات مقابلة في الدورة الحادية عشرة للجنة المعايير (انظر(ي) مرفق الوثيقة </w:t>
      </w:r>
      <w:r w:rsidRPr="00847C3D">
        <w:t>CWS/11/18</w:t>
      </w:r>
      <w:r w:rsidRPr="00847C3D">
        <w:rPr>
          <w:rFonts w:hint="cs"/>
          <w:rtl/>
        </w:rPr>
        <w:t>).</w:t>
      </w:r>
    </w:p>
    <w:p w14:paraId="79C821C8" w14:textId="26962396" w:rsidR="00847C3D" w:rsidRPr="00847C3D" w:rsidRDefault="00847C3D" w:rsidP="00847C3D">
      <w:pPr>
        <w:pStyle w:val="ONUMA"/>
        <w:rPr>
          <w:rtl/>
        </w:rPr>
      </w:pPr>
      <w:r w:rsidRPr="00847C3D">
        <w:rPr>
          <w:rFonts w:hint="cs"/>
          <w:rtl/>
        </w:rPr>
        <w:t>وطلبت لجنة المعايير في دورتها الحادية عشرة من الأمانة إصدار تعميم يدعو أعضاءها إلى التعليق على التوصيات العشر المقترحة حديثاً</w:t>
      </w:r>
      <w:r w:rsidR="004A7F2F">
        <w:rPr>
          <w:rFonts w:hint="cs"/>
          <w:rtl/>
        </w:rPr>
        <w:t xml:space="preserve">. </w:t>
      </w:r>
      <w:r w:rsidRPr="00847C3D">
        <w:rPr>
          <w:rFonts w:hint="cs"/>
          <w:rtl/>
        </w:rPr>
        <w:t xml:space="preserve">وطلبت لجنة المعايير من فرقة العمل المعنية باستراتيجية تكنولوجيا المعلومات والاتصالات أن تقدم تقريراً عن نتائج الردود على هذا التعميم في دورتها الثانية عشرة (انظر(ي) الفقرتين 158 و159 من الوثيقة </w:t>
      </w:r>
      <w:r w:rsidRPr="00847C3D">
        <w:t>CWS/11/28</w:t>
      </w:r>
      <w:r w:rsidRPr="00847C3D">
        <w:rPr>
          <w:rFonts w:hint="cs"/>
          <w:rtl/>
        </w:rPr>
        <w:t>).</w:t>
      </w:r>
    </w:p>
    <w:p w14:paraId="0DC500A7" w14:textId="7268185B" w:rsidR="00847C3D" w:rsidRPr="00847C3D" w:rsidRDefault="00847C3D" w:rsidP="00847C3D">
      <w:pPr>
        <w:pStyle w:val="ONUMA"/>
        <w:rPr>
          <w:rtl/>
        </w:rPr>
      </w:pPr>
      <w:r w:rsidRPr="00847C3D">
        <w:rPr>
          <w:rFonts w:hint="cs"/>
          <w:rtl/>
        </w:rPr>
        <w:lastRenderedPageBreak/>
        <w:t xml:space="preserve">وأخذاً بعين الاعتبار التعليقات الموضوعية التي وردت رداً على التعميم، والتعليقات التي وردت في الدورة الحادية عشرة للجنة المعايير، أعدت فرقة العمل اقتراحاً نهائياً لمجموعة من 10 توصيات بشأن تكنولوجيا المعلومات والاتصالات وإدارة الملكية الفكرية في الدورة الثانية عشرة للجنة المعايير (انظر(ي) مرفق الوثيقة </w:t>
      </w:r>
      <w:r w:rsidRPr="00847C3D">
        <w:t>CWS/12/22</w:t>
      </w:r>
      <w:r w:rsidRPr="00847C3D">
        <w:rPr>
          <w:rFonts w:hint="cs"/>
          <w:rtl/>
        </w:rPr>
        <w:t>)</w:t>
      </w:r>
      <w:r w:rsidR="004A7F2F">
        <w:rPr>
          <w:rFonts w:hint="cs"/>
          <w:rtl/>
        </w:rPr>
        <w:t xml:space="preserve">. </w:t>
      </w:r>
    </w:p>
    <w:p w14:paraId="59B6B80B" w14:textId="7ACB294B" w:rsidR="00847C3D" w:rsidRPr="00847C3D" w:rsidRDefault="00847C3D" w:rsidP="00847C3D">
      <w:pPr>
        <w:pStyle w:val="ONUMA"/>
        <w:rPr>
          <w:rtl/>
        </w:rPr>
      </w:pPr>
      <w:bookmarkStart w:id="4" w:name="_Ref207291758"/>
      <w:r w:rsidRPr="00847C3D">
        <w:rPr>
          <w:rFonts w:hint="cs"/>
          <w:rtl/>
        </w:rPr>
        <w:t>وأشار أحد الوفود إلى أنه يمكن لفرقة العمل أن تقترح إغلاق المهمة رقم 58 في الدورة المقبلة إذا كانت التوصيات عامة بما يكفي بحيث لا تتطلب تحديثاً في المستقبل</w:t>
      </w:r>
      <w:r w:rsidR="004A7F2F">
        <w:rPr>
          <w:rFonts w:hint="cs"/>
          <w:rtl/>
        </w:rPr>
        <w:t xml:space="preserve">. </w:t>
      </w:r>
      <w:r w:rsidRPr="00847C3D">
        <w:rPr>
          <w:rFonts w:hint="cs"/>
          <w:rtl/>
        </w:rPr>
        <w:t xml:space="preserve">وأشار وفد آخر إلى أن التوصيات 2 و8 و9 تبدو مزدوجة واقترح أن تنظر فرقة العمل في تبسيط تلك التوصيات لتقليل عدد التوصيات إلى أدنى حد ممكن في المستقبل القريب (انظر(ي) الفقرة 62 من الوثيقة </w:t>
      </w:r>
      <w:r w:rsidRPr="00847C3D">
        <w:t>CWS/12/29</w:t>
      </w:r>
      <w:r w:rsidRPr="00847C3D">
        <w:rPr>
          <w:rFonts w:hint="cs"/>
          <w:rtl/>
        </w:rPr>
        <w:t>).</w:t>
      </w:r>
      <w:bookmarkEnd w:id="4"/>
    </w:p>
    <w:p w14:paraId="51BF72BC" w14:textId="6E8FD437" w:rsidR="00847C3D" w:rsidRPr="00847C3D" w:rsidRDefault="00847C3D" w:rsidP="00847C3D">
      <w:pPr>
        <w:pStyle w:val="ONUMA"/>
        <w:rPr>
          <w:rtl/>
        </w:rPr>
      </w:pPr>
      <w:bookmarkStart w:id="5" w:name="_Ref207291768"/>
      <w:r w:rsidRPr="00847C3D">
        <w:rPr>
          <w:rFonts w:hint="cs"/>
          <w:rtl/>
        </w:rPr>
        <w:t>واقترح وفد آخر تعديل التوصية الأولى بحيث تنص على ما يلي "ينبغي أن تسعى مكاتب الملكية الفكرية إلى تحسين" عوضاً عن "ينبغي أن تقوم مكاتب الملكية الفكرية بتحسين"</w:t>
      </w:r>
      <w:r w:rsidR="004A7F2F">
        <w:rPr>
          <w:rFonts w:hint="cs"/>
          <w:rtl/>
        </w:rPr>
        <w:t xml:space="preserve">. </w:t>
      </w:r>
      <w:r w:rsidRPr="00847C3D">
        <w:rPr>
          <w:rFonts w:hint="cs"/>
          <w:rtl/>
        </w:rPr>
        <w:t>وفضَّلت الأمانة عدم تحديث التوصيات في هذه المرحلة</w:t>
      </w:r>
      <w:r w:rsidR="004A7F2F">
        <w:rPr>
          <w:rFonts w:hint="cs"/>
          <w:rtl/>
        </w:rPr>
        <w:t xml:space="preserve">. </w:t>
      </w:r>
      <w:r w:rsidRPr="00847C3D">
        <w:rPr>
          <w:rFonts w:hint="cs"/>
          <w:rtl/>
        </w:rPr>
        <w:t xml:space="preserve">ووافق الوفد على سحب طلبه (انظر(ي) الفقرة 134 من الوثيقة </w:t>
      </w:r>
      <w:r w:rsidRPr="00847C3D">
        <w:t>CWS/12/29</w:t>
      </w:r>
      <w:r w:rsidRPr="00847C3D">
        <w:rPr>
          <w:rFonts w:hint="cs"/>
          <w:rtl/>
        </w:rPr>
        <w:t>).</w:t>
      </w:r>
      <w:bookmarkEnd w:id="5"/>
    </w:p>
    <w:p w14:paraId="38A16FFD" w14:textId="40E055F9" w:rsidR="00847C3D" w:rsidRPr="00847C3D" w:rsidRDefault="00847C3D" w:rsidP="00847C3D">
      <w:pPr>
        <w:pStyle w:val="ONUMA"/>
        <w:rPr>
          <w:rtl/>
        </w:rPr>
      </w:pPr>
      <w:r w:rsidRPr="00847C3D">
        <w:rPr>
          <w:rFonts w:hint="cs"/>
          <w:rtl/>
        </w:rPr>
        <w:t xml:space="preserve">واعتمدت لجنة المعايير، في دورتها الثانية عشرة، مجموعة التوصيات العشر المقترحة على النحو الوارد في الوثيقة </w:t>
      </w:r>
      <w:r w:rsidRPr="00847C3D">
        <w:t>CWS/12/22</w:t>
      </w:r>
      <w:r w:rsidRPr="00847C3D">
        <w:rPr>
          <w:rFonts w:hint="cs"/>
          <w:rtl/>
        </w:rPr>
        <w:t>، وطلبت أن تقدِّم الأمانة مجموعة التوصيات المعتمدة إلى الجمعية العامة للويبو في عام 2025</w:t>
      </w:r>
      <w:r w:rsidR="004A7F2F">
        <w:rPr>
          <w:rFonts w:hint="cs"/>
          <w:rtl/>
        </w:rPr>
        <w:t xml:space="preserve">. </w:t>
      </w:r>
      <w:r w:rsidRPr="00847C3D">
        <w:rPr>
          <w:rFonts w:hint="cs"/>
          <w:rtl/>
        </w:rPr>
        <w:t>وشجَّعت لجنة المعايير الأعضاء والمراقبين فيها على تنفيذ مجموعة التوصيات ومشاركة خططهم وتجاربهم المتعلقة بتنفيذ تلك التوصيات إبّان الدورة المقبلة للجنة المعايير</w:t>
      </w:r>
      <w:r w:rsidR="004A7F2F">
        <w:rPr>
          <w:rFonts w:hint="cs"/>
          <w:rtl/>
        </w:rPr>
        <w:t xml:space="preserve">. </w:t>
      </w:r>
      <w:r w:rsidRPr="00847C3D">
        <w:rPr>
          <w:rFonts w:hint="cs"/>
          <w:rtl/>
        </w:rPr>
        <w:t xml:space="preserve">(انظر(ي) الفقرات 136 إلى 138 من الوثيقة </w:t>
      </w:r>
      <w:r w:rsidRPr="00847C3D">
        <w:t>CWS/12/29</w:t>
      </w:r>
      <w:r w:rsidR="00043AAB">
        <w:rPr>
          <w:rFonts w:hint="cs"/>
          <w:rtl/>
        </w:rPr>
        <w:t>)</w:t>
      </w:r>
      <w:r w:rsidRPr="00847C3D">
        <w:t>.</w:t>
      </w:r>
    </w:p>
    <w:p w14:paraId="245200A6" w14:textId="7CED2CC5" w:rsidR="00847C3D" w:rsidRPr="00847C3D" w:rsidRDefault="00847C3D" w:rsidP="00847C3D">
      <w:pPr>
        <w:pStyle w:val="ONUMA"/>
        <w:rPr>
          <w:rtl/>
        </w:rPr>
      </w:pPr>
      <w:r w:rsidRPr="00847C3D">
        <w:rPr>
          <w:rFonts w:hint="cs"/>
          <w:rtl/>
        </w:rPr>
        <w:t xml:space="preserve">ووافقت لجنة المعايير على الوصف المنقح للمهمة رقم 58 الذي أصبح نصه كما يلي: </w:t>
      </w:r>
      <w:r w:rsidRPr="00847C3D">
        <w:rPr>
          <w:rFonts w:hint="cs"/>
          <w:i/>
          <w:iCs/>
          <w:rtl/>
        </w:rPr>
        <w:t>"تسهيل تنفيذ مكاتب الملكية الفكرية والمكتب الدولي للتوصيات المتعلقة بتكنولوجيا المعلومات والاتصالات؛ وتقييم تلك التوصيات وتحديثها حسب الحاجة للحفاظ على أهميتها."</w:t>
      </w:r>
      <w:r w:rsidRPr="00847C3D">
        <w:rPr>
          <w:rFonts w:hint="cs"/>
          <w:rtl/>
        </w:rPr>
        <w:t xml:space="preserve">  (انظر(ي) الفقرة 63 من الوثيقة </w:t>
      </w:r>
      <w:r w:rsidRPr="00847C3D">
        <w:t>CWS/12/29</w:t>
      </w:r>
      <w:r w:rsidR="00686558">
        <w:rPr>
          <w:rFonts w:hint="cs"/>
          <w:rtl/>
        </w:rPr>
        <w:t>)</w:t>
      </w:r>
      <w:r w:rsidRPr="00847C3D">
        <w:t>.</w:t>
      </w:r>
    </w:p>
    <w:p w14:paraId="78EF9B92" w14:textId="36DB47EB" w:rsidR="00847C3D" w:rsidRPr="00847C3D" w:rsidRDefault="00847C3D" w:rsidP="00847C3D">
      <w:pPr>
        <w:pStyle w:val="ONUMA"/>
        <w:rPr>
          <w:rtl/>
        </w:rPr>
      </w:pPr>
      <w:r w:rsidRPr="00847C3D">
        <w:rPr>
          <w:rFonts w:hint="cs"/>
          <w:rtl/>
        </w:rPr>
        <w:t xml:space="preserve">وقدّمت الأمانة التوصيات العشر كجزء من تقرير لجنة المعايير (انظر(ي) الوثيقة </w:t>
      </w:r>
      <w:r w:rsidRPr="00847C3D">
        <w:t>WO/GA/58/9</w:t>
      </w:r>
      <w:r w:rsidRPr="00847C3D">
        <w:rPr>
          <w:rFonts w:hint="cs"/>
          <w:rtl/>
        </w:rPr>
        <w:t>)</w:t>
      </w:r>
      <w:r w:rsidR="004A7F2F">
        <w:rPr>
          <w:rFonts w:hint="cs"/>
          <w:rtl/>
        </w:rPr>
        <w:t xml:space="preserve">. </w:t>
      </w:r>
      <w:r w:rsidRPr="00847C3D">
        <w:rPr>
          <w:rFonts w:hint="cs"/>
          <w:rtl/>
        </w:rPr>
        <w:t>وأحاطت الجمعية العامة للويبو علماً بالوثيقة المعنونة "تقرير عن اللجنة المعنية بمعايير الويبو" التي تتضمن توصيات بشأن تكنولوجيا المعلومات والاتصالات موجهة مكاتب الملكية الفكرية</w:t>
      </w:r>
      <w:r w:rsidR="004A7F2F">
        <w:rPr>
          <w:rFonts w:hint="cs"/>
          <w:rtl/>
        </w:rPr>
        <w:t xml:space="preserve">. </w:t>
      </w:r>
    </w:p>
    <w:p w14:paraId="1B3023E1" w14:textId="0DCC081A" w:rsidR="00847C3D" w:rsidRPr="00847C3D" w:rsidRDefault="00847C3D" w:rsidP="00847C3D">
      <w:pPr>
        <w:pStyle w:val="ONUMA"/>
        <w:rPr>
          <w:rtl/>
        </w:rPr>
      </w:pPr>
      <w:r w:rsidRPr="00847C3D">
        <w:rPr>
          <w:rFonts w:hint="cs"/>
          <w:rtl/>
        </w:rPr>
        <w:t>وأعدت فرقة العمل دراسة استقصائية لتحسين بروز اعتماد التوصيات وأولويتها في الوقت الحالي، ولإتاحة الفرصة لتلقي المزيد من الاقتراحات من أجل تحديث التوصيات</w:t>
      </w:r>
      <w:r w:rsidR="004A7F2F">
        <w:rPr>
          <w:rFonts w:hint="cs"/>
          <w:rtl/>
        </w:rPr>
        <w:t xml:space="preserve">. </w:t>
      </w:r>
      <w:r w:rsidRPr="00847C3D">
        <w:rPr>
          <w:rFonts w:hint="cs"/>
          <w:rtl/>
        </w:rPr>
        <w:t>وترد مناقشة نتائج الدراسة الاستقصائية أدناه.</w:t>
      </w:r>
    </w:p>
    <w:p w14:paraId="20DD41B0" w14:textId="77777777" w:rsidR="00847C3D" w:rsidRPr="00847C3D" w:rsidRDefault="00847C3D" w:rsidP="00847C3D">
      <w:pPr>
        <w:pStyle w:val="Heading2"/>
        <w:rPr>
          <w:rtl/>
        </w:rPr>
      </w:pPr>
      <w:r w:rsidRPr="00847C3D">
        <w:rPr>
          <w:rFonts w:hint="cs"/>
          <w:rtl/>
        </w:rPr>
        <w:t>تنفيذ التوصيات بشأن تكنولوجيا المعلومات والاتصالات</w:t>
      </w:r>
    </w:p>
    <w:p w14:paraId="632DB355" w14:textId="77777777" w:rsidR="00847C3D" w:rsidRPr="00847C3D" w:rsidRDefault="00847C3D" w:rsidP="00847C3D">
      <w:pPr>
        <w:pStyle w:val="BodyText"/>
        <w:rPr>
          <w:u w:val="single"/>
          <w:rtl/>
        </w:rPr>
      </w:pPr>
      <w:r w:rsidRPr="00847C3D">
        <w:rPr>
          <w:rFonts w:hint="cs"/>
          <w:u w:val="single"/>
          <w:rtl/>
        </w:rPr>
        <w:t>نتائج الدراسة الاستقصائية</w:t>
      </w:r>
    </w:p>
    <w:p w14:paraId="6B45BF22" w14:textId="03484732" w:rsidR="00847C3D" w:rsidRPr="00847C3D" w:rsidRDefault="00847C3D" w:rsidP="00847C3D">
      <w:pPr>
        <w:pStyle w:val="ONUMA"/>
        <w:rPr>
          <w:rtl/>
        </w:rPr>
      </w:pPr>
      <w:r w:rsidRPr="00847C3D">
        <w:rPr>
          <w:rFonts w:hint="cs"/>
          <w:rtl/>
        </w:rPr>
        <w:t>دُعيت المكاتب الأعضاء في جميع أفرقة العمل الثلاثة عشر التابعة للجنة المعايير إلى المشاركة في الدراسة الاستقصائية من 2 مايو إلى 7 يوليو 2025</w:t>
      </w:r>
      <w:r w:rsidR="004A7F2F">
        <w:rPr>
          <w:rFonts w:hint="cs"/>
          <w:rtl/>
        </w:rPr>
        <w:t xml:space="preserve">. </w:t>
      </w:r>
      <w:r w:rsidRPr="00847C3D">
        <w:rPr>
          <w:rFonts w:hint="cs"/>
          <w:rtl/>
        </w:rPr>
        <w:t>وقد شارك في الدراسة الاستقصائية واحد وعشرون مكتباً للملكية الفكرية من الدول الأعضاء التالية: أستراليا (</w:t>
      </w:r>
      <w:r w:rsidRPr="00847C3D">
        <w:t>AU</w:t>
      </w:r>
      <w:r w:rsidR="00D8088E">
        <w:rPr>
          <w:rtl/>
        </w:rPr>
        <w:t>)</w:t>
      </w:r>
      <w:r w:rsidRPr="00847C3D">
        <w:rPr>
          <w:rFonts w:hint="cs"/>
          <w:rtl/>
        </w:rPr>
        <w:t>، البرازيل (</w:t>
      </w:r>
      <w:r w:rsidRPr="00847C3D">
        <w:t>BR</w:t>
      </w:r>
      <w:r w:rsidR="00D8088E">
        <w:rPr>
          <w:rtl/>
        </w:rPr>
        <w:t>)</w:t>
      </w:r>
      <w:r w:rsidRPr="00847C3D">
        <w:rPr>
          <w:rFonts w:hint="cs"/>
          <w:rtl/>
        </w:rPr>
        <w:t>، كندا (</w:t>
      </w:r>
      <w:r w:rsidRPr="00847C3D">
        <w:t>CA</w:t>
      </w:r>
      <w:r w:rsidR="00D8088E">
        <w:rPr>
          <w:rtl/>
        </w:rPr>
        <w:t>)</w:t>
      </w:r>
      <w:r w:rsidRPr="00847C3D">
        <w:rPr>
          <w:rFonts w:hint="cs"/>
          <w:rtl/>
        </w:rPr>
        <w:t>، الصين (</w:t>
      </w:r>
      <w:r w:rsidRPr="00847C3D">
        <w:t>CN</w:t>
      </w:r>
      <w:r w:rsidR="00D8088E">
        <w:rPr>
          <w:rtl/>
        </w:rPr>
        <w:t>)</w:t>
      </w:r>
      <w:r w:rsidRPr="00847C3D">
        <w:rPr>
          <w:rFonts w:hint="cs"/>
          <w:rtl/>
        </w:rPr>
        <w:t>، كرواتيا (</w:t>
      </w:r>
      <w:r w:rsidRPr="00847C3D">
        <w:t>HR</w:t>
      </w:r>
      <w:r w:rsidR="00D8088E">
        <w:rPr>
          <w:rtl/>
        </w:rPr>
        <w:t>)</w:t>
      </w:r>
      <w:r w:rsidRPr="00847C3D">
        <w:rPr>
          <w:rFonts w:hint="cs"/>
          <w:rtl/>
        </w:rPr>
        <w:t>، فنلندا (</w:t>
      </w:r>
      <w:r w:rsidRPr="00847C3D">
        <w:t>FI</w:t>
      </w:r>
      <w:r w:rsidR="00D8088E">
        <w:rPr>
          <w:rtl/>
        </w:rPr>
        <w:t>)</w:t>
      </w:r>
      <w:r w:rsidRPr="00847C3D">
        <w:rPr>
          <w:rFonts w:hint="cs"/>
          <w:rtl/>
        </w:rPr>
        <w:t>، غامبيا (</w:t>
      </w:r>
      <w:r w:rsidRPr="00847C3D">
        <w:t>GM</w:t>
      </w:r>
      <w:r w:rsidR="00D8088E">
        <w:rPr>
          <w:rtl/>
        </w:rPr>
        <w:t>)</w:t>
      </w:r>
      <w:r w:rsidRPr="00847C3D">
        <w:rPr>
          <w:rFonts w:hint="cs"/>
          <w:rtl/>
        </w:rPr>
        <w:t>، ألمانيا (</w:t>
      </w:r>
      <w:r w:rsidRPr="00847C3D">
        <w:t>DE</w:t>
      </w:r>
      <w:r w:rsidR="00D8088E">
        <w:rPr>
          <w:rtl/>
        </w:rPr>
        <w:t>)</w:t>
      </w:r>
      <w:r w:rsidRPr="00847C3D">
        <w:rPr>
          <w:rFonts w:hint="cs"/>
          <w:rtl/>
        </w:rPr>
        <w:t>، أيرلندا (</w:t>
      </w:r>
      <w:r w:rsidRPr="00847C3D">
        <w:t>IE</w:t>
      </w:r>
      <w:r w:rsidR="00D8088E">
        <w:rPr>
          <w:rtl/>
        </w:rPr>
        <w:t>)</w:t>
      </w:r>
      <w:r w:rsidRPr="00847C3D">
        <w:rPr>
          <w:rFonts w:hint="cs"/>
          <w:rtl/>
        </w:rPr>
        <w:t>، إسرائيل (</w:t>
      </w:r>
      <w:r w:rsidRPr="00847C3D">
        <w:t>IL</w:t>
      </w:r>
      <w:r w:rsidR="00D8088E">
        <w:rPr>
          <w:rtl/>
        </w:rPr>
        <w:t>)</w:t>
      </w:r>
      <w:r w:rsidRPr="00847C3D">
        <w:rPr>
          <w:rFonts w:hint="cs"/>
          <w:rtl/>
        </w:rPr>
        <w:t>، اليابان (</w:t>
      </w:r>
      <w:r w:rsidRPr="00847C3D">
        <w:t>JP</w:t>
      </w:r>
      <w:r w:rsidR="00D8088E">
        <w:rPr>
          <w:rtl/>
        </w:rPr>
        <w:t>)</w:t>
      </w:r>
      <w:r w:rsidRPr="00847C3D">
        <w:rPr>
          <w:rFonts w:hint="cs"/>
          <w:rtl/>
        </w:rPr>
        <w:t>، قيرغيزستان (</w:t>
      </w:r>
      <w:r w:rsidRPr="00847C3D">
        <w:t>KG</w:t>
      </w:r>
      <w:r w:rsidR="00D8088E">
        <w:rPr>
          <w:rtl/>
        </w:rPr>
        <w:t>)</w:t>
      </w:r>
      <w:r w:rsidRPr="00847C3D">
        <w:rPr>
          <w:rFonts w:hint="cs"/>
          <w:rtl/>
        </w:rPr>
        <w:t>، النرويج (</w:t>
      </w:r>
      <w:r w:rsidRPr="00847C3D">
        <w:t>NO</w:t>
      </w:r>
      <w:r w:rsidR="00D8088E">
        <w:rPr>
          <w:rtl/>
        </w:rPr>
        <w:t>)</w:t>
      </w:r>
      <w:r w:rsidRPr="00847C3D">
        <w:rPr>
          <w:rFonts w:hint="cs"/>
          <w:rtl/>
        </w:rPr>
        <w:t>، باراغواي (</w:t>
      </w:r>
      <w:r w:rsidRPr="00847C3D">
        <w:t>PY</w:t>
      </w:r>
      <w:r w:rsidR="00D8088E">
        <w:rPr>
          <w:rtl/>
        </w:rPr>
        <w:t>)</w:t>
      </w:r>
      <w:r w:rsidRPr="00847C3D">
        <w:rPr>
          <w:rFonts w:hint="cs"/>
          <w:rtl/>
        </w:rPr>
        <w:t>، بيرو (</w:t>
      </w:r>
      <w:r w:rsidRPr="00847C3D">
        <w:t>PE</w:t>
      </w:r>
      <w:r w:rsidR="00D8088E">
        <w:rPr>
          <w:rtl/>
        </w:rPr>
        <w:t>)</w:t>
      </w:r>
      <w:r w:rsidRPr="00847C3D">
        <w:rPr>
          <w:rFonts w:hint="cs"/>
          <w:rtl/>
        </w:rPr>
        <w:t>، بولندا (</w:t>
      </w:r>
      <w:r w:rsidRPr="00847C3D">
        <w:t>PL</w:t>
      </w:r>
      <w:r w:rsidR="00D8088E">
        <w:rPr>
          <w:rtl/>
        </w:rPr>
        <w:t>)</w:t>
      </w:r>
      <w:r w:rsidRPr="00847C3D">
        <w:rPr>
          <w:rFonts w:hint="cs"/>
          <w:rtl/>
        </w:rPr>
        <w:t>، الاتحاد الروسي (</w:t>
      </w:r>
      <w:r w:rsidRPr="00847C3D">
        <w:t>RU</w:t>
      </w:r>
      <w:r w:rsidR="00D8088E">
        <w:rPr>
          <w:rtl/>
        </w:rPr>
        <w:t>)</w:t>
      </w:r>
      <w:r w:rsidRPr="00847C3D">
        <w:rPr>
          <w:rFonts w:hint="cs"/>
          <w:rtl/>
        </w:rPr>
        <w:t>، إسبانيا (</w:t>
      </w:r>
      <w:r w:rsidRPr="00847C3D">
        <w:t>ES</w:t>
      </w:r>
      <w:r w:rsidR="00D8088E">
        <w:rPr>
          <w:rFonts w:hint="cs"/>
          <w:rtl/>
        </w:rPr>
        <w:t>)</w:t>
      </w:r>
      <w:r w:rsidRPr="00847C3D">
        <w:rPr>
          <w:rFonts w:hint="cs"/>
          <w:rtl/>
        </w:rPr>
        <w:t xml:space="preserve"> الولايات المتحدة الأمريكية (</w:t>
      </w:r>
      <w:r w:rsidRPr="00847C3D">
        <w:t>US</w:t>
      </w:r>
      <w:r w:rsidR="00D8088E">
        <w:rPr>
          <w:rtl/>
        </w:rPr>
        <w:t>)</w:t>
      </w:r>
      <w:r w:rsidRPr="00847C3D">
        <w:rPr>
          <w:rFonts w:hint="cs"/>
          <w:rtl/>
        </w:rPr>
        <w:t>؛ والمكتبين الإقليميين التاليين: المكتب الأوروبي للبراءات (</w:t>
      </w:r>
      <w:r w:rsidRPr="00847C3D">
        <w:t>EP</w:t>
      </w:r>
      <w:r w:rsidR="00D8088E">
        <w:rPr>
          <w:rFonts w:hint="cs"/>
          <w:rtl/>
        </w:rPr>
        <w:t>)</w:t>
      </w:r>
      <w:r w:rsidRPr="00847C3D">
        <w:rPr>
          <w:rFonts w:hint="cs"/>
          <w:rtl/>
        </w:rPr>
        <w:t xml:space="preserve"> ومكتب الاتحاد الأوروبي للملكية الفكرية (</w:t>
      </w:r>
      <w:r w:rsidRPr="00847C3D">
        <w:t>EM</w:t>
      </w:r>
      <w:r w:rsidR="00D8088E">
        <w:rPr>
          <w:rFonts w:hint="cs"/>
          <w:rtl/>
        </w:rPr>
        <w:t>)</w:t>
      </w:r>
      <w:r w:rsidR="004A7F2F">
        <w:rPr>
          <w:rFonts w:hint="cs"/>
          <w:rtl/>
        </w:rPr>
        <w:t xml:space="preserve">. </w:t>
      </w:r>
      <w:r w:rsidRPr="00847C3D">
        <w:rPr>
          <w:rFonts w:hint="cs"/>
          <w:rtl/>
        </w:rPr>
        <w:t>ويرد ملخص ردود الدراسة الاستقصائية في مرفق هذه الوثيقة.</w:t>
      </w:r>
    </w:p>
    <w:p w14:paraId="6DC273D5" w14:textId="2ECFCD6D" w:rsidR="00847C3D" w:rsidRPr="00847C3D" w:rsidRDefault="00847C3D" w:rsidP="00847C3D">
      <w:pPr>
        <w:pStyle w:val="ONUMA"/>
        <w:rPr>
          <w:rtl/>
        </w:rPr>
      </w:pPr>
      <w:r w:rsidRPr="00847C3D">
        <w:rPr>
          <w:rFonts w:hint="cs"/>
          <w:rtl/>
        </w:rPr>
        <w:t>ورداً على سؤال عن المستوى الحالي لتنفيذ كل توصية من التوصيات، أشار أغلب المستجيبين إلى تنفيذ كامل أو عمل جارٍ نحو التنفيذ (بما يشكل 67% إلى 90%) مقابل كل توصية من التوصيات العشر، وأشارت إجابات أقل (بما يشكل 0-19%) إلى أن التوصيات لا تزال قيد الدراسة</w:t>
      </w:r>
      <w:r w:rsidR="004A7F2F">
        <w:rPr>
          <w:rFonts w:hint="cs"/>
          <w:rtl/>
        </w:rPr>
        <w:t xml:space="preserve">. </w:t>
      </w:r>
      <w:r w:rsidRPr="00847C3D">
        <w:rPr>
          <w:rFonts w:hint="cs"/>
          <w:rtl/>
        </w:rPr>
        <w:t>وأشار المستجيبون جميعهم إلى أنه من المقرر تنفيذ التوصية 4، أو يجري تنفيذها بالفعل</w:t>
      </w:r>
      <w:r w:rsidR="004A7F2F">
        <w:rPr>
          <w:rFonts w:hint="cs"/>
          <w:rtl/>
        </w:rPr>
        <w:t xml:space="preserve">. </w:t>
      </w:r>
      <w:r w:rsidRPr="00847C3D">
        <w:rPr>
          <w:rFonts w:hint="cs"/>
          <w:rtl/>
        </w:rPr>
        <w:t>وأشار أحد الردود إلى أن التوصية 9 لا يخطط لتنفيذها (5%).</w:t>
      </w:r>
    </w:p>
    <w:p w14:paraId="57E2B594" w14:textId="03D3EE91" w:rsidR="00847C3D" w:rsidRPr="00847C3D" w:rsidRDefault="00847C3D" w:rsidP="00847C3D">
      <w:pPr>
        <w:pStyle w:val="ONUMA"/>
        <w:rPr>
          <w:rtl/>
        </w:rPr>
      </w:pPr>
      <w:r w:rsidRPr="00847C3D">
        <w:rPr>
          <w:rFonts w:hint="cs"/>
          <w:rtl/>
        </w:rPr>
        <w:t>وسُئل المستجيبون عن التوصيات التي تمثل محور التركيز الحالي بالنسبة إليهم</w:t>
      </w:r>
      <w:r w:rsidR="004A7F2F">
        <w:rPr>
          <w:rFonts w:hint="cs"/>
          <w:rtl/>
        </w:rPr>
        <w:t xml:space="preserve">. </w:t>
      </w:r>
      <w:r w:rsidRPr="00847C3D">
        <w:rPr>
          <w:rFonts w:hint="cs"/>
          <w:rtl/>
        </w:rPr>
        <w:t>وتلقت التوصية 1 أعلى معدل من الردود (67%)، بينما تلقت التوصيتان 5 و10 ثاني أعلى معدل من الردود (57%)</w:t>
      </w:r>
      <w:r w:rsidR="004A7F2F">
        <w:rPr>
          <w:rFonts w:hint="cs"/>
          <w:rtl/>
        </w:rPr>
        <w:t xml:space="preserve">. </w:t>
      </w:r>
      <w:r w:rsidRPr="00847C3D">
        <w:rPr>
          <w:rFonts w:hint="cs"/>
          <w:rtl/>
        </w:rPr>
        <w:t>وبخلاف ذلك، كانت الردود موزعة بالتساوي إلى حد ما بين التوصيات 2-4 والتوصيات 6-8 (24% - 43%)، وتلقت التوصية 9 أدنى معدل من الردود (14%).</w:t>
      </w:r>
    </w:p>
    <w:p w14:paraId="2F5CCAB4" w14:textId="4CE22D31" w:rsidR="00847C3D" w:rsidRPr="00847C3D" w:rsidRDefault="00847C3D" w:rsidP="00847C3D">
      <w:pPr>
        <w:pStyle w:val="ONUMA"/>
        <w:rPr>
          <w:rtl/>
        </w:rPr>
      </w:pPr>
      <w:r w:rsidRPr="00847C3D">
        <w:rPr>
          <w:rFonts w:hint="cs"/>
          <w:rtl/>
        </w:rPr>
        <w:t>وطُلب من المستجيبين تحديد التوصيات التي تشكل أولوية منخفضة بالنسبة إلى مكتبهم</w:t>
      </w:r>
      <w:r w:rsidR="004A7F2F">
        <w:rPr>
          <w:rFonts w:hint="cs"/>
          <w:rtl/>
        </w:rPr>
        <w:t xml:space="preserve">. </w:t>
      </w:r>
      <w:r w:rsidRPr="00847C3D">
        <w:rPr>
          <w:rFonts w:hint="cs"/>
          <w:rtl/>
        </w:rPr>
        <w:t>وباستثناء التوصية 9 (19%)، لم تتلقَ أي توصية أكثر من رد واحد (0-5%)</w:t>
      </w:r>
      <w:r w:rsidR="004A7F2F">
        <w:rPr>
          <w:rFonts w:hint="cs"/>
          <w:rtl/>
        </w:rPr>
        <w:t xml:space="preserve">. </w:t>
      </w:r>
      <w:r w:rsidRPr="00847C3D">
        <w:rPr>
          <w:rFonts w:hint="cs"/>
          <w:rtl/>
        </w:rPr>
        <w:t>وأشارت أغلب المكاتب (71%) إلى أنه ليس هناك أي توصية بين التوصيات تُعتبر على أنها ذات أولوية منخفضة.</w:t>
      </w:r>
    </w:p>
    <w:p w14:paraId="15D9305D" w14:textId="77777777" w:rsidR="00847C3D" w:rsidRPr="00847C3D" w:rsidRDefault="00847C3D" w:rsidP="00847C3D">
      <w:pPr>
        <w:pStyle w:val="ONUMA"/>
        <w:rPr>
          <w:rtl/>
        </w:rPr>
      </w:pPr>
      <w:r w:rsidRPr="00847C3D">
        <w:rPr>
          <w:rFonts w:hint="cs"/>
          <w:rtl/>
        </w:rPr>
        <w:t>وفيما يتعلق بسؤال عن التوصيات التي تشكل تحديات كبيرة في التنفيذ، تلقت التوصيتان 1 و10 (38%) أعلى نسبة من الردود (مقارنة برد "لا ينطبق" بنسبة 33%)، وكانت التوصية 9 هي الأقل (10%)، وتراوحت التوصيات 2-8 بين 14% و24%.</w:t>
      </w:r>
    </w:p>
    <w:p w14:paraId="48211283" w14:textId="5C2DCBA5" w:rsidR="00847C3D" w:rsidRPr="00847C3D" w:rsidRDefault="00847C3D" w:rsidP="00847C3D">
      <w:pPr>
        <w:pStyle w:val="ONUMA"/>
        <w:rPr>
          <w:rtl/>
        </w:rPr>
      </w:pPr>
      <w:r w:rsidRPr="00847C3D">
        <w:rPr>
          <w:rFonts w:hint="cs"/>
          <w:rtl/>
        </w:rPr>
        <w:t>وطلب من المستجيبين تحديد التوصيات التي قد تكون موضع اهتمام كموضوع للمناقشة أو محور تركيز في عرض تقديمي في المستقبل، من بين التوصيات العشر</w:t>
      </w:r>
      <w:r w:rsidR="004A7F2F">
        <w:rPr>
          <w:rFonts w:hint="cs"/>
          <w:rtl/>
        </w:rPr>
        <w:t xml:space="preserve">. </w:t>
      </w:r>
      <w:r w:rsidRPr="00847C3D">
        <w:rPr>
          <w:rFonts w:hint="cs"/>
          <w:rtl/>
        </w:rPr>
        <w:t>ومن بين الردود التي وردت على هذا السؤال، أشارت نسبة كبيرة إلى تفضيل التوصية 10 (48%)، بينما حظيت التوصيات المتبقية بمستوى اهتمام يتراوح بين 0% (التوصية 6) و19% (التوصيات 2 و3 و8 و9).</w:t>
      </w:r>
    </w:p>
    <w:p w14:paraId="37D0044E" w14:textId="332569E9" w:rsidR="00847C3D" w:rsidRPr="00847C3D" w:rsidRDefault="00847C3D" w:rsidP="00847C3D">
      <w:pPr>
        <w:pStyle w:val="ONUMA"/>
        <w:rPr>
          <w:rtl/>
        </w:rPr>
      </w:pPr>
      <w:r w:rsidRPr="00847C3D">
        <w:rPr>
          <w:rFonts w:hint="cs"/>
          <w:rtl/>
        </w:rPr>
        <w:t>وأخيراً، طُلب من المكاتب تقديم أي اقتراحات لديهم بشأن تحسين التوصيات أو تحديثها</w:t>
      </w:r>
      <w:r w:rsidR="004A7F2F">
        <w:rPr>
          <w:rFonts w:hint="cs"/>
          <w:rtl/>
        </w:rPr>
        <w:t xml:space="preserve">. </w:t>
      </w:r>
      <w:r w:rsidRPr="00847C3D">
        <w:rPr>
          <w:rFonts w:hint="cs"/>
          <w:rtl/>
        </w:rPr>
        <w:t xml:space="preserve">وأشار جميع المستجيبين تقريباً إلى أن التوصيات لا تحتاج إلى أي تغييرات في هذه المرحلة. </w:t>
      </w:r>
    </w:p>
    <w:p w14:paraId="42420093" w14:textId="77777777" w:rsidR="00847C3D" w:rsidRPr="00847C3D" w:rsidRDefault="00847C3D" w:rsidP="00847C3D">
      <w:pPr>
        <w:pStyle w:val="BodyText"/>
        <w:rPr>
          <w:u w:val="single"/>
          <w:rtl/>
        </w:rPr>
      </w:pPr>
      <w:r w:rsidRPr="00847C3D">
        <w:rPr>
          <w:rFonts w:hint="cs"/>
          <w:u w:val="single"/>
          <w:rtl/>
        </w:rPr>
        <w:t>تحليل الدراسة الاستقصائية</w:t>
      </w:r>
    </w:p>
    <w:p w14:paraId="791CD1E1" w14:textId="410B3179" w:rsidR="00847C3D" w:rsidRPr="00847C3D" w:rsidRDefault="00847C3D" w:rsidP="00847C3D">
      <w:pPr>
        <w:pStyle w:val="ONUMA"/>
        <w:rPr>
          <w:rtl/>
        </w:rPr>
      </w:pPr>
      <w:r w:rsidRPr="00847C3D">
        <w:rPr>
          <w:rFonts w:hint="cs"/>
          <w:rtl/>
        </w:rPr>
        <w:t>أخذاً بعين الاعتبار الدرجة الكبيرة من التنفيذ الحالي أو المخطط له، والدرجة الصغيرة نسبياً من عدم الاعتماد أو الأولوية المنخفضة، والافتقار العام إلى الاقتراحات من أجل تحديث التوصيات، تشير نتائج الدراسة الاستقصائية بوضوح إلى أن التوصيات ملائمة حالياً لغرضها</w:t>
      </w:r>
      <w:r w:rsidR="004A7F2F">
        <w:rPr>
          <w:rFonts w:hint="cs"/>
          <w:rtl/>
        </w:rPr>
        <w:t xml:space="preserve">. </w:t>
      </w:r>
      <w:r w:rsidRPr="00847C3D">
        <w:rPr>
          <w:rFonts w:hint="cs"/>
          <w:rtl/>
        </w:rPr>
        <w:t>وبلغت مختلف المكاتب مراحل متباينة من النضج، ولكن العمل الجاري والمنجز حتى الآن في مجالي تكنولوجيا المعلومات والاتصالات وإدارة الملكية الفكرية يتسق بشكل عام مع الاتجاه الذي تدعمه التوصيات العشر بصيغتها الحالية</w:t>
      </w:r>
      <w:r w:rsidR="004A7F2F">
        <w:rPr>
          <w:rFonts w:hint="cs"/>
          <w:rtl/>
        </w:rPr>
        <w:t xml:space="preserve">. </w:t>
      </w:r>
      <w:r w:rsidRPr="00847C3D">
        <w:rPr>
          <w:rFonts w:hint="cs"/>
          <w:rtl/>
        </w:rPr>
        <w:t>ولا تقترح فرقة العمل أي تغييرات على هذه البنود في الوقت الحاضر.</w:t>
      </w:r>
    </w:p>
    <w:p w14:paraId="61AC93B5" w14:textId="37A1D0A4" w:rsidR="00847C3D" w:rsidRPr="00847C3D" w:rsidRDefault="00847C3D" w:rsidP="00847C3D">
      <w:pPr>
        <w:pStyle w:val="ONUMA"/>
        <w:rPr>
          <w:rtl/>
        </w:rPr>
      </w:pPr>
      <w:r w:rsidRPr="00847C3D">
        <w:rPr>
          <w:rFonts w:hint="cs"/>
          <w:rtl/>
        </w:rPr>
        <w:t xml:space="preserve">وأحاطت فرقة العمل علماً بالتعليقات ذات الصلة المتلقاة في الدورة الثانية عشرة للجنة المعايير (الفقرتان 62 و134 من الوثيقة </w:t>
      </w:r>
      <w:r w:rsidRPr="00847C3D">
        <w:t>CWS/12/29</w:t>
      </w:r>
      <w:r w:rsidRPr="00847C3D">
        <w:rPr>
          <w:rFonts w:hint="cs"/>
          <w:rtl/>
        </w:rPr>
        <w:t xml:space="preserve">، على النحو المذكور في الفقرتين </w:t>
      </w:r>
      <w:r w:rsidRPr="00847C3D">
        <w:fldChar w:fldCharType="begin"/>
      </w:r>
      <w:r w:rsidRPr="00847C3D">
        <w:rPr>
          <w:rtl/>
        </w:rPr>
        <w:instrText xml:space="preserve"> </w:instrText>
      </w:r>
      <w:r w:rsidRPr="00847C3D">
        <w:instrText xml:space="preserve">REF _Ref207291758 \r \h  \* MERGEFORMAT </w:instrText>
      </w:r>
      <w:r w:rsidRPr="00847C3D">
        <w:fldChar w:fldCharType="separate"/>
      </w:r>
      <w:r w:rsidR="00206D50">
        <w:rPr>
          <w:rtl/>
        </w:rPr>
        <w:t>‏6</w:t>
      </w:r>
      <w:r w:rsidRPr="00847C3D">
        <w:fldChar w:fldCharType="end"/>
      </w:r>
      <w:r w:rsidRPr="00847C3D">
        <w:rPr>
          <w:rFonts w:hint="cs"/>
          <w:rtl/>
        </w:rPr>
        <w:t xml:space="preserve"> و </w:t>
      </w:r>
      <w:r w:rsidRPr="00847C3D">
        <w:fldChar w:fldCharType="begin"/>
      </w:r>
      <w:r w:rsidRPr="00847C3D">
        <w:rPr>
          <w:rtl/>
        </w:rPr>
        <w:instrText xml:space="preserve"> </w:instrText>
      </w:r>
      <w:r w:rsidRPr="00847C3D">
        <w:instrText xml:space="preserve">REF _Ref207291768 \r \h  \* MERGEFORMAT </w:instrText>
      </w:r>
      <w:r w:rsidRPr="00847C3D">
        <w:fldChar w:fldCharType="separate"/>
      </w:r>
      <w:r w:rsidR="00206D50">
        <w:rPr>
          <w:rtl/>
        </w:rPr>
        <w:t>‏7</w:t>
      </w:r>
      <w:r w:rsidRPr="00847C3D">
        <w:fldChar w:fldCharType="end"/>
      </w:r>
      <w:r w:rsidR="007F471A">
        <w:rPr>
          <w:rFonts w:hint="cs"/>
          <w:rtl/>
        </w:rPr>
        <w:t xml:space="preserve"> أعلاه</w:t>
      </w:r>
      <w:r w:rsidRPr="00847C3D">
        <w:rPr>
          <w:rFonts w:hint="cs"/>
          <w:rtl/>
        </w:rPr>
        <w:t>)، إضافة إلى اقتراح مقدم من أحد المستجيبين في الدراسة الاستقصائية لتقييم ما إذا كان من المناسب إدراج سياسة دورة تطوير البرمجيات كمتطلب ضمن أي من التوصيات</w:t>
      </w:r>
      <w:r w:rsidR="004A7F2F">
        <w:rPr>
          <w:rFonts w:hint="cs"/>
          <w:rtl/>
        </w:rPr>
        <w:t xml:space="preserve">. </w:t>
      </w:r>
      <w:r w:rsidRPr="00847C3D">
        <w:rPr>
          <w:rFonts w:hint="cs"/>
          <w:rtl/>
        </w:rPr>
        <w:t>ونظراً إلى المؤشر القوي الذي قدمته نتائج الدراسة الاستقصائية الموصوفة في الفقرة السابقة، فإن فرقة العمل لا ترى ضرورة لإدراج هذه التغييرات في الوقت الحالي</w:t>
      </w:r>
      <w:r w:rsidR="004A7F2F">
        <w:rPr>
          <w:rFonts w:hint="cs"/>
          <w:rtl/>
        </w:rPr>
        <w:t xml:space="preserve">. </w:t>
      </w:r>
      <w:r w:rsidRPr="00847C3D">
        <w:rPr>
          <w:rFonts w:hint="cs"/>
          <w:rtl/>
        </w:rPr>
        <w:t>وفي حال تزايد الاهتمام بتحديث التوصيات في المستقبل، فقد يُنظر حينها في هذه الاقتراحات.</w:t>
      </w:r>
    </w:p>
    <w:p w14:paraId="34AB610B" w14:textId="69564206" w:rsidR="00847C3D" w:rsidRPr="00847C3D" w:rsidRDefault="00847C3D" w:rsidP="00847C3D">
      <w:pPr>
        <w:pStyle w:val="ONUMA"/>
        <w:rPr>
          <w:rtl/>
        </w:rPr>
      </w:pPr>
      <w:r w:rsidRPr="00847C3D">
        <w:rPr>
          <w:rFonts w:hint="cs"/>
          <w:rtl/>
        </w:rPr>
        <w:t>وعند النظر في نتائج الأسئلة الثلاثة مجتمعة - أي ما هي التوصيات التي تشكل "1" تركيزاً حالياً، "2" تحدياً كبيراً، "3"موضوعاً للمناقشة أو عرضاً تقديمياً في المستقبل - تبرز التوصية 10 كأولوية عالية لفرقة العمل، نظراً إلى أنها سجّلت أعلى المعدلات نسبياً في الأسئلة الثلاثة جميعها</w:t>
      </w:r>
      <w:r w:rsidR="004A7F2F">
        <w:rPr>
          <w:rFonts w:hint="cs"/>
          <w:rtl/>
        </w:rPr>
        <w:t xml:space="preserve">. </w:t>
      </w:r>
      <w:r w:rsidRPr="00847C3D">
        <w:rPr>
          <w:rFonts w:hint="cs"/>
          <w:rtl/>
        </w:rPr>
        <w:t>ولا بد من الإشارة أيضاً إلى التوصية 1، التي تشكل مجالاً قويا للتركيز والتحديات، ولكنها لم تجتذب قدراً كبيراً من الاهتمام كموضوع لتبادل المعارف في المستقبل.</w:t>
      </w:r>
    </w:p>
    <w:p w14:paraId="2DB6B81E" w14:textId="1C8FB184" w:rsidR="00847C3D" w:rsidRPr="00847C3D" w:rsidRDefault="00847C3D" w:rsidP="00847C3D">
      <w:pPr>
        <w:pStyle w:val="ONUMA"/>
        <w:rPr>
          <w:rtl/>
        </w:rPr>
      </w:pPr>
      <w:r w:rsidRPr="00847C3D">
        <w:rPr>
          <w:rFonts w:hint="cs"/>
          <w:rtl/>
        </w:rPr>
        <w:t>وتعكف فرقة العمل على دراسة الآثار الكاملة لنتائج الدراسة الاستقصائية</w:t>
      </w:r>
      <w:r w:rsidR="004A7F2F">
        <w:rPr>
          <w:rFonts w:hint="cs"/>
          <w:rtl/>
        </w:rPr>
        <w:t xml:space="preserve">. </w:t>
      </w:r>
      <w:r w:rsidRPr="00847C3D">
        <w:rPr>
          <w:rFonts w:hint="cs"/>
          <w:rtl/>
        </w:rPr>
        <w:t>وعلى وجه الخصوص، تتعلق المناقشات بما يلي:</w:t>
      </w:r>
    </w:p>
    <w:p w14:paraId="55C21790" w14:textId="77777777" w:rsidR="00847C3D" w:rsidRPr="00847C3D" w:rsidRDefault="00847C3D" w:rsidP="004A7F2F">
      <w:pPr>
        <w:pStyle w:val="ONUMA"/>
        <w:numPr>
          <w:ilvl w:val="0"/>
          <w:numId w:val="31"/>
        </w:numPr>
        <w:ind w:left="991"/>
        <w:rPr>
          <w:i/>
          <w:iCs/>
          <w:rtl/>
        </w:rPr>
      </w:pPr>
      <w:r w:rsidRPr="00847C3D">
        <w:rPr>
          <w:rFonts w:hint="cs"/>
          <w:rtl/>
        </w:rPr>
        <w:t>كيفية التعامل بطريقة منتجة مع التداخل العام في الموضوع بين حوار الويبو لقيادات تكنولوجيا المعلومات والاتصالات وفرقة العمل هذه، دون ازدواجية في الجهود أو المحتوى؛</w:t>
      </w:r>
    </w:p>
    <w:p w14:paraId="120EBFCA" w14:textId="77777777" w:rsidR="00847C3D" w:rsidRPr="00847C3D" w:rsidRDefault="00847C3D" w:rsidP="004A7F2F">
      <w:pPr>
        <w:pStyle w:val="ONUMA"/>
        <w:numPr>
          <w:ilvl w:val="0"/>
          <w:numId w:val="31"/>
        </w:numPr>
        <w:ind w:left="991"/>
        <w:rPr>
          <w:i/>
          <w:iCs/>
          <w:rtl/>
        </w:rPr>
      </w:pPr>
      <w:r w:rsidRPr="00847C3D">
        <w:rPr>
          <w:rFonts w:hint="cs"/>
          <w:rtl/>
        </w:rPr>
        <w:t>والأسباب المحتملة لانخفاض الاهتمام بإجراء مناقشة أو عرض تقديمي في المستقبل في إطار التوصية 1؛</w:t>
      </w:r>
    </w:p>
    <w:p w14:paraId="5AE05F01" w14:textId="77777777" w:rsidR="00847C3D" w:rsidRPr="00847C3D" w:rsidRDefault="00847C3D" w:rsidP="004A7F2F">
      <w:pPr>
        <w:pStyle w:val="ONUMA"/>
        <w:numPr>
          <w:ilvl w:val="0"/>
          <w:numId w:val="31"/>
        </w:numPr>
        <w:ind w:left="991"/>
        <w:rPr>
          <w:rtl/>
        </w:rPr>
      </w:pPr>
      <w:r w:rsidRPr="00847C3D">
        <w:rPr>
          <w:rFonts w:hint="cs"/>
          <w:rtl/>
        </w:rPr>
        <w:t>والفجوة بين الصياغة السياساتية رفيعة المستوى للتوصيات والإجراءات المرتبطة بها، والوقت والجهد المهمين اللذين تنطوي عليهما عملية التنفيذ الفعلية.</w:t>
      </w:r>
    </w:p>
    <w:p w14:paraId="6CA99329" w14:textId="77777777" w:rsidR="00847C3D" w:rsidRPr="00847C3D" w:rsidRDefault="00847C3D" w:rsidP="00847C3D">
      <w:pPr>
        <w:pStyle w:val="ONUMA"/>
        <w:rPr>
          <w:rtl/>
        </w:rPr>
      </w:pPr>
      <w:r w:rsidRPr="00847C3D">
        <w:rPr>
          <w:rFonts w:hint="cs"/>
          <w:rtl/>
        </w:rPr>
        <w:t>وبغية معالجة النقاط المذكورة أعلاه بشكل جزئي، تعتزم فرقة العمل مناقشة الأفكار الخاصة بمؤشرات الأداء الرئيسية وإمكانية وجود مصفوفة نضوج مرتبطة بتكنولوجيا المعلومات والاتصالات، بما يتماشى مع التوصيات العشر.</w:t>
      </w:r>
    </w:p>
    <w:p w14:paraId="407F7804" w14:textId="77777777" w:rsidR="00847C3D" w:rsidRPr="00847C3D" w:rsidRDefault="00847C3D" w:rsidP="00847C3D">
      <w:pPr>
        <w:pStyle w:val="BodyText"/>
        <w:rPr>
          <w:u w:val="single"/>
          <w:rtl/>
        </w:rPr>
      </w:pPr>
      <w:r w:rsidRPr="00847C3D">
        <w:rPr>
          <w:rFonts w:hint="cs"/>
          <w:u w:val="single"/>
          <w:rtl/>
        </w:rPr>
        <w:t>اقتراحات بشأن إجراءات إضافية</w:t>
      </w:r>
    </w:p>
    <w:p w14:paraId="608BC078" w14:textId="77777777" w:rsidR="00847C3D" w:rsidRPr="00847C3D" w:rsidRDefault="00847C3D" w:rsidP="00847C3D">
      <w:pPr>
        <w:pStyle w:val="ONUMA"/>
      </w:pPr>
      <w:r w:rsidRPr="00847C3D">
        <w:rPr>
          <w:rFonts w:hint="cs"/>
          <w:rtl/>
        </w:rPr>
        <w:t>تقترح فرقة العمل مواصلة عملها في إطار المهمة رقم 58 لمدة عام آخر وتقييم الحاجة إلى المهمة رقم 58 وفرقة العمل في الدورة الرابعة عشرة للجنة المعايير التي ستُعقد العام المقبل.</w:t>
      </w:r>
    </w:p>
    <w:p w14:paraId="365B06AD" w14:textId="7CA4FD06" w:rsidR="00847C3D" w:rsidRPr="00847C3D" w:rsidRDefault="00847C3D" w:rsidP="00847C3D">
      <w:pPr>
        <w:pStyle w:val="ONUMA"/>
        <w:rPr>
          <w:rtl/>
        </w:rPr>
      </w:pPr>
      <w:r w:rsidRPr="00847C3D">
        <w:rPr>
          <w:rFonts w:hint="cs"/>
          <w:rtl/>
        </w:rPr>
        <w:t>وتقترح فرقة العمل تيسير تنفيذ التوصيات العشر بشأن تكنولوجيا المعلومات والاتصالات من قبل مكاتب الملكية الفكرية من خلال تقديم عروض خلال اجتماعات فرقة العمل أو من خلال حدث حلقة عمل أطول مدة، مع التركيز مبدئياً على التوصية 10 وخيار استكشاف توصيات أخرى ذات أولوية عالية أو أهمية عالية.</w:t>
      </w:r>
    </w:p>
    <w:p w14:paraId="5D1BF3C9" w14:textId="59FE51E2" w:rsidR="00847C3D" w:rsidRPr="00847C3D" w:rsidRDefault="00847C3D" w:rsidP="00847C3D">
      <w:pPr>
        <w:pStyle w:val="ONUMA"/>
        <w:rPr>
          <w:i/>
          <w:iCs/>
          <w:rtl/>
        </w:rPr>
      </w:pPr>
      <w:r w:rsidRPr="00847C3D">
        <w:rPr>
          <w:rFonts w:hint="cs"/>
          <w:rtl/>
        </w:rPr>
        <w:t>وتقترح فرقة العمل مواصلة تقييم السُبل الكفيلة بالحفاظ على أهمية التوصيات، سواءً أثناء نشاط فرقة العمل أو بعد توقفها</w:t>
      </w:r>
      <w:r w:rsidR="004A7F2F">
        <w:rPr>
          <w:rFonts w:hint="cs"/>
          <w:rtl/>
        </w:rPr>
        <w:t xml:space="preserve">. </w:t>
      </w:r>
      <w:r w:rsidRPr="00847C3D">
        <w:rPr>
          <w:rFonts w:hint="cs"/>
          <w:rtl/>
        </w:rPr>
        <w:t>ومن خلال القيام بذلك، ستستكشف فرقة العمل أيضاً مفهوم مؤشرات الأداء الرئيسية، وآليات تلقي التعليقات على التوصيات، وأي اقتراحات قائمة على مدار العام.</w:t>
      </w:r>
    </w:p>
    <w:p w14:paraId="1464572A" w14:textId="77777777" w:rsidR="00847C3D" w:rsidRPr="00847C3D" w:rsidRDefault="00847C3D" w:rsidP="00C10EF7">
      <w:pPr>
        <w:pStyle w:val="ONUMA"/>
        <w:ind w:left="5527"/>
        <w:rPr>
          <w:i/>
          <w:iCs/>
          <w:rtl/>
        </w:rPr>
      </w:pPr>
      <w:r w:rsidRPr="00847C3D">
        <w:rPr>
          <w:rFonts w:hint="cs"/>
          <w:rtl/>
        </w:rPr>
        <w:t>إن لجنة المعايير مدعوة إلى:</w:t>
      </w:r>
    </w:p>
    <w:p w14:paraId="6870A45F" w14:textId="77777777" w:rsidR="00847C3D" w:rsidRPr="00C10EF7" w:rsidRDefault="00847C3D" w:rsidP="00C10EF7">
      <w:pPr>
        <w:pStyle w:val="BodyText"/>
        <w:numPr>
          <w:ilvl w:val="0"/>
          <w:numId w:val="30"/>
        </w:numPr>
        <w:ind w:left="6520"/>
        <w:rPr>
          <w:i/>
          <w:iCs/>
          <w:rtl/>
        </w:rPr>
      </w:pPr>
      <w:r w:rsidRPr="00C10EF7">
        <w:rPr>
          <w:rFonts w:hint="cs"/>
          <w:i/>
          <w:iCs/>
          <w:rtl/>
        </w:rPr>
        <w:t>الإحاطة علماً بمضمون هذه الوثيقة وملخص ردود الدراسة الاستقصائية المقدمة في المرفق؛</w:t>
      </w:r>
    </w:p>
    <w:p w14:paraId="445EC09B" w14:textId="77777777" w:rsidR="00847C3D" w:rsidRPr="00C10EF7" w:rsidRDefault="00847C3D" w:rsidP="00C10EF7">
      <w:pPr>
        <w:pStyle w:val="BodyText"/>
        <w:numPr>
          <w:ilvl w:val="0"/>
          <w:numId w:val="30"/>
        </w:numPr>
        <w:ind w:left="6520"/>
        <w:rPr>
          <w:i/>
          <w:iCs/>
          <w:rtl/>
        </w:rPr>
      </w:pPr>
      <w:r w:rsidRPr="00C10EF7">
        <w:rPr>
          <w:rFonts w:hint="cs"/>
          <w:i/>
          <w:iCs/>
          <w:rtl/>
        </w:rPr>
        <w:t>والموافقة على اقتراحات الإجراءات الإضافية، على النحو المُشار إليه في الفقرات من 23 إلى 25 أعلاه.</w:t>
      </w:r>
    </w:p>
    <w:p w14:paraId="020FC9F6" w14:textId="77777777" w:rsidR="00847C3D" w:rsidRDefault="00847C3D" w:rsidP="00C10EF7">
      <w:pPr>
        <w:pStyle w:val="BodyText"/>
      </w:pPr>
    </w:p>
    <w:p w14:paraId="5D780BFE" w14:textId="77777777" w:rsidR="00C31865" w:rsidRPr="00C10EF7" w:rsidRDefault="00C31865" w:rsidP="00C10EF7">
      <w:pPr>
        <w:pStyle w:val="BodyText"/>
      </w:pPr>
    </w:p>
    <w:p w14:paraId="21018BC5" w14:textId="77777777" w:rsidR="00847C3D" w:rsidRPr="00847C3D" w:rsidRDefault="00847C3D" w:rsidP="00C10EF7">
      <w:pPr>
        <w:pStyle w:val="Endofdocument-Annex"/>
        <w:rPr>
          <w:iCs/>
          <w:rtl/>
        </w:rPr>
      </w:pPr>
      <w:r w:rsidRPr="00847C3D">
        <w:rPr>
          <w:rFonts w:hint="cs"/>
          <w:rtl/>
        </w:rPr>
        <w:t>[يلي ذلك المرفق]</w:t>
      </w:r>
    </w:p>
    <w:p w14:paraId="535BD9D5" w14:textId="77777777" w:rsidR="00847C3D" w:rsidRPr="00847C3D" w:rsidRDefault="00847C3D" w:rsidP="00847C3D">
      <w:pPr>
        <w:pStyle w:val="BodyText"/>
        <w:rPr>
          <w:iCs/>
        </w:rPr>
      </w:pPr>
    </w:p>
    <w:p w14:paraId="2BB29DAB" w14:textId="77777777" w:rsidR="00A410A9" w:rsidRDefault="00A410A9" w:rsidP="00847C3D">
      <w:pPr>
        <w:pStyle w:val="BodyText"/>
        <w:rPr>
          <w:rFonts w:eastAsia="Times New Roman"/>
          <w:lang w:eastAsia="en-US"/>
        </w:rPr>
      </w:pPr>
    </w:p>
    <w:sectPr w:rsidR="00A410A9"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86B1" w14:textId="77777777" w:rsidR="00F52201" w:rsidRDefault="00F52201">
      <w:r>
        <w:separator/>
      </w:r>
    </w:p>
  </w:endnote>
  <w:endnote w:type="continuationSeparator" w:id="0">
    <w:p w14:paraId="0FCB9FB1" w14:textId="77777777" w:rsidR="00F52201" w:rsidRDefault="00F52201" w:rsidP="003B38C1">
      <w:r>
        <w:separator/>
      </w:r>
    </w:p>
    <w:p w14:paraId="11BA0219" w14:textId="77777777" w:rsidR="00F52201" w:rsidRPr="003B38C1" w:rsidRDefault="00F52201" w:rsidP="003B38C1">
      <w:pPr>
        <w:spacing w:after="60"/>
        <w:rPr>
          <w:sz w:val="17"/>
        </w:rPr>
      </w:pPr>
      <w:r>
        <w:rPr>
          <w:sz w:val="17"/>
        </w:rPr>
        <w:t>[Endnote continued from previous page]</w:t>
      </w:r>
    </w:p>
  </w:endnote>
  <w:endnote w:type="continuationNotice" w:id="1">
    <w:p w14:paraId="217B4E5C" w14:textId="77777777" w:rsidR="00F52201" w:rsidRPr="003B38C1" w:rsidRDefault="00F522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A6DA" w14:textId="77777777" w:rsidR="00847C3D" w:rsidRDefault="00847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7ACE" w14:textId="77777777" w:rsidR="00847C3D" w:rsidRDefault="00847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A3BD" w14:textId="77777777" w:rsidR="00847C3D" w:rsidRDefault="0084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F52C" w14:textId="77777777" w:rsidR="00F52201" w:rsidRDefault="00F52201">
      <w:r>
        <w:separator/>
      </w:r>
    </w:p>
  </w:footnote>
  <w:footnote w:type="continuationSeparator" w:id="0">
    <w:p w14:paraId="62D77BF2" w14:textId="77777777" w:rsidR="00F52201" w:rsidRDefault="00F52201" w:rsidP="008B60B2">
      <w:r>
        <w:separator/>
      </w:r>
    </w:p>
    <w:p w14:paraId="7FBAEFF7" w14:textId="77777777" w:rsidR="00F52201" w:rsidRPr="00ED77FB" w:rsidRDefault="00F52201" w:rsidP="008B60B2">
      <w:pPr>
        <w:spacing w:after="60"/>
        <w:rPr>
          <w:sz w:val="17"/>
          <w:szCs w:val="17"/>
        </w:rPr>
      </w:pPr>
      <w:r w:rsidRPr="00ED77FB">
        <w:rPr>
          <w:sz w:val="17"/>
          <w:szCs w:val="17"/>
        </w:rPr>
        <w:t>[Footnote continued from previous page]</w:t>
      </w:r>
    </w:p>
  </w:footnote>
  <w:footnote w:type="continuationNotice" w:id="1">
    <w:p w14:paraId="06EF3606" w14:textId="77777777" w:rsidR="00F52201" w:rsidRPr="00ED77FB" w:rsidRDefault="00F522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C7CE" w14:textId="77777777" w:rsidR="00847C3D" w:rsidRDefault="00847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4B34" w14:textId="5AB0C649" w:rsidR="00D07C78" w:rsidRPr="00847C3D" w:rsidRDefault="00FE5D75" w:rsidP="007969D1">
    <w:pPr>
      <w:bidi w:val="0"/>
      <w:rPr>
        <w:caps/>
        <w:lang w:val="fr-CH"/>
      </w:rPr>
    </w:pPr>
    <w:r>
      <w:rPr>
        <w:caps/>
      </w:rPr>
      <w:t>CWS</w:t>
    </w:r>
    <w:r w:rsidR="00250149">
      <w:rPr>
        <w:caps/>
      </w:rPr>
      <w:t>/</w:t>
    </w:r>
    <w:r w:rsidR="00E15F75">
      <w:rPr>
        <w:caps/>
      </w:rPr>
      <w:t>1</w:t>
    </w:r>
    <w:r w:rsidR="003368CB">
      <w:rPr>
        <w:caps/>
      </w:rPr>
      <w:t>3</w:t>
    </w:r>
    <w:r w:rsidR="00250149">
      <w:rPr>
        <w:caps/>
      </w:rPr>
      <w:t>/</w:t>
    </w:r>
    <w:r w:rsidR="00847C3D">
      <w:rPr>
        <w:caps/>
      </w:rPr>
      <w:t>26</w:t>
    </w:r>
  </w:p>
  <w:p w14:paraId="1C49F7F7" w14:textId="110861E9"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5CBA774D" w14:textId="77777777" w:rsidR="00D07C78" w:rsidRDefault="00D07C78" w:rsidP="00210D5F">
    <w:pPr>
      <w:bidi w:val="0"/>
    </w:pPr>
  </w:p>
  <w:p w14:paraId="787FA421"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2C6" w14:textId="77777777" w:rsidR="00847C3D" w:rsidRDefault="00847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3"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A428B2"/>
    <w:multiLevelType w:val="hybridMultilevel"/>
    <w:tmpl w:val="0C349D30"/>
    <w:lvl w:ilvl="0" w:tplc="A0A09F0E">
      <w:start w:val="1"/>
      <w:numFmt w:val="arabicAbjad"/>
      <w:lvlText w:val="(%1)"/>
      <w:lvlJc w:val="left"/>
      <w:pPr>
        <w:ind w:left="720" w:hanging="360"/>
      </w:pPr>
      <w:rPr>
        <w:rFonts w:ascii="Calibri" w:eastAsia="Arial" w:hAnsi="Calibri" w:cs="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4D562C"/>
    <w:multiLevelType w:val="hybridMultilevel"/>
    <w:tmpl w:val="2A7899F0"/>
    <w:lvl w:ilvl="0" w:tplc="87AEAF36">
      <w:start w:val="2"/>
      <w:numFmt w:val="bullet"/>
      <w:lvlText w:val="–"/>
      <w:lvlJc w:val="left"/>
      <w:pPr>
        <w:ind w:left="720" w:hanging="360"/>
      </w:pPr>
      <w:rPr>
        <w:rFonts w:ascii="Arial" w:eastAsia="SimSun"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5"/>
  </w:num>
  <w:num w:numId="3" w16cid:durableId="610935826">
    <w:abstractNumId w:val="0"/>
  </w:num>
  <w:num w:numId="4" w16cid:durableId="831139084">
    <w:abstractNumId w:val="18"/>
  </w:num>
  <w:num w:numId="5" w16cid:durableId="1808082453">
    <w:abstractNumId w:val="1"/>
  </w:num>
  <w:num w:numId="6" w16cid:durableId="2058821704">
    <w:abstractNumId w:val="7"/>
  </w:num>
  <w:num w:numId="7" w16cid:durableId="719669768">
    <w:abstractNumId w:val="22"/>
  </w:num>
  <w:num w:numId="8" w16cid:durableId="436217556">
    <w:abstractNumId w:val="11"/>
  </w:num>
  <w:num w:numId="9" w16cid:durableId="1591036600">
    <w:abstractNumId w:val="12"/>
  </w:num>
  <w:num w:numId="10" w16cid:durableId="1183013736">
    <w:abstractNumId w:val="16"/>
  </w:num>
  <w:num w:numId="11" w16cid:durableId="1208254078">
    <w:abstractNumId w:val="21"/>
  </w:num>
  <w:num w:numId="12" w16cid:durableId="1535313221">
    <w:abstractNumId w:val="17"/>
  </w:num>
  <w:num w:numId="13" w16cid:durableId="1775402230">
    <w:abstractNumId w:val="23"/>
  </w:num>
  <w:num w:numId="14" w16cid:durableId="605386166">
    <w:abstractNumId w:val="5"/>
  </w:num>
  <w:num w:numId="15" w16cid:durableId="913050154">
    <w:abstractNumId w:val="10"/>
  </w:num>
  <w:num w:numId="16" w16cid:durableId="1867328089">
    <w:abstractNumId w:val="2"/>
  </w:num>
  <w:num w:numId="17" w16cid:durableId="1880973570">
    <w:abstractNumId w:val="13"/>
  </w:num>
  <w:num w:numId="18" w16cid:durableId="1983188684">
    <w:abstractNumId w:val="19"/>
  </w:num>
  <w:num w:numId="19" w16cid:durableId="1285038826">
    <w:abstractNumId w:val="6"/>
  </w:num>
  <w:num w:numId="20" w16cid:durableId="398984857">
    <w:abstractNumId w:val="24"/>
  </w:num>
  <w:num w:numId="21" w16cid:durableId="855265340">
    <w:abstractNumId w:val="8"/>
  </w:num>
  <w:num w:numId="22" w16cid:durableId="1793552887">
    <w:abstractNumId w:val="25"/>
  </w:num>
  <w:num w:numId="23" w16cid:durableId="1644579125">
    <w:abstractNumId w:val="14"/>
  </w:num>
  <w:num w:numId="24" w16cid:durableId="1029574285">
    <w:abstractNumId w:val="20"/>
  </w:num>
  <w:num w:numId="25" w16cid:durableId="1259025004">
    <w:abstractNumId w:val="29"/>
  </w:num>
  <w:num w:numId="26" w16cid:durableId="1763722631">
    <w:abstractNumId w:val="3"/>
  </w:num>
  <w:num w:numId="27" w16cid:durableId="506360306">
    <w:abstractNumId w:val="9"/>
  </w:num>
  <w:num w:numId="28" w16cid:durableId="499587443">
    <w:abstractNumId w:val="27"/>
  </w:num>
  <w:num w:numId="29" w16cid:durableId="1784225043">
    <w:abstractNumId w:val="30"/>
  </w:num>
  <w:num w:numId="30" w16cid:durableId="188641530">
    <w:abstractNumId w:val="26"/>
  </w:num>
  <w:num w:numId="31" w16cid:durableId="18593475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21"/>
    <w:rsid w:val="00041A0A"/>
    <w:rsid w:val="00043AAB"/>
    <w:rsid w:val="00043CAA"/>
    <w:rsid w:val="00056816"/>
    <w:rsid w:val="000632C7"/>
    <w:rsid w:val="00075432"/>
    <w:rsid w:val="000910E5"/>
    <w:rsid w:val="000968ED"/>
    <w:rsid w:val="000A3D97"/>
    <w:rsid w:val="000B5B36"/>
    <w:rsid w:val="000D3DAB"/>
    <w:rsid w:val="000D42A9"/>
    <w:rsid w:val="000F5E56"/>
    <w:rsid w:val="001362EE"/>
    <w:rsid w:val="001406E1"/>
    <w:rsid w:val="00140F22"/>
    <w:rsid w:val="00155D8A"/>
    <w:rsid w:val="00160C21"/>
    <w:rsid w:val="001647D5"/>
    <w:rsid w:val="00167832"/>
    <w:rsid w:val="00176FD1"/>
    <w:rsid w:val="001832A6"/>
    <w:rsid w:val="0019592A"/>
    <w:rsid w:val="001D4107"/>
    <w:rsid w:val="00203D24"/>
    <w:rsid w:val="00206D50"/>
    <w:rsid w:val="00210D5F"/>
    <w:rsid w:val="0021217E"/>
    <w:rsid w:val="002326AB"/>
    <w:rsid w:val="00243430"/>
    <w:rsid w:val="00250149"/>
    <w:rsid w:val="00262607"/>
    <w:rsid w:val="002634C4"/>
    <w:rsid w:val="00265354"/>
    <w:rsid w:val="00273181"/>
    <w:rsid w:val="002879FE"/>
    <w:rsid w:val="002928D3"/>
    <w:rsid w:val="00294303"/>
    <w:rsid w:val="002A7B3A"/>
    <w:rsid w:val="002F1FE6"/>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C37D4"/>
    <w:rsid w:val="003F20F4"/>
    <w:rsid w:val="00423E3E"/>
    <w:rsid w:val="00427AF4"/>
    <w:rsid w:val="004434C3"/>
    <w:rsid w:val="0045246E"/>
    <w:rsid w:val="00452F85"/>
    <w:rsid w:val="00461B51"/>
    <w:rsid w:val="004647DA"/>
    <w:rsid w:val="00474062"/>
    <w:rsid w:val="00477D6B"/>
    <w:rsid w:val="0048522D"/>
    <w:rsid w:val="004A7F2F"/>
    <w:rsid w:val="004D29A8"/>
    <w:rsid w:val="004F2DEB"/>
    <w:rsid w:val="00500BDE"/>
    <w:rsid w:val="005019FF"/>
    <w:rsid w:val="0050470A"/>
    <w:rsid w:val="0052507E"/>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8087F"/>
    <w:rsid w:val="00686558"/>
    <w:rsid w:val="006A516B"/>
    <w:rsid w:val="006A6173"/>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E4889"/>
    <w:rsid w:val="007E4C0E"/>
    <w:rsid w:val="007F471A"/>
    <w:rsid w:val="00820911"/>
    <w:rsid w:val="008243C0"/>
    <w:rsid w:val="00847C3D"/>
    <w:rsid w:val="0088253F"/>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973C0"/>
    <w:rsid w:val="00BA30E2"/>
    <w:rsid w:val="00BA3BCD"/>
    <w:rsid w:val="00BB781F"/>
    <w:rsid w:val="00BC6536"/>
    <w:rsid w:val="00C10EF7"/>
    <w:rsid w:val="00C11BFE"/>
    <w:rsid w:val="00C31865"/>
    <w:rsid w:val="00C3436A"/>
    <w:rsid w:val="00C40F61"/>
    <w:rsid w:val="00C447D9"/>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8088E"/>
    <w:rsid w:val="00D90B96"/>
    <w:rsid w:val="00D93D55"/>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52201"/>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CCB99"/>
  <w15:docId w15:val="{7B552D67-9D00-425F-9842-3A0AA313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847C3D"/>
    <w:pPr>
      <w:keepNext/>
      <w:spacing w:before="240" w:after="240"/>
      <w:outlineLvl w:val="1"/>
    </w:pPr>
    <w:rPr>
      <w:b/>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CWS/13/26 (Arabic)</vt:lpstr>
    </vt:vector>
  </TitlesOfParts>
  <Company>WIPO</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(Arabic)</dc:title>
  <dc:subject>تنفيذ التوصيات بشأن تكنولوجيات المعلومات والاتصالات الموجهة إلى المكاتب </dc:subject>
  <dc:creator>WIPO</dc:creator>
  <cp:keywords>WIPO CWS Thirteenth Session, Implementation of Recommendations, ICT for IP Offices </cp:keywords>
  <cp:lastModifiedBy>Author</cp:lastModifiedBy>
  <cp:revision>14</cp:revision>
  <cp:lastPrinted>2025-09-19T08:52:00Z</cp:lastPrinted>
  <dcterms:created xsi:type="dcterms:W3CDTF">2025-09-19T08:40:00Z</dcterms:created>
  <dcterms:modified xsi:type="dcterms:W3CDTF">2025-10-23T13:07:00Z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