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F1AD"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6AF580A" wp14:editId="0FD118D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5FCF80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BEE3A82" w14:textId="07446CF1"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235D67">
        <w:rPr>
          <w:rFonts w:ascii="Arial Black" w:hAnsi="Arial Black"/>
          <w:caps/>
          <w:sz w:val="15"/>
          <w:szCs w:val="15"/>
        </w:rPr>
        <w:t>25</w:t>
      </w:r>
      <w:r w:rsidR="00E866C0">
        <w:rPr>
          <w:rFonts w:ascii="Arial Black" w:hAnsi="Arial Black"/>
          <w:caps/>
          <w:sz w:val="15"/>
          <w:szCs w:val="15"/>
        </w:rPr>
        <w:t xml:space="preserve"> Rev.</w:t>
      </w:r>
    </w:p>
    <w:p w14:paraId="2D478411" w14:textId="6CDA3254" w:rsidR="008B2CC1" w:rsidRPr="0070778E" w:rsidRDefault="00CC3E2D" w:rsidP="00CC3E2D">
      <w:pPr>
        <w:jc w:val="right"/>
        <w:rPr>
          <w:rFonts w:asciiTheme="minorHAnsi" w:hAnsiTheme="minorHAnsi" w:cstheme="minorHAnsi"/>
          <w:b/>
          <w:bCs/>
          <w:caps/>
          <w:sz w:val="15"/>
          <w:szCs w:val="15"/>
          <w:rtl/>
        </w:rPr>
      </w:pPr>
      <w:bookmarkStart w:id="1" w:name="Original"/>
      <w:r w:rsidRPr="0070778E">
        <w:rPr>
          <w:rFonts w:asciiTheme="minorHAnsi" w:hAnsiTheme="minorHAnsi" w:cstheme="minorHAnsi" w:hint="cs"/>
          <w:b/>
          <w:bCs/>
          <w:caps/>
          <w:sz w:val="15"/>
          <w:szCs w:val="15"/>
          <w:rtl/>
        </w:rPr>
        <w:t xml:space="preserve">الأصل: </w:t>
      </w:r>
      <w:r w:rsidR="00235D67">
        <w:rPr>
          <w:rFonts w:asciiTheme="minorHAnsi" w:hAnsiTheme="minorHAnsi" w:cstheme="minorHAnsi" w:hint="cs"/>
          <w:b/>
          <w:bCs/>
          <w:caps/>
          <w:sz w:val="15"/>
          <w:szCs w:val="15"/>
          <w:rtl/>
        </w:rPr>
        <w:t>بالإنكليزية</w:t>
      </w:r>
    </w:p>
    <w:p w14:paraId="2BA24257" w14:textId="49508031"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E866C0">
        <w:rPr>
          <w:rFonts w:asciiTheme="minorHAnsi" w:hAnsiTheme="minorHAnsi" w:cstheme="minorHAnsi"/>
          <w:b/>
          <w:bCs/>
          <w:caps/>
          <w:sz w:val="15"/>
          <w:szCs w:val="15"/>
        </w:rPr>
        <w:t xml:space="preserve">14 </w:t>
      </w:r>
      <w:r w:rsidR="00743381">
        <w:rPr>
          <w:rFonts w:asciiTheme="minorHAnsi" w:hAnsiTheme="minorHAnsi" w:cstheme="minorHAnsi" w:hint="cs"/>
          <w:b/>
          <w:bCs/>
          <w:caps/>
          <w:sz w:val="15"/>
          <w:szCs w:val="15"/>
          <w:rtl/>
        </w:rPr>
        <w:t xml:space="preserve"> </w:t>
      </w:r>
      <w:r w:rsidR="00E866C0" w:rsidRPr="00C67829">
        <w:rPr>
          <w:rFonts w:asciiTheme="minorHAnsi" w:hAnsiTheme="minorHAnsi" w:cstheme="minorHAnsi"/>
          <w:b/>
          <w:bCs/>
          <w:caps/>
          <w:sz w:val="15"/>
          <w:szCs w:val="15"/>
          <w:rtl/>
        </w:rPr>
        <w:t xml:space="preserve">أكتوبر </w:t>
      </w:r>
      <w:r w:rsidR="00743381">
        <w:rPr>
          <w:rFonts w:asciiTheme="minorHAnsi" w:hAnsiTheme="minorHAnsi" w:cstheme="minorHAnsi" w:hint="cs"/>
          <w:b/>
          <w:bCs/>
          <w:caps/>
          <w:sz w:val="15"/>
          <w:szCs w:val="15"/>
          <w:rtl/>
        </w:rPr>
        <w:t>2025</w:t>
      </w:r>
    </w:p>
    <w:bookmarkEnd w:id="2"/>
    <w:p w14:paraId="0AD7C5FF"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12D37891"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55C51D9A"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060D8F5D" w14:textId="0A1B3058" w:rsidR="008B2CC1" w:rsidRPr="00262607" w:rsidRDefault="001D217E" w:rsidP="00262607">
      <w:pPr>
        <w:spacing w:after="360"/>
        <w:outlineLvl w:val="0"/>
        <w:rPr>
          <w:rFonts w:asciiTheme="minorHAnsi" w:hAnsiTheme="minorHAnsi" w:cstheme="minorHAnsi"/>
          <w:caps/>
          <w:sz w:val="24"/>
          <w:szCs w:val="24"/>
        </w:rPr>
      </w:pPr>
      <w:bookmarkStart w:id="3" w:name="TitleOfDoc"/>
      <w:r w:rsidRPr="001D217E">
        <w:rPr>
          <w:rFonts w:asciiTheme="minorHAnsi" w:hAnsiTheme="minorHAnsi"/>
          <w:caps/>
          <w:sz w:val="24"/>
          <w:szCs w:val="24"/>
          <w:rtl/>
        </w:rPr>
        <w:t>تحديث دليل الويبو (الجزء 4، الحد الأدنى للوثائق المنصوص عليها في معاهدة التعاون بشأن البراءات)</w:t>
      </w:r>
    </w:p>
    <w:bookmarkEnd w:id="3"/>
    <w:p w14:paraId="5141A446" w14:textId="5FCCBEB4" w:rsidR="007969D1" w:rsidRPr="00D32D75" w:rsidRDefault="001D4B66" w:rsidP="00D32D75">
      <w:pPr>
        <w:pStyle w:val="BodyText"/>
        <w:spacing w:after="720"/>
        <w:rPr>
          <w:i/>
          <w:iCs/>
          <w:rtl/>
        </w:rPr>
      </w:pPr>
      <w:r w:rsidRPr="001D4B66">
        <w:rPr>
          <w:i/>
          <w:iCs/>
          <w:rtl/>
        </w:rPr>
        <w:t>وثيقة من إعداد المكتب الدولي</w:t>
      </w:r>
    </w:p>
    <w:p w14:paraId="65560F58" w14:textId="77777777" w:rsidR="001D4B66" w:rsidRPr="001D4B66" w:rsidRDefault="001D4B66" w:rsidP="001D4B66">
      <w:pPr>
        <w:pStyle w:val="Heading2"/>
        <w:rPr>
          <w:rtl/>
        </w:rPr>
      </w:pPr>
      <w:r w:rsidRPr="001D4B66">
        <w:rPr>
          <w:rFonts w:hint="cs"/>
          <w:rtl/>
        </w:rPr>
        <w:t>ملخص</w:t>
      </w:r>
    </w:p>
    <w:p w14:paraId="319784AD" w14:textId="7D96DABF" w:rsidR="001D4B66" w:rsidRPr="001D4B66" w:rsidRDefault="001D4B66" w:rsidP="001D4B66">
      <w:pPr>
        <w:pStyle w:val="ONUMA"/>
        <w:rPr>
          <w:rtl/>
        </w:rPr>
      </w:pPr>
      <w:r w:rsidRPr="001D4B66">
        <w:rPr>
          <w:rFonts w:hint="cs"/>
          <w:rtl/>
        </w:rPr>
        <w:t xml:space="preserve">ستحدّث الأمانة الجزء 1.4 من </w:t>
      </w:r>
      <w:r w:rsidRPr="001D4B66">
        <w:rPr>
          <w:rFonts w:hint="cs"/>
          <w:i/>
          <w:rtl/>
        </w:rPr>
        <w:t>دليل</w:t>
      </w:r>
      <w:r w:rsidRPr="001D4B66">
        <w:rPr>
          <w:rFonts w:hint="cs"/>
          <w:rtl/>
        </w:rPr>
        <w:t xml:space="preserve"> </w:t>
      </w:r>
      <w:r w:rsidRPr="001D4B66">
        <w:rPr>
          <w:rFonts w:hint="cs"/>
          <w:i/>
          <w:rtl/>
        </w:rPr>
        <w:t>الويبو</w:t>
      </w:r>
      <w:r w:rsidRPr="001D4B66">
        <w:rPr>
          <w:rFonts w:hint="cs"/>
          <w:rtl/>
        </w:rPr>
        <w:t xml:space="preserve"> </w:t>
      </w:r>
      <w:r w:rsidRPr="001D4B66">
        <w:rPr>
          <w:rFonts w:hint="cs"/>
          <w:i/>
          <w:rtl/>
        </w:rPr>
        <w:t>بشأن المعلومات والوثائق المتعلقة بالملكية الفكرية</w:t>
      </w:r>
      <w:r w:rsidRPr="001D4B66">
        <w:rPr>
          <w:rFonts w:hint="cs"/>
          <w:rtl/>
        </w:rPr>
        <w:t>، نتيجةً للتنقيحات المدخلة على تعريف الحد الأدنى للوثائق المنصوص عليها في معاهدة التعاون بشأن البراءات، التي ستدخل حيز النفاذ اعتباراً من 1 يناير 2026</w:t>
      </w:r>
      <w:r w:rsidR="00230474">
        <w:rPr>
          <w:rFonts w:hint="cs"/>
          <w:rtl/>
        </w:rPr>
        <w:t xml:space="preserve">. </w:t>
      </w:r>
      <w:r w:rsidRPr="001D4B66">
        <w:rPr>
          <w:rFonts w:hint="cs"/>
          <w:rtl/>
        </w:rPr>
        <w:t>وتغتنم الأمانة هذه الفرصة أيضاً للانتقال إلى نسق أكثر التزاماً بنظرية "الرقمي أولاً" وأكثر قابلية للاستخدام من أجل عرض هذه المعلومات</w:t>
      </w:r>
      <w:r w:rsidR="00230474">
        <w:rPr>
          <w:rFonts w:hint="cs"/>
          <w:rtl/>
        </w:rPr>
        <w:t xml:space="preserve">. </w:t>
      </w:r>
    </w:p>
    <w:p w14:paraId="1CC9B54B" w14:textId="77777777" w:rsidR="001D4B66" w:rsidRPr="001D4B66" w:rsidRDefault="001D4B66" w:rsidP="00230474">
      <w:pPr>
        <w:pStyle w:val="Heading2"/>
        <w:rPr>
          <w:rtl/>
        </w:rPr>
      </w:pPr>
      <w:r w:rsidRPr="001D4B66">
        <w:rPr>
          <w:rFonts w:hint="cs"/>
          <w:rtl/>
        </w:rPr>
        <w:t>معلومات أساسية</w:t>
      </w:r>
    </w:p>
    <w:p w14:paraId="013CCCED" w14:textId="499A9D5A" w:rsidR="001D4B66" w:rsidRPr="001D4B66" w:rsidRDefault="001D4B66" w:rsidP="00230474">
      <w:pPr>
        <w:pStyle w:val="ONUMA"/>
        <w:rPr>
          <w:rtl/>
        </w:rPr>
      </w:pPr>
      <w:r w:rsidRPr="001D4B66">
        <w:rPr>
          <w:rFonts w:hint="cs"/>
          <w:rtl/>
        </w:rPr>
        <w:t xml:space="preserve">اعتمدت جمعية معاهدة البراءات، في دورتها الخامسة والخمسين (الدول العادية الرابعة والعشرين) المعقودة في يوليو 2023، تعديلات على القواعد 34 و36 و63 لمعاهدة البراءات وتفاهماً بشأن تفسير القاعدتين 36 و63 (انظر الوثيقة </w:t>
      </w:r>
      <w:r w:rsidRPr="001D4B66">
        <w:t>PCT/A/55/2</w:t>
      </w:r>
      <w:r w:rsidRPr="001D4B66">
        <w:rPr>
          <w:rFonts w:hint="cs"/>
          <w:rtl/>
        </w:rPr>
        <w:t xml:space="preserve">، والفقرة 32 من الوثيقة </w:t>
      </w:r>
      <w:r w:rsidRPr="001D4B66">
        <w:t>PCT/A/55/4</w:t>
      </w:r>
      <w:r w:rsidRPr="001D4B66">
        <w:rPr>
          <w:rFonts w:hint="cs"/>
          <w:rtl/>
        </w:rPr>
        <w:t>)</w:t>
      </w:r>
      <w:r w:rsidR="00230474">
        <w:rPr>
          <w:rFonts w:hint="cs"/>
          <w:rtl/>
        </w:rPr>
        <w:t xml:space="preserve">. </w:t>
      </w:r>
      <w:r w:rsidRPr="001D4B66">
        <w:rPr>
          <w:rFonts w:hint="cs"/>
          <w:rtl/>
        </w:rPr>
        <w:t>وتتعلّق هذه التعديلات بتعريف الحد الأدنى للوثائق المنصوص عليها في معاهدة البراءات الذي يتعين على إدارة البحث الدولي الاطلاع عليها أثناء البحث الدولي، والمتطلبات الدنيا لإدارة البحث الدولي والفحص التمهيدي الدولي</w:t>
      </w:r>
      <w:r w:rsidR="00230474">
        <w:rPr>
          <w:rFonts w:hint="cs"/>
          <w:rtl/>
        </w:rPr>
        <w:t xml:space="preserve">. </w:t>
      </w:r>
      <w:r w:rsidRPr="001D4B66">
        <w:rPr>
          <w:rFonts w:hint="cs"/>
          <w:rtl/>
        </w:rPr>
        <w:t xml:space="preserve">وفي يونيو 2024، صدرت تعديلات على التعليمات الإدارية لمعاهدة البراءات من أجل تحديد المتطلبات المشار إليها في هذه القواعد، بما في ذلك الملحق حاء الجديد، من خلال التعميم </w:t>
      </w:r>
      <w:r w:rsidRPr="001D4B66">
        <w:t>C. PCT 1672</w:t>
      </w:r>
      <w:r w:rsidR="00230474">
        <w:rPr>
          <w:rFonts w:hint="cs"/>
          <w:rtl/>
        </w:rPr>
        <w:t xml:space="preserve">. </w:t>
      </w:r>
      <w:r w:rsidRPr="001D4B66">
        <w:rPr>
          <w:rFonts w:hint="cs"/>
          <w:rtl/>
        </w:rPr>
        <w:t>وستدخل هذه التعديلات حيز النفاذ في 1 يناير 2026</w:t>
      </w:r>
      <w:r w:rsidR="00230474">
        <w:rPr>
          <w:rFonts w:hint="cs"/>
          <w:rtl/>
        </w:rPr>
        <w:t xml:space="preserve">. </w:t>
      </w:r>
      <w:r w:rsidRPr="001D4B66">
        <w:rPr>
          <w:rFonts w:hint="cs"/>
          <w:rtl/>
        </w:rPr>
        <w:t>وبموجب هذه الأحكام، سيُطلب من المكاتب أن تتيح مجموعاتها المتعلقة بالبراءات ونماذج المنفعة لجميع إدارات البحث الدولي بموجب المتطلبات التقنية ومتطلبات النفاذ الواردة في الملحق حاء، وذلك بالنسبة إلى الوثائق التي تشكّل جزءاً من الحد الأدنى للوثائق المنصوص عليها في معاهدة البراءات.</w:t>
      </w:r>
    </w:p>
    <w:p w14:paraId="148E48F0" w14:textId="415892D3" w:rsidR="001D4B66" w:rsidRPr="001D4B66" w:rsidRDefault="001D4B66" w:rsidP="004E71E8">
      <w:pPr>
        <w:pStyle w:val="ONUMA"/>
        <w:rPr>
          <w:rtl/>
        </w:rPr>
      </w:pPr>
      <w:r w:rsidRPr="001D4B66">
        <w:rPr>
          <w:rFonts w:hint="cs"/>
          <w:rtl/>
        </w:rPr>
        <w:t xml:space="preserve">ويقدم </w:t>
      </w:r>
      <w:r w:rsidRPr="001D4B66">
        <w:rPr>
          <w:rFonts w:hint="cs"/>
          <w:i/>
          <w:rtl/>
        </w:rPr>
        <w:t>دليل الويبو بشأن المعلومات والوثائق المتعلقة بالملكية الفكرية</w:t>
      </w:r>
      <w:r w:rsidRPr="001D4B66">
        <w:rPr>
          <w:rFonts w:hint="cs"/>
          <w:rtl/>
        </w:rPr>
        <w:t xml:space="preserve"> أو "دليل الويبو" مواد مرجعية حول معلومات الملكية الفكرية، بما في ذلك معايير الويبو ومبادئها التوجيهية</w:t>
      </w:r>
      <w:r w:rsidR="00230474">
        <w:rPr>
          <w:rFonts w:hint="cs"/>
          <w:rtl/>
        </w:rPr>
        <w:t xml:space="preserve">. </w:t>
      </w:r>
      <w:r w:rsidRPr="001D4B66">
        <w:rPr>
          <w:rFonts w:hint="cs"/>
          <w:rtl/>
        </w:rPr>
        <w:t>ويتضمن الجزء 4 من دليل الويبو تفاصيل عن نطاق مجموعة الحد الأدنى للوثائق المنصوص عليها في معاهدة البراءات</w:t>
      </w:r>
      <w:r w:rsidR="00230474">
        <w:rPr>
          <w:rFonts w:hint="cs"/>
          <w:rtl/>
        </w:rPr>
        <w:t xml:space="preserve">. </w:t>
      </w:r>
      <w:r w:rsidRPr="001D4B66">
        <w:rPr>
          <w:rFonts w:hint="cs"/>
          <w:rtl/>
        </w:rPr>
        <w:t xml:space="preserve">وعلى وجه التحديد، يقدّم الجزء 1.4 قائمة جرد بوثائق البراءات، ويقدم الجزء 2.4 قائمة بالبنود المنشورة من المؤلفات غير المتعلقة بالبراءات، وفقاً للقاعدة 1.34 من معاهدة البراءات. </w:t>
      </w:r>
    </w:p>
    <w:p w14:paraId="3190D271" w14:textId="6F6262DA" w:rsidR="001D4B66" w:rsidRPr="001D4B66" w:rsidRDefault="001D4B66" w:rsidP="004E71E8">
      <w:pPr>
        <w:pStyle w:val="Heading2"/>
        <w:rPr>
          <w:rtl/>
        </w:rPr>
      </w:pPr>
      <w:r w:rsidRPr="001D4B66">
        <w:rPr>
          <w:rFonts w:hint="cs"/>
          <w:rtl/>
        </w:rPr>
        <w:lastRenderedPageBreak/>
        <w:t>التحديثات المقترحة على الجزء 1.4</w:t>
      </w:r>
    </w:p>
    <w:p w14:paraId="1BE60152" w14:textId="4E96D31F" w:rsidR="001D4B66" w:rsidRPr="001D4B66" w:rsidRDefault="001D4B66" w:rsidP="004E71E8">
      <w:pPr>
        <w:pStyle w:val="ONUMA"/>
        <w:rPr>
          <w:rtl/>
        </w:rPr>
      </w:pPr>
      <w:r w:rsidRPr="001D4B66">
        <w:rPr>
          <w:rFonts w:hint="cs"/>
          <w:rtl/>
        </w:rPr>
        <w:t>نتيجةً للتنقيحات المدخلة على اللائحة التنفيذية لمعاهدة البراءات، سيحدث المكتب الدولي الجزء 1.4 من دليل الويبو، بحيث يظهر بدقة الوثائق التي يتعين إدراجها في الحد الأدنى للوثائق المنصوص عليها في معاهدة البراءات، عندما تدخل القواعد الجديدة حيز النفاذ في 1 يناير 2026</w:t>
      </w:r>
      <w:r w:rsidR="00230474">
        <w:rPr>
          <w:rFonts w:hint="cs"/>
          <w:rtl/>
        </w:rPr>
        <w:t xml:space="preserve">. </w:t>
      </w:r>
      <w:r w:rsidRPr="001D4B66">
        <w:rPr>
          <w:rFonts w:hint="cs"/>
          <w:rtl/>
        </w:rPr>
        <w:t>وستتضمن التحديثات أي وثائق بشأن نماذج المنفعة أتاحتها المكاتب، وكذلك إدراج مجموعات البراءات من المكاتب والمنظمات الإضافية المُصدِرة</w:t>
      </w:r>
      <w:r w:rsidR="00230474">
        <w:rPr>
          <w:rFonts w:hint="cs"/>
          <w:rtl/>
        </w:rPr>
        <w:t xml:space="preserve">. </w:t>
      </w:r>
      <w:r w:rsidRPr="001D4B66">
        <w:rPr>
          <w:rFonts w:hint="cs"/>
          <w:rtl/>
        </w:rPr>
        <w:t xml:space="preserve">ومن المقرر تحديث الجزء 2.4 من دليل الويبو في عام 2026. </w:t>
      </w:r>
    </w:p>
    <w:p w14:paraId="61CD74D3" w14:textId="3CE3A92A" w:rsidR="001D4B66" w:rsidRPr="001D4B66" w:rsidRDefault="001D4B66" w:rsidP="004E71E8">
      <w:pPr>
        <w:pStyle w:val="ONUMA"/>
        <w:rPr>
          <w:rFonts w:eastAsia="DengXian"/>
          <w:rtl/>
        </w:rPr>
      </w:pPr>
      <w:r w:rsidRPr="001D4B66">
        <w:rPr>
          <w:rFonts w:eastAsia="DengXian" w:hint="cs"/>
          <w:rtl/>
        </w:rPr>
        <w:t>ولإحاطة لجنة المعايير</w:t>
      </w:r>
      <w:r w:rsidR="00FF26CF">
        <w:rPr>
          <w:rFonts w:eastAsia="DengXian" w:hint="cs"/>
          <w:rtl/>
        </w:rPr>
        <w:t xml:space="preserve"> علماً</w:t>
      </w:r>
      <w:r w:rsidRPr="001D4B66">
        <w:rPr>
          <w:rFonts w:eastAsia="DengXian" w:hint="cs"/>
          <w:rtl/>
        </w:rPr>
        <w:t>، اعتباراً من 1 يناير 2026، تعتبر وثائق البراءات ونماذج المنفعة المقدمة من المكاتب أو المنظمات المصدِرة التالية البالغ عددها 39</w:t>
      </w:r>
      <w:r w:rsidR="00FF26CF">
        <w:rPr>
          <w:rFonts w:eastAsia="DengXian" w:hint="cs"/>
          <w:rtl/>
        </w:rPr>
        <w:t>،</w:t>
      </w:r>
      <w:r w:rsidR="00FF26CF" w:rsidRPr="001D4B66">
        <w:rPr>
          <w:rFonts w:eastAsia="DengXian"/>
          <w:vertAlign w:val="superscript"/>
        </w:rPr>
        <w:footnoteReference w:id="2"/>
      </w:r>
      <w:r w:rsidRPr="001D4B66">
        <w:rPr>
          <w:rFonts w:eastAsia="DengXian" w:hint="cs"/>
          <w:rtl/>
        </w:rPr>
        <w:t xml:space="preserve"> على أنها وثائق تساهم في الحد الأدنى للوثائق المنصوص عليها في معاهدة البراءات</w:t>
      </w:r>
      <w:r w:rsidR="00230474">
        <w:rPr>
          <w:rFonts w:eastAsia="DengXian" w:hint="cs"/>
          <w:rtl/>
        </w:rPr>
        <w:t xml:space="preserve">. </w:t>
      </w:r>
      <w:r w:rsidRPr="001D4B66">
        <w:rPr>
          <w:rFonts w:eastAsia="DengXian" w:hint="cs"/>
          <w:rtl/>
        </w:rPr>
        <w:t>ولم يجرِ النظر في الوثائق المشار إليها بعلامة النجمة (*</w:t>
      </w:r>
      <w:r w:rsidR="004E71E8">
        <w:rPr>
          <w:rFonts w:eastAsia="DengXian" w:hint="cs"/>
          <w:rtl/>
        </w:rPr>
        <w:t>)</w:t>
      </w:r>
      <w:r w:rsidRPr="001D4B66">
        <w:rPr>
          <w:rFonts w:eastAsia="DengXian" w:hint="cs"/>
          <w:rtl/>
        </w:rPr>
        <w:t xml:space="preserve"> في التحديث السابق على أنها جزء من الحد الأدنى للوثائق المنصوص في معاهدة البراءات: المنظمة الأفريقية للملكية الفكرية (</w:t>
      </w:r>
      <w:r w:rsidRPr="001D4B66">
        <w:rPr>
          <w:rFonts w:eastAsia="DengXian"/>
        </w:rPr>
        <w:t>OA</w:t>
      </w:r>
      <w:r w:rsidR="004E71E8">
        <w:rPr>
          <w:rFonts w:eastAsia="DengXian"/>
          <w:rtl/>
        </w:rPr>
        <w:t>)</w:t>
      </w:r>
      <w:r w:rsidRPr="001D4B66">
        <w:rPr>
          <w:rFonts w:eastAsia="DengXian" w:hint="cs"/>
          <w:rtl/>
        </w:rPr>
        <w:t>، المنظمة الإقليمية الأفريقية للملكية الصناعية (</w:t>
      </w:r>
      <w:r w:rsidRPr="001D4B66">
        <w:rPr>
          <w:rFonts w:eastAsia="DengXian"/>
        </w:rPr>
        <w:t>AP</w:t>
      </w:r>
      <w:r w:rsidR="004E71E8">
        <w:rPr>
          <w:rFonts w:eastAsia="DengXian"/>
          <w:rtl/>
        </w:rPr>
        <w:t>)</w:t>
      </w:r>
      <w:r w:rsidRPr="001D4B66">
        <w:rPr>
          <w:rFonts w:eastAsia="DengXian" w:hint="cs"/>
          <w:rtl/>
        </w:rPr>
        <w:t>، أستراليا (</w:t>
      </w:r>
      <w:r w:rsidRPr="001D4B66">
        <w:rPr>
          <w:rFonts w:eastAsia="DengXian"/>
        </w:rPr>
        <w:t>AU</w:t>
      </w:r>
      <w:r w:rsidR="004E71E8">
        <w:rPr>
          <w:rFonts w:eastAsia="DengXian"/>
          <w:rtl/>
        </w:rPr>
        <w:t>)</w:t>
      </w:r>
      <w:r w:rsidRPr="001D4B66">
        <w:rPr>
          <w:rFonts w:eastAsia="DengXian" w:hint="cs"/>
          <w:rtl/>
        </w:rPr>
        <w:t>، النمسا (</w:t>
      </w:r>
      <w:r w:rsidRPr="001D4B66">
        <w:rPr>
          <w:rFonts w:eastAsia="DengXian"/>
        </w:rPr>
        <w:t>AT</w:t>
      </w:r>
      <w:r w:rsidR="004E71E8">
        <w:rPr>
          <w:rFonts w:eastAsia="DengXian"/>
          <w:rtl/>
        </w:rPr>
        <w:t>)</w:t>
      </w:r>
      <w:r w:rsidRPr="001D4B66">
        <w:rPr>
          <w:rFonts w:eastAsia="DengXian" w:hint="cs"/>
          <w:rtl/>
        </w:rPr>
        <w:t>، البرازيل (</w:t>
      </w:r>
      <w:r w:rsidRPr="001D4B66">
        <w:rPr>
          <w:rFonts w:eastAsia="DengXian"/>
        </w:rPr>
        <w:t>BR</w:t>
      </w:r>
      <w:r w:rsidR="004E71E8">
        <w:rPr>
          <w:rFonts w:eastAsia="DengXian" w:hint="cs"/>
          <w:rtl/>
        </w:rPr>
        <w:t>)</w:t>
      </w:r>
      <w:r w:rsidRPr="001D4B66">
        <w:rPr>
          <w:rFonts w:eastAsia="DengXian"/>
        </w:rPr>
        <w:t>*</w:t>
      </w:r>
      <w:r w:rsidRPr="001D4B66">
        <w:rPr>
          <w:rFonts w:eastAsia="DengXian" w:hint="cs"/>
          <w:rtl/>
        </w:rPr>
        <w:t>، كندا (</w:t>
      </w:r>
      <w:r w:rsidRPr="001D4B66">
        <w:rPr>
          <w:rFonts w:eastAsia="DengXian"/>
        </w:rPr>
        <w:t>CA</w:t>
      </w:r>
      <w:r w:rsidR="004E71E8">
        <w:rPr>
          <w:rFonts w:eastAsia="DengXian"/>
          <w:rtl/>
        </w:rPr>
        <w:t>)</w:t>
      </w:r>
      <w:r w:rsidRPr="001D4B66">
        <w:rPr>
          <w:rFonts w:eastAsia="DengXian" w:hint="cs"/>
          <w:rtl/>
        </w:rPr>
        <w:t>، شيلي (</w:t>
      </w:r>
      <w:r w:rsidRPr="001D4B66">
        <w:rPr>
          <w:rFonts w:eastAsia="DengXian"/>
        </w:rPr>
        <w:t>CL</w:t>
      </w:r>
      <w:r w:rsidR="004E71E8">
        <w:rPr>
          <w:rFonts w:eastAsia="DengXian" w:hint="cs"/>
          <w:rtl/>
        </w:rPr>
        <w:t>)</w:t>
      </w:r>
      <w:r w:rsidRPr="001D4B66">
        <w:rPr>
          <w:rFonts w:eastAsia="DengXian"/>
        </w:rPr>
        <w:t>*</w:t>
      </w:r>
      <w:r w:rsidRPr="001D4B66">
        <w:rPr>
          <w:rFonts w:eastAsia="DengXian" w:hint="cs"/>
          <w:rtl/>
        </w:rPr>
        <w:t>، جمهورية التشيك (</w:t>
      </w:r>
      <w:r w:rsidRPr="001D4B66">
        <w:rPr>
          <w:rFonts w:eastAsia="DengXian"/>
        </w:rPr>
        <w:t>CZ</w:t>
      </w:r>
      <w:r w:rsidR="004E71E8">
        <w:rPr>
          <w:rFonts w:eastAsia="DengXian" w:hint="cs"/>
          <w:rtl/>
        </w:rPr>
        <w:t>)</w:t>
      </w:r>
      <w:r w:rsidRPr="001D4B66">
        <w:rPr>
          <w:rFonts w:eastAsia="DengXian"/>
        </w:rPr>
        <w:t>*</w:t>
      </w:r>
      <w:r w:rsidRPr="001D4B66">
        <w:rPr>
          <w:rFonts w:eastAsia="DengXian" w:hint="cs"/>
          <w:rtl/>
        </w:rPr>
        <w:t>، الصين (</w:t>
      </w:r>
      <w:r w:rsidRPr="001D4B66">
        <w:rPr>
          <w:rFonts w:eastAsia="DengXian"/>
        </w:rPr>
        <w:t>CN</w:t>
      </w:r>
      <w:r w:rsidR="004E71E8">
        <w:rPr>
          <w:rFonts w:eastAsia="DengXian"/>
          <w:rtl/>
        </w:rPr>
        <w:t>)</w:t>
      </w:r>
      <w:r w:rsidRPr="001D4B66">
        <w:rPr>
          <w:rFonts w:eastAsia="DengXian" w:hint="cs"/>
          <w:rtl/>
        </w:rPr>
        <w:t>، الدانمرك (</w:t>
      </w:r>
      <w:r w:rsidRPr="001D4B66">
        <w:rPr>
          <w:rFonts w:eastAsia="DengXian"/>
        </w:rPr>
        <w:t>DK</w:t>
      </w:r>
      <w:r w:rsidR="004E71E8">
        <w:rPr>
          <w:rFonts w:eastAsia="DengXian" w:hint="cs"/>
          <w:rtl/>
        </w:rPr>
        <w:t>)</w:t>
      </w:r>
      <w:r w:rsidRPr="001D4B66">
        <w:rPr>
          <w:rFonts w:eastAsia="DengXian"/>
        </w:rPr>
        <w:t>*</w:t>
      </w:r>
      <w:r w:rsidRPr="001D4B66">
        <w:rPr>
          <w:rFonts w:eastAsia="DengXian" w:hint="cs"/>
          <w:rtl/>
        </w:rPr>
        <w:t>، مصر (</w:t>
      </w:r>
      <w:r w:rsidRPr="001D4B66">
        <w:rPr>
          <w:rFonts w:eastAsia="DengXian"/>
        </w:rPr>
        <w:t>EY</w:t>
      </w:r>
      <w:r w:rsidR="004E71E8">
        <w:rPr>
          <w:rFonts w:eastAsia="DengXian" w:hint="cs"/>
          <w:rtl/>
        </w:rPr>
        <w:t>)</w:t>
      </w:r>
      <w:r w:rsidRPr="001D4B66">
        <w:rPr>
          <w:rFonts w:eastAsia="DengXian"/>
        </w:rPr>
        <w:t>*</w:t>
      </w:r>
      <w:r w:rsidRPr="001D4B66">
        <w:rPr>
          <w:rFonts w:eastAsia="DengXian" w:hint="cs"/>
          <w:rtl/>
        </w:rPr>
        <w:t>، المكتب الأوروبي للبراءات (</w:t>
      </w:r>
      <w:r w:rsidRPr="001D4B66">
        <w:rPr>
          <w:rFonts w:eastAsia="DengXian"/>
        </w:rPr>
        <w:t>EP</w:t>
      </w:r>
      <w:r w:rsidR="004E71E8">
        <w:rPr>
          <w:rFonts w:eastAsia="DengXian"/>
          <w:rtl/>
        </w:rPr>
        <w:t>)</w:t>
      </w:r>
      <w:r w:rsidRPr="001D4B66">
        <w:rPr>
          <w:rFonts w:eastAsia="DengXian" w:hint="cs"/>
          <w:rtl/>
        </w:rPr>
        <w:t>، المكتب الأوروبي الآسيوي للبراءات (</w:t>
      </w:r>
      <w:r w:rsidRPr="001D4B66">
        <w:rPr>
          <w:rFonts w:eastAsia="DengXian"/>
        </w:rPr>
        <w:t>EA</w:t>
      </w:r>
      <w:r w:rsidR="004E71E8">
        <w:rPr>
          <w:rFonts w:eastAsia="DengXian"/>
          <w:rtl/>
        </w:rPr>
        <w:t>)</w:t>
      </w:r>
      <w:r w:rsidRPr="001D4B66">
        <w:rPr>
          <w:rFonts w:eastAsia="DengXian" w:hint="cs"/>
          <w:rtl/>
        </w:rPr>
        <w:t>، فنلندا (</w:t>
      </w:r>
      <w:r w:rsidRPr="001D4B66">
        <w:rPr>
          <w:rFonts w:eastAsia="DengXian"/>
        </w:rPr>
        <w:t>FI</w:t>
      </w:r>
      <w:r w:rsidR="004E71E8">
        <w:rPr>
          <w:rFonts w:eastAsia="DengXian" w:hint="cs"/>
          <w:rtl/>
        </w:rPr>
        <w:t>)</w:t>
      </w:r>
      <w:r w:rsidRPr="001D4B66">
        <w:rPr>
          <w:rFonts w:eastAsia="DengXian"/>
        </w:rPr>
        <w:t>*</w:t>
      </w:r>
      <w:r w:rsidRPr="001D4B66">
        <w:rPr>
          <w:rFonts w:eastAsia="DengXian" w:hint="cs"/>
          <w:rtl/>
        </w:rPr>
        <w:t>، مكتب براءات الرايخ سابقاً (</w:t>
      </w:r>
      <w:r w:rsidRPr="001D4B66">
        <w:rPr>
          <w:rFonts w:eastAsia="DengXian"/>
        </w:rPr>
        <w:t>DE</w:t>
      </w:r>
      <w:r w:rsidR="004E71E8">
        <w:rPr>
          <w:rFonts w:eastAsia="DengXian"/>
          <w:rtl/>
        </w:rPr>
        <w:t>)</w:t>
      </w:r>
      <w:r w:rsidRPr="001D4B66">
        <w:rPr>
          <w:rFonts w:eastAsia="DengXian" w:hint="cs"/>
          <w:rtl/>
        </w:rPr>
        <w:t>، فرنسا (</w:t>
      </w:r>
      <w:r w:rsidRPr="001D4B66">
        <w:rPr>
          <w:rFonts w:eastAsia="DengXian"/>
        </w:rPr>
        <w:t>FR</w:t>
      </w:r>
      <w:r w:rsidR="004E71E8">
        <w:rPr>
          <w:rFonts w:eastAsia="DengXian"/>
          <w:rtl/>
        </w:rPr>
        <w:t>)</w:t>
      </w:r>
      <w:r w:rsidRPr="001D4B66">
        <w:rPr>
          <w:rFonts w:eastAsia="DengXian" w:hint="cs"/>
          <w:rtl/>
        </w:rPr>
        <w:t>، ألمانيا (</w:t>
      </w:r>
      <w:r w:rsidRPr="001D4B66">
        <w:rPr>
          <w:rFonts w:eastAsia="DengXian"/>
        </w:rPr>
        <w:t>DE</w:t>
      </w:r>
      <w:r w:rsidR="004E71E8">
        <w:rPr>
          <w:rFonts w:eastAsia="DengXian"/>
          <w:rtl/>
        </w:rPr>
        <w:t>)</w:t>
      </w:r>
      <w:r w:rsidRPr="001D4B66">
        <w:rPr>
          <w:rFonts w:eastAsia="DengXian" w:hint="cs"/>
          <w:rtl/>
        </w:rPr>
        <w:t>، جمهورية ألمانيا الديمقراطية (سابقاً</w:t>
      </w:r>
      <w:r w:rsidR="004E71E8">
        <w:rPr>
          <w:rFonts w:eastAsia="DengXian" w:hint="cs"/>
          <w:rtl/>
        </w:rPr>
        <w:t>)</w:t>
      </w:r>
      <w:r w:rsidRPr="001D4B66">
        <w:rPr>
          <w:rFonts w:eastAsia="DengXian" w:hint="cs"/>
          <w:rtl/>
        </w:rPr>
        <w:t xml:space="preserve"> (</w:t>
      </w:r>
      <w:r w:rsidRPr="001D4B66">
        <w:rPr>
          <w:rFonts w:eastAsia="DengXian"/>
        </w:rPr>
        <w:t>DD</w:t>
      </w:r>
      <w:r w:rsidR="004E71E8">
        <w:rPr>
          <w:rFonts w:eastAsia="DengXian"/>
          <w:rtl/>
        </w:rPr>
        <w:t>)</w:t>
      </w:r>
      <w:r w:rsidRPr="001D4B66">
        <w:rPr>
          <w:rFonts w:eastAsia="DengXian" w:hint="cs"/>
          <w:rtl/>
        </w:rPr>
        <w:t>، مجلس التعاون الخليجي (</w:t>
      </w:r>
      <w:r w:rsidRPr="001D4B66">
        <w:rPr>
          <w:rFonts w:eastAsia="DengXian"/>
        </w:rPr>
        <w:t>GC</w:t>
      </w:r>
      <w:r w:rsidR="004E71E8">
        <w:rPr>
          <w:rFonts w:eastAsia="DengXian"/>
          <w:rtl/>
        </w:rPr>
        <w:t>)</w:t>
      </w:r>
      <w:r w:rsidRPr="001D4B66">
        <w:rPr>
          <w:rFonts w:eastAsia="DengXian" w:hint="cs"/>
          <w:rtl/>
        </w:rPr>
        <w:t>، هنغاريا (</w:t>
      </w:r>
      <w:r w:rsidRPr="001D4B66">
        <w:rPr>
          <w:rFonts w:eastAsia="DengXian"/>
        </w:rPr>
        <w:t>HU</w:t>
      </w:r>
      <w:r w:rsidR="004E71E8">
        <w:rPr>
          <w:rFonts w:eastAsia="DengXian" w:hint="cs"/>
          <w:rtl/>
        </w:rPr>
        <w:t>)</w:t>
      </w:r>
      <w:r w:rsidRPr="001D4B66">
        <w:rPr>
          <w:rFonts w:eastAsia="DengXian"/>
        </w:rPr>
        <w:t>*</w:t>
      </w:r>
      <w:r w:rsidRPr="001D4B66">
        <w:rPr>
          <w:rFonts w:eastAsia="DengXian" w:hint="cs"/>
          <w:rtl/>
        </w:rPr>
        <w:t>، آيسلندا (</w:t>
      </w:r>
      <w:r w:rsidRPr="001D4B66">
        <w:rPr>
          <w:rFonts w:eastAsia="DengXian"/>
        </w:rPr>
        <w:t>IS</w:t>
      </w:r>
      <w:r w:rsidR="004E71E8">
        <w:rPr>
          <w:rFonts w:eastAsia="DengXian" w:hint="cs"/>
          <w:rtl/>
        </w:rPr>
        <w:t>)</w:t>
      </w:r>
      <w:r w:rsidRPr="001D4B66">
        <w:rPr>
          <w:rFonts w:eastAsia="DengXian"/>
        </w:rPr>
        <w:t>*</w:t>
      </w:r>
      <w:r w:rsidRPr="001D4B66">
        <w:rPr>
          <w:rFonts w:eastAsia="DengXian" w:hint="cs"/>
          <w:rtl/>
        </w:rPr>
        <w:t>، الهند (</w:t>
      </w:r>
      <w:r w:rsidRPr="001D4B66">
        <w:rPr>
          <w:rFonts w:eastAsia="DengXian"/>
        </w:rPr>
        <w:t>IN</w:t>
      </w:r>
      <w:r w:rsidR="004E71E8">
        <w:rPr>
          <w:rFonts w:eastAsia="DengXian" w:hint="cs"/>
          <w:rtl/>
        </w:rPr>
        <w:t>)</w:t>
      </w:r>
      <w:r w:rsidRPr="001D4B66">
        <w:rPr>
          <w:rFonts w:eastAsia="DengXian"/>
        </w:rPr>
        <w:t>*</w:t>
      </w:r>
      <w:r w:rsidRPr="001D4B66">
        <w:rPr>
          <w:rFonts w:eastAsia="DengXian" w:hint="cs"/>
          <w:rtl/>
        </w:rPr>
        <w:t>، إسرائيل (</w:t>
      </w:r>
      <w:r w:rsidRPr="001D4B66">
        <w:rPr>
          <w:rFonts w:eastAsia="DengXian"/>
        </w:rPr>
        <w:t>IL</w:t>
      </w:r>
      <w:r w:rsidR="004E71E8">
        <w:rPr>
          <w:rFonts w:eastAsia="DengXian" w:hint="cs"/>
          <w:rtl/>
        </w:rPr>
        <w:t>)</w:t>
      </w:r>
      <w:r w:rsidRPr="001D4B66">
        <w:rPr>
          <w:rFonts w:eastAsia="DengXian"/>
        </w:rPr>
        <w:t>*</w:t>
      </w:r>
      <w:r w:rsidRPr="001D4B66">
        <w:rPr>
          <w:rFonts w:eastAsia="DengXian" w:hint="cs"/>
          <w:rtl/>
        </w:rPr>
        <w:t>، المكتب الدولي للويبو (</w:t>
      </w:r>
      <w:r w:rsidRPr="001D4B66">
        <w:rPr>
          <w:rFonts w:eastAsia="DengXian"/>
        </w:rPr>
        <w:t>WO</w:t>
      </w:r>
      <w:r w:rsidR="004E71E8">
        <w:rPr>
          <w:rFonts w:eastAsia="DengXian"/>
          <w:rtl/>
        </w:rPr>
        <w:t>)</w:t>
      </w:r>
      <w:r w:rsidRPr="001D4B66">
        <w:rPr>
          <w:rFonts w:eastAsia="DengXian" w:hint="cs"/>
          <w:rtl/>
        </w:rPr>
        <w:t>، اليابان (</w:t>
      </w:r>
      <w:r w:rsidRPr="001D4B66">
        <w:rPr>
          <w:rFonts w:eastAsia="DengXian"/>
        </w:rPr>
        <w:t>JP</w:t>
      </w:r>
      <w:r w:rsidR="004E71E8">
        <w:rPr>
          <w:rFonts w:eastAsia="DengXian"/>
          <w:rtl/>
        </w:rPr>
        <w:t>)</w:t>
      </w:r>
      <w:r w:rsidRPr="001D4B66">
        <w:rPr>
          <w:rFonts w:eastAsia="DengXian" w:hint="cs"/>
          <w:rtl/>
        </w:rPr>
        <w:t>، النرويج (</w:t>
      </w:r>
      <w:r w:rsidRPr="001D4B66">
        <w:rPr>
          <w:rFonts w:eastAsia="DengXian"/>
        </w:rPr>
        <w:t>NO</w:t>
      </w:r>
      <w:r w:rsidR="004E71E8">
        <w:rPr>
          <w:rFonts w:eastAsia="DengXian" w:hint="cs"/>
          <w:rtl/>
        </w:rPr>
        <w:t>)</w:t>
      </w:r>
      <w:r w:rsidRPr="001D4B66">
        <w:rPr>
          <w:rFonts w:eastAsia="DengXian"/>
        </w:rPr>
        <w:t>*</w:t>
      </w:r>
      <w:r w:rsidRPr="001D4B66">
        <w:rPr>
          <w:rFonts w:eastAsia="DengXian" w:hint="cs"/>
          <w:rtl/>
        </w:rPr>
        <w:t>، بولندا (</w:t>
      </w:r>
      <w:r w:rsidRPr="001D4B66">
        <w:rPr>
          <w:rFonts w:eastAsia="DengXian"/>
        </w:rPr>
        <w:t>PL</w:t>
      </w:r>
      <w:r w:rsidR="008768F4">
        <w:rPr>
          <w:rFonts w:eastAsia="DengXian" w:hint="cs"/>
          <w:rtl/>
        </w:rPr>
        <w:t>)</w:t>
      </w:r>
      <w:r w:rsidRPr="001D4B66">
        <w:rPr>
          <w:rFonts w:eastAsia="DengXian"/>
        </w:rPr>
        <w:t>*</w:t>
      </w:r>
      <w:r w:rsidRPr="001D4B66">
        <w:rPr>
          <w:rFonts w:eastAsia="DengXian" w:hint="cs"/>
          <w:rtl/>
        </w:rPr>
        <w:t>، الفلبين (</w:t>
      </w:r>
      <w:r w:rsidRPr="001D4B66">
        <w:rPr>
          <w:rFonts w:eastAsia="DengXian"/>
        </w:rPr>
        <w:t>PH</w:t>
      </w:r>
      <w:r w:rsidR="0065519B">
        <w:rPr>
          <w:rFonts w:eastAsia="DengXian" w:hint="cs"/>
          <w:rtl/>
        </w:rPr>
        <w:t>)</w:t>
      </w:r>
      <w:r w:rsidRPr="001D4B66">
        <w:rPr>
          <w:rFonts w:eastAsia="DengXian"/>
        </w:rPr>
        <w:t>*</w:t>
      </w:r>
      <w:r w:rsidRPr="001D4B66">
        <w:rPr>
          <w:rFonts w:eastAsia="DengXian" w:hint="cs"/>
          <w:rtl/>
        </w:rPr>
        <w:t>، جمهورية كوريا (</w:t>
      </w:r>
      <w:r w:rsidRPr="001D4B66">
        <w:rPr>
          <w:rFonts w:eastAsia="DengXian"/>
        </w:rPr>
        <w:t>KR</w:t>
      </w:r>
      <w:r w:rsidR="004E71E8">
        <w:rPr>
          <w:rFonts w:eastAsia="DengXian"/>
          <w:rtl/>
        </w:rPr>
        <w:t>)</w:t>
      </w:r>
      <w:r w:rsidRPr="001D4B66">
        <w:rPr>
          <w:rFonts w:eastAsia="DengXian" w:hint="cs"/>
          <w:rtl/>
        </w:rPr>
        <w:t>، الاتحاد الروسي (</w:t>
      </w:r>
      <w:r w:rsidRPr="001D4B66">
        <w:rPr>
          <w:rFonts w:eastAsia="DengXian"/>
        </w:rPr>
        <w:t>RU</w:t>
      </w:r>
      <w:r w:rsidR="004E71E8">
        <w:rPr>
          <w:rFonts w:eastAsia="DengXian"/>
          <w:rtl/>
        </w:rPr>
        <w:t>)</w:t>
      </w:r>
      <w:r w:rsidRPr="001D4B66">
        <w:rPr>
          <w:rFonts w:eastAsia="DengXian" w:hint="cs"/>
          <w:rtl/>
        </w:rPr>
        <w:t>، المملكة العربية السعودية (</w:t>
      </w:r>
      <w:r w:rsidRPr="001D4B66">
        <w:rPr>
          <w:rFonts w:eastAsia="DengXian"/>
        </w:rPr>
        <w:t>SA</w:t>
      </w:r>
      <w:r w:rsidR="002A7F4A">
        <w:rPr>
          <w:rFonts w:eastAsia="DengXian" w:hint="cs"/>
          <w:rtl/>
        </w:rPr>
        <w:t>)</w:t>
      </w:r>
      <w:r w:rsidRPr="001D4B66">
        <w:rPr>
          <w:rFonts w:eastAsia="DengXian"/>
        </w:rPr>
        <w:t>*</w:t>
      </w:r>
      <w:r w:rsidRPr="001D4B66">
        <w:rPr>
          <w:rFonts w:eastAsia="DengXian" w:hint="cs"/>
          <w:rtl/>
        </w:rPr>
        <w:t>، سنغافورة (</w:t>
      </w:r>
      <w:r w:rsidRPr="001D4B66">
        <w:rPr>
          <w:rFonts w:eastAsia="DengXian"/>
        </w:rPr>
        <w:t>SG</w:t>
      </w:r>
      <w:r w:rsidR="002A7F4A">
        <w:rPr>
          <w:rFonts w:eastAsia="DengXian" w:hint="cs"/>
          <w:rtl/>
        </w:rPr>
        <w:t>)</w:t>
      </w:r>
      <w:r w:rsidRPr="001D4B66">
        <w:rPr>
          <w:rFonts w:eastAsia="DengXian"/>
        </w:rPr>
        <w:t>*</w:t>
      </w:r>
      <w:r w:rsidRPr="001D4B66">
        <w:rPr>
          <w:rFonts w:eastAsia="DengXian" w:hint="cs"/>
          <w:rtl/>
        </w:rPr>
        <w:t>، جمهورية سلوفاكيا (</w:t>
      </w:r>
      <w:r w:rsidRPr="001D4B66">
        <w:rPr>
          <w:rFonts w:eastAsia="DengXian"/>
        </w:rPr>
        <w:t>SK</w:t>
      </w:r>
      <w:r w:rsidR="002A7F4A">
        <w:rPr>
          <w:rFonts w:eastAsia="DengXian" w:hint="cs"/>
          <w:rtl/>
        </w:rPr>
        <w:t>)</w:t>
      </w:r>
      <w:r w:rsidRPr="001D4B66">
        <w:rPr>
          <w:rFonts w:eastAsia="DengXian"/>
        </w:rPr>
        <w:t>*</w:t>
      </w:r>
      <w:r w:rsidRPr="001D4B66">
        <w:rPr>
          <w:rFonts w:eastAsia="DengXian" w:hint="cs"/>
          <w:rtl/>
        </w:rPr>
        <w:t>، الاتحاد السوفيتي (سابقاً</w:t>
      </w:r>
      <w:r w:rsidR="004E71E8">
        <w:rPr>
          <w:rFonts w:eastAsia="DengXian" w:hint="cs"/>
          <w:rtl/>
        </w:rPr>
        <w:t>)</w:t>
      </w:r>
      <w:r w:rsidRPr="001D4B66">
        <w:rPr>
          <w:rFonts w:eastAsia="DengXian" w:hint="cs"/>
          <w:rtl/>
        </w:rPr>
        <w:t xml:space="preserve"> (</w:t>
      </w:r>
      <w:r w:rsidRPr="001D4B66">
        <w:rPr>
          <w:rFonts w:eastAsia="DengXian"/>
        </w:rPr>
        <w:t>SU</w:t>
      </w:r>
      <w:r w:rsidR="004E71E8">
        <w:rPr>
          <w:rFonts w:eastAsia="DengXian"/>
          <w:rtl/>
        </w:rPr>
        <w:t>)</w:t>
      </w:r>
      <w:r w:rsidRPr="001D4B66">
        <w:rPr>
          <w:rFonts w:eastAsia="DengXian" w:hint="cs"/>
          <w:rtl/>
        </w:rPr>
        <w:t>، إسبانيا (</w:t>
      </w:r>
      <w:r w:rsidRPr="001D4B66">
        <w:rPr>
          <w:rFonts w:eastAsia="DengXian"/>
        </w:rPr>
        <w:t>ES</w:t>
      </w:r>
      <w:r w:rsidR="004E71E8">
        <w:rPr>
          <w:rFonts w:eastAsia="DengXian"/>
        </w:rPr>
        <w:t>)</w:t>
      </w:r>
      <w:r w:rsidRPr="001D4B66">
        <w:rPr>
          <w:rFonts w:eastAsia="DengXian"/>
        </w:rPr>
        <w:t>*</w:t>
      </w:r>
      <w:r w:rsidRPr="001D4B66">
        <w:rPr>
          <w:rFonts w:eastAsia="DengXian" w:hint="cs"/>
          <w:rtl/>
        </w:rPr>
        <w:t>، السويد (</w:t>
      </w:r>
      <w:r w:rsidRPr="001D4B66">
        <w:rPr>
          <w:rFonts w:eastAsia="DengXian"/>
        </w:rPr>
        <w:t>SE</w:t>
      </w:r>
      <w:r w:rsidR="002A7F4A">
        <w:rPr>
          <w:rFonts w:eastAsia="DengXian" w:hint="cs"/>
          <w:rtl/>
        </w:rPr>
        <w:t>)</w:t>
      </w:r>
      <w:r w:rsidRPr="001D4B66">
        <w:rPr>
          <w:rFonts w:eastAsia="DengXian"/>
        </w:rPr>
        <w:t>*</w:t>
      </w:r>
      <w:r w:rsidRPr="001D4B66">
        <w:rPr>
          <w:rFonts w:eastAsia="DengXian" w:hint="cs"/>
          <w:rtl/>
        </w:rPr>
        <w:t>، سويسرا (الفرنسية والألمانية فقط</w:t>
      </w:r>
      <w:r w:rsidR="004E71E8">
        <w:rPr>
          <w:rFonts w:eastAsia="DengXian" w:hint="cs"/>
          <w:rtl/>
        </w:rPr>
        <w:t>)</w:t>
      </w:r>
      <w:r w:rsidRPr="001D4B66">
        <w:rPr>
          <w:rFonts w:eastAsia="DengXian" w:hint="cs"/>
          <w:rtl/>
        </w:rPr>
        <w:t xml:space="preserve"> (</w:t>
      </w:r>
      <w:r w:rsidRPr="001D4B66">
        <w:rPr>
          <w:rFonts w:eastAsia="DengXian"/>
        </w:rPr>
        <w:t>CH</w:t>
      </w:r>
      <w:r w:rsidR="004E71E8">
        <w:rPr>
          <w:rFonts w:eastAsia="DengXian"/>
          <w:rtl/>
        </w:rPr>
        <w:t>)</w:t>
      </w:r>
      <w:r w:rsidRPr="001D4B66">
        <w:rPr>
          <w:rFonts w:eastAsia="DengXian" w:hint="cs"/>
          <w:rtl/>
        </w:rPr>
        <w:t>، تركيا (</w:t>
      </w:r>
      <w:r w:rsidRPr="001D4B66">
        <w:rPr>
          <w:rFonts w:eastAsia="DengXian"/>
        </w:rPr>
        <w:t>TR</w:t>
      </w:r>
      <w:r w:rsidR="00FE1BD7">
        <w:rPr>
          <w:rFonts w:eastAsia="DengXian" w:hint="cs"/>
          <w:rtl/>
        </w:rPr>
        <w:t>)</w:t>
      </w:r>
      <w:r w:rsidRPr="001D4B66">
        <w:rPr>
          <w:rFonts w:eastAsia="DengXian"/>
        </w:rPr>
        <w:t>*</w:t>
      </w:r>
      <w:r w:rsidRPr="001D4B66">
        <w:rPr>
          <w:rFonts w:eastAsia="DengXian" w:hint="cs"/>
          <w:rtl/>
        </w:rPr>
        <w:t>، أوكرانيا (</w:t>
      </w:r>
      <w:r w:rsidRPr="001D4B66">
        <w:rPr>
          <w:rFonts w:eastAsia="DengXian"/>
        </w:rPr>
        <w:t>UA</w:t>
      </w:r>
      <w:r w:rsidR="00ED09E0">
        <w:rPr>
          <w:rFonts w:eastAsia="DengXian" w:hint="cs"/>
          <w:rtl/>
        </w:rPr>
        <w:t>)</w:t>
      </w:r>
      <w:r w:rsidRPr="001D4B66">
        <w:rPr>
          <w:rFonts w:eastAsia="DengXian"/>
        </w:rPr>
        <w:t>*</w:t>
      </w:r>
      <w:r w:rsidRPr="001D4B66">
        <w:rPr>
          <w:rFonts w:eastAsia="DengXian" w:hint="cs"/>
          <w:rtl/>
        </w:rPr>
        <w:t>، المملكة المتحدة (</w:t>
      </w:r>
      <w:r w:rsidRPr="001D4B66">
        <w:rPr>
          <w:rFonts w:eastAsia="DengXian"/>
        </w:rPr>
        <w:t>GB</w:t>
      </w:r>
      <w:r w:rsidR="004E71E8">
        <w:rPr>
          <w:rFonts w:eastAsia="DengXian"/>
          <w:rtl/>
        </w:rPr>
        <w:t>)</w:t>
      </w:r>
      <w:r w:rsidRPr="001D4B66">
        <w:rPr>
          <w:rFonts w:eastAsia="DengXian" w:hint="cs"/>
          <w:rtl/>
        </w:rPr>
        <w:t>، الولايات المتحدة الأمريكية (</w:t>
      </w:r>
      <w:r w:rsidRPr="001D4B66">
        <w:rPr>
          <w:rFonts w:eastAsia="DengXian"/>
        </w:rPr>
        <w:t>US</w:t>
      </w:r>
      <w:r w:rsidR="004E71E8">
        <w:rPr>
          <w:rFonts w:eastAsia="DengXian" w:hint="cs"/>
          <w:rtl/>
        </w:rPr>
        <w:t>)</w:t>
      </w:r>
      <w:r w:rsidR="00230474">
        <w:rPr>
          <w:rFonts w:eastAsia="DengXian" w:hint="cs"/>
          <w:rtl/>
        </w:rPr>
        <w:t xml:space="preserve">. </w:t>
      </w:r>
    </w:p>
    <w:p w14:paraId="2207B688" w14:textId="7A098975" w:rsidR="001D4B66" w:rsidRPr="001D4B66" w:rsidRDefault="001D4B66" w:rsidP="00003AAC">
      <w:pPr>
        <w:pStyle w:val="ONUMA"/>
        <w:rPr>
          <w:rtl/>
        </w:rPr>
      </w:pPr>
      <w:r w:rsidRPr="001D4B66">
        <w:rPr>
          <w:rFonts w:hint="cs"/>
          <w:rtl/>
        </w:rPr>
        <w:t xml:space="preserve">ويُقدم دليل الويبو حالياً كمجموعة وثائق بنسق </w:t>
      </w:r>
      <w:r w:rsidRPr="001D4B66">
        <w:t>PDF</w:t>
      </w:r>
      <w:r w:rsidRPr="001D4B66">
        <w:rPr>
          <w:rFonts w:hint="cs"/>
          <w:rtl/>
        </w:rPr>
        <w:t xml:space="preserve">، وهو منشور على موقع الويبو في الرابط التالي:  </w:t>
      </w:r>
      <w:hyperlink r:id="rId12">
        <w:r w:rsidRPr="001D4B66">
          <w:rPr>
            <w:color w:val="0000FF"/>
            <w:u w:val="single"/>
          </w:rPr>
          <w:t>https://www.wipo.int/en/web/standards/handbook</w:t>
        </w:r>
      </w:hyperlink>
      <w:r w:rsidR="00230474">
        <w:rPr>
          <w:rtl/>
        </w:rPr>
        <w:t xml:space="preserve">. </w:t>
      </w:r>
      <w:r w:rsidRPr="001D4B66">
        <w:rPr>
          <w:rFonts w:hint="cs"/>
          <w:rtl/>
        </w:rPr>
        <w:t xml:space="preserve">وعوضاً عن تحديث وثيقة </w:t>
      </w:r>
      <w:r w:rsidRPr="001D4B66">
        <w:t>PDF</w:t>
      </w:r>
      <w:r w:rsidRPr="001D4B66">
        <w:rPr>
          <w:rFonts w:hint="cs"/>
          <w:rtl/>
        </w:rPr>
        <w:t xml:space="preserve"> الحالية، وهي عبارة عن جدول ضخم يمتد على صفحات عديدة، يقترح المكتب الدولي نشر قائمة جرد بوثائق البراءات ونماذج المنفعة المحدثة التي تلتزم بنظرية "الرقمي أولاً"</w:t>
      </w:r>
      <w:r w:rsidR="00230474">
        <w:rPr>
          <w:rFonts w:hint="cs"/>
          <w:rtl/>
        </w:rPr>
        <w:t xml:space="preserve">. </w:t>
      </w:r>
      <w:r w:rsidRPr="001D4B66">
        <w:rPr>
          <w:rFonts w:hint="cs"/>
          <w:rtl/>
        </w:rPr>
        <w:t>وستحتوي صفحة الويب الجديدة للجزء 1.4 على جدول ديناميكي قابل للبحث والفرز، وستحسّن تجربة المستخدم وإمكانية النفاذ</w:t>
      </w:r>
      <w:r w:rsidR="00230474">
        <w:rPr>
          <w:rFonts w:hint="cs"/>
          <w:rtl/>
        </w:rPr>
        <w:t xml:space="preserve">. </w:t>
      </w:r>
      <w:r w:rsidRPr="001D4B66">
        <w:rPr>
          <w:rFonts w:hint="cs"/>
          <w:rtl/>
        </w:rPr>
        <w:t>وترد محتويات صفحة الويب الجديدة هذه باعتبارها مرفقاً لهذه الوثيقة</w:t>
      </w:r>
      <w:r w:rsidR="00230474">
        <w:rPr>
          <w:rFonts w:hint="cs"/>
          <w:rtl/>
        </w:rPr>
        <w:t xml:space="preserve">. </w:t>
      </w:r>
      <w:r w:rsidRPr="001D4B66">
        <w:rPr>
          <w:rFonts w:hint="cs"/>
          <w:rtl/>
        </w:rPr>
        <w:t>وتُحدّد التغييرات على النص الموجود باستخدام طريقة تتبع التغييرات</w:t>
      </w:r>
      <w:r w:rsidR="00230474">
        <w:rPr>
          <w:rFonts w:hint="cs"/>
          <w:rtl/>
        </w:rPr>
        <w:t xml:space="preserve">. </w:t>
      </w:r>
      <w:r w:rsidRPr="001D4B66">
        <w:rPr>
          <w:rFonts w:hint="cs"/>
          <w:rtl/>
        </w:rPr>
        <w:t>وفي الفقرة 4 من صفحة الويب يرد رابط الجدول الديناميكي المشار إليه</w:t>
      </w:r>
      <w:r w:rsidR="00230474">
        <w:rPr>
          <w:rFonts w:hint="cs"/>
          <w:rtl/>
        </w:rPr>
        <w:t xml:space="preserve">. </w:t>
      </w:r>
      <w:r w:rsidRPr="001D4B66">
        <w:rPr>
          <w:rFonts w:hint="cs"/>
          <w:rtl/>
        </w:rPr>
        <w:t>وعندما يُنشر النسق الرقمي الجديد للجزء 1.4، المتوخى في ديسمبر 2025، سيُحدث الجدول لكي يظهر وثائق البراءات ونماذج المنفعة التي ستشكل جزءاً من الحد الأدنى للوثائق المنصوص عليها في معاهدة البراءات اعتباراً من 1 يناير 2026.</w:t>
      </w:r>
    </w:p>
    <w:p w14:paraId="14EF9EBF" w14:textId="77777777" w:rsidR="001D4B66" w:rsidRPr="00003AAC" w:rsidRDefault="001D4B66" w:rsidP="00003AAC">
      <w:pPr>
        <w:pStyle w:val="ONUMA"/>
        <w:ind w:left="5527"/>
        <w:rPr>
          <w:i/>
          <w:iCs/>
          <w:rtl/>
        </w:rPr>
      </w:pPr>
      <w:r w:rsidRPr="00003AAC">
        <w:rPr>
          <w:rFonts w:hint="cs"/>
          <w:i/>
          <w:iCs/>
          <w:rtl/>
        </w:rPr>
        <w:t>إن لجنة المعايير مدعوة إلى:</w:t>
      </w:r>
    </w:p>
    <w:p w14:paraId="47A9CD78" w14:textId="77777777" w:rsidR="001D4B66" w:rsidRPr="00003AAC" w:rsidRDefault="001D4B66" w:rsidP="00003AAC">
      <w:pPr>
        <w:pStyle w:val="BodyText"/>
        <w:numPr>
          <w:ilvl w:val="0"/>
          <w:numId w:val="31"/>
        </w:numPr>
        <w:ind w:left="6520"/>
        <w:rPr>
          <w:i/>
          <w:iCs/>
          <w:rtl/>
        </w:rPr>
      </w:pPr>
      <w:r w:rsidRPr="00003AAC">
        <w:rPr>
          <w:rFonts w:hint="cs"/>
          <w:i/>
          <w:iCs/>
          <w:rtl/>
        </w:rPr>
        <w:t>الإحاطة علما بمحتويات هذه الوثيقة؛</w:t>
      </w:r>
    </w:p>
    <w:p w14:paraId="583C4464" w14:textId="77777777" w:rsidR="001D4B66" w:rsidRPr="00003AAC" w:rsidRDefault="001D4B66" w:rsidP="00003AAC">
      <w:pPr>
        <w:pStyle w:val="BodyText"/>
        <w:numPr>
          <w:ilvl w:val="0"/>
          <w:numId w:val="31"/>
        </w:numPr>
        <w:ind w:left="6520"/>
        <w:rPr>
          <w:i/>
          <w:iCs/>
          <w:rtl/>
        </w:rPr>
      </w:pPr>
      <w:r w:rsidRPr="00003AAC">
        <w:rPr>
          <w:rFonts w:hint="cs"/>
          <w:i/>
          <w:iCs/>
          <w:rtl/>
        </w:rPr>
        <w:t xml:space="preserve">والتحقق من محتويات التحديثات المقترحة على الجزء 1.4 من دليل الويبو، والموافقة على النسق، على النحو الواردة في مرفق هذه الوثيقة. </w:t>
      </w:r>
    </w:p>
    <w:p w14:paraId="1B189B54" w14:textId="77777777" w:rsidR="001D4B66" w:rsidRPr="001D4B66" w:rsidRDefault="001D4B66" w:rsidP="001D4B66">
      <w:pPr>
        <w:pStyle w:val="BodyText"/>
      </w:pPr>
    </w:p>
    <w:p w14:paraId="4C2C8099" w14:textId="77777777" w:rsidR="001D4B66" w:rsidRPr="001D4B66" w:rsidRDefault="001D4B66" w:rsidP="001D4B66">
      <w:pPr>
        <w:pStyle w:val="BodyText"/>
      </w:pPr>
    </w:p>
    <w:p w14:paraId="624E44DF" w14:textId="77777777" w:rsidR="001D4B66" w:rsidRPr="001D4B66" w:rsidRDefault="001D4B66" w:rsidP="00003AAC">
      <w:pPr>
        <w:pStyle w:val="Endofdocument-Annex"/>
        <w:rPr>
          <w:rtl/>
        </w:rPr>
      </w:pPr>
      <w:r w:rsidRPr="001D4B66">
        <w:rPr>
          <w:rFonts w:hint="cs"/>
          <w:rtl/>
        </w:rPr>
        <w:t>[يلي ذلك المرفق]</w:t>
      </w:r>
    </w:p>
    <w:sectPr w:rsidR="001D4B66" w:rsidRPr="001D4B66"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BC04" w14:textId="77777777" w:rsidR="00152514" w:rsidRDefault="00152514">
      <w:r>
        <w:separator/>
      </w:r>
    </w:p>
  </w:endnote>
  <w:endnote w:type="continuationSeparator" w:id="0">
    <w:p w14:paraId="481DE3F3" w14:textId="77777777" w:rsidR="00152514" w:rsidRDefault="00152514" w:rsidP="003B38C1">
      <w:r>
        <w:separator/>
      </w:r>
    </w:p>
    <w:p w14:paraId="3DBECA1A" w14:textId="77777777" w:rsidR="00152514" w:rsidRPr="003B38C1" w:rsidRDefault="00152514" w:rsidP="003B38C1">
      <w:pPr>
        <w:spacing w:after="60"/>
        <w:rPr>
          <w:sz w:val="17"/>
        </w:rPr>
      </w:pPr>
      <w:r>
        <w:rPr>
          <w:sz w:val="17"/>
        </w:rPr>
        <w:t>[Endnote continued from previous page]</w:t>
      </w:r>
    </w:p>
  </w:endnote>
  <w:endnote w:type="continuationNotice" w:id="1">
    <w:p w14:paraId="791F578F" w14:textId="77777777" w:rsidR="00152514" w:rsidRPr="003B38C1" w:rsidRDefault="001525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1F4F" w14:textId="77777777" w:rsidR="00152514" w:rsidRDefault="00152514">
      <w:r>
        <w:separator/>
      </w:r>
    </w:p>
  </w:footnote>
  <w:footnote w:type="continuationSeparator" w:id="0">
    <w:p w14:paraId="3C498BAA" w14:textId="77777777" w:rsidR="00152514" w:rsidRDefault="00152514" w:rsidP="008B60B2">
      <w:r>
        <w:separator/>
      </w:r>
    </w:p>
    <w:p w14:paraId="6C7FC375" w14:textId="77777777" w:rsidR="00152514" w:rsidRPr="00ED77FB" w:rsidRDefault="00152514" w:rsidP="008B60B2">
      <w:pPr>
        <w:spacing w:after="60"/>
        <w:rPr>
          <w:sz w:val="17"/>
          <w:szCs w:val="17"/>
        </w:rPr>
      </w:pPr>
      <w:r w:rsidRPr="00ED77FB">
        <w:rPr>
          <w:sz w:val="17"/>
          <w:szCs w:val="17"/>
        </w:rPr>
        <w:t>[Footnote continued from previous page]</w:t>
      </w:r>
    </w:p>
  </w:footnote>
  <w:footnote w:type="continuationNotice" w:id="1">
    <w:p w14:paraId="7E434E16" w14:textId="77777777" w:rsidR="00152514" w:rsidRPr="00ED77FB" w:rsidRDefault="00152514" w:rsidP="008B60B2">
      <w:pPr>
        <w:spacing w:before="60"/>
        <w:jc w:val="right"/>
        <w:rPr>
          <w:sz w:val="17"/>
          <w:szCs w:val="17"/>
        </w:rPr>
      </w:pPr>
      <w:r w:rsidRPr="00ED77FB">
        <w:rPr>
          <w:sz w:val="17"/>
          <w:szCs w:val="17"/>
        </w:rPr>
        <w:t>[Footnote continued on next page]</w:t>
      </w:r>
    </w:p>
  </w:footnote>
  <w:footnote w:id="2">
    <w:p w14:paraId="3D53F351" w14:textId="77777777" w:rsidR="00FF26CF" w:rsidRDefault="00FF26CF" w:rsidP="00FF26CF">
      <w:pPr>
        <w:pStyle w:val="FootnoteText"/>
        <w:rPr>
          <w:rtl/>
        </w:rPr>
      </w:pPr>
      <w:r>
        <w:rPr>
          <w:rStyle w:val="FootnoteReference"/>
        </w:rPr>
        <w:footnoteRef/>
      </w:r>
      <w:r>
        <w:rPr>
          <w:rFonts w:hint="cs"/>
          <w:rtl/>
        </w:rPr>
        <w:t xml:space="preserve"> في أي وقت كان، يمكن لأي مكتب غير مدرج في هذه القائمة التقدم بطلب إدراج وثائق البراءات ونماذج المنفعة الخاصة به في إطار الحد الأدنى للوثائق المنصوص فيها في معاهدة البراءات إذا ما استُوفى المتطلبات التقنية ومتطلبات النفاذ الجديدة المحددة في الملحق حاء.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5D0D" w14:textId="042E1942" w:rsidR="00D07C78" w:rsidRPr="00003AAC" w:rsidRDefault="00FE5D75" w:rsidP="007969D1">
    <w:pPr>
      <w:bidi w:val="0"/>
      <w:rPr>
        <w:caps/>
        <w:lang w:val="fr-CH"/>
      </w:rPr>
    </w:pPr>
    <w:r>
      <w:rPr>
        <w:caps/>
      </w:rPr>
      <w:t>CWS</w:t>
    </w:r>
    <w:r w:rsidR="00250149">
      <w:rPr>
        <w:caps/>
      </w:rPr>
      <w:t>/</w:t>
    </w:r>
    <w:r w:rsidR="00E15F75">
      <w:rPr>
        <w:caps/>
      </w:rPr>
      <w:t>1</w:t>
    </w:r>
    <w:r w:rsidR="003368CB">
      <w:rPr>
        <w:caps/>
      </w:rPr>
      <w:t>3</w:t>
    </w:r>
    <w:r w:rsidR="00250149">
      <w:rPr>
        <w:caps/>
      </w:rPr>
      <w:t>/</w:t>
    </w:r>
    <w:r w:rsidR="00003AAC">
      <w:rPr>
        <w:caps/>
        <w:lang w:val="fr-CH"/>
      </w:rPr>
      <w:t>25</w:t>
    </w:r>
    <w:r w:rsidR="00E866C0">
      <w:rPr>
        <w:caps/>
        <w:lang w:val="fr-CH"/>
      </w:rPr>
      <w:t xml:space="preserve"> </w:t>
    </w:r>
    <w:r w:rsidR="00E866C0">
      <w:rPr>
        <w:lang w:val="fr-CH"/>
      </w:rPr>
      <w:t>Rev</w:t>
    </w:r>
    <w:r w:rsidR="00E866C0">
      <w:rPr>
        <w:caps/>
        <w:lang w:val="fr-CH"/>
      </w:rPr>
      <w:t>.</w:t>
    </w:r>
  </w:p>
  <w:p w14:paraId="3010A346"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09548F52" w14:textId="77777777" w:rsidR="00D07C78" w:rsidRDefault="00D07C78" w:rsidP="00210D5F">
    <w:pPr>
      <w:bidi w:val="0"/>
    </w:pPr>
  </w:p>
  <w:p w14:paraId="0C0AFCEE"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0767C9"/>
    <w:multiLevelType w:val="multilevel"/>
    <w:tmpl w:val="0D26AE40"/>
    <w:lvl w:ilvl="0">
      <w:start w:val="1"/>
      <w:numFmt w:val="lowerLetter"/>
      <w:lvlText w:val="(%1)"/>
      <w:lvlJc w:val="left"/>
      <w:pPr>
        <w:tabs>
          <w:tab w:val="num" w:pos="6239"/>
        </w:tabs>
        <w:ind w:left="5672" w:firstLine="0"/>
      </w:pPr>
      <w:rPr>
        <w:rFonts w:hint="default"/>
      </w:rPr>
    </w:lvl>
    <w:lvl w:ilvl="1">
      <w:start w:val="1"/>
      <w:numFmt w:val="lowerLetter"/>
      <w:lvlText w:val="(%2)"/>
      <w:lvlJc w:val="left"/>
      <w:pPr>
        <w:tabs>
          <w:tab w:val="num" w:pos="6806"/>
        </w:tabs>
        <w:ind w:left="6239" w:firstLine="0"/>
      </w:pPr>
      <w:rPr>
        <w:rFonts w:hint="default"/>
      </w:rPr>
    </w:lvl>
    <w:lvl w:ilvl="2">
      <w:start w:val="1"/>
      <w:numFmt w:val="lowerRoman"/>
      <w:lvlText w:val="(%3)"/>
      <w:lvlJc w:val="left"/>
      <w:pPr>
        <w:tabs>
          <w:tab w:val="num" w:pos="7373"/>
        </w:tabs>
        <w:ind w:left="6806" w:firstLine="0"/>
      </w:pPr>
      <w:rPr>
        <w:rFonts w:hint="default"/>
      </w:rPr>
    </w:lvl>
    <w:lvl w:ilvl="3">
      <w:start w:val="1"/>
      <w:numFmt w:val="bullet"/>
      <w:lvlText w:val=""/>
      <w:lvlJc w:val="left"/>
      <w:pPr>
        <w:tabs>
          <w:tab w:val="num" w:pos="7940"/>
        </w:tabs>
        <w:ind w:left="7373" w:firstLine="0"/>
      </w:pPr>
      <w:rPr>
        <w:rFonts w:hint="default"/>
      </w:rPr>
    </w:lvl>
    <w:lvl w:ilvl="4">
      <w:start w:val="1"/>
      <w:numFmt w:val="bullet"/>
      <w:lvlText w:val=""/>
      <w:lvlJc w:val="left"/>
      <w:pPr>
        <w:tabs>
          <w:tab w:val="num" w:pos="8507"/>
        </w:tabs>
        <w:ind w:left="7940" w:firstLine="0"/>
      </w:pPr>
      <w:rPr>
        <w:rFonts w:hint="default"/>
      </w:rPr>
    </w:lvl>
    <w:lvl w:ilvl="5">
      <w:start w:val="1"/>
      <w:numFmt w:val="bullet"/>
      <w:lvlText w:val=""/>
      <w:lvlJc w:val="left"/>
      <w:pPr>
        <w:tabs>
          <w:tab w:val="num" w:pos="9074"/>
        </w:tabs>
        <w:ind w:left="8507" w:firstLine="0"/>
      </w:pPr>
      <w:rPr>
        <w:rFonts w:hint="default"/>
      </w:rPr>
    </w:lvl>
    <w:lvl w:ilvl="6">
      <w:start w:val="1"/>
      <w:numFmt w:val="bullet"/>
      <w:lvlText w:val=""/>
      <w:lvlJc w:val="left"/>
      <w:pPr>
        <w:tabs>
          <w:tab w:val="num" w:pos="9641"/>
        </w:tabs>
        <w:ind w:left="9074" w:firstLine="0"/>
      </w:pPr>
      <w:rPr>
        <w:rFonts w:hint="default"/>
      </w:rPr>
    </w:lvl>
    <w:lvl w:ilvl="7">
      <w:start w:val="1"/>
      <w:numFmt w:val="bullet"/>
      <w:lvlText w:val=""/>
      <w:lvlJc w:val="left"/>
      <w:pPr>
        <w:tabs>
          <w:tab w:val="num" w:pos="10207"/>
        </w:tabs>
        <w:ind w:left="9641" w:firstLine="0"/>
      </w:pPr>
      <w:rPr>
        <w:rFonts w:hint="default"/>
      </w:rPr>
    </w:lvl>
    <w:lvl w:ilvl="8">
      <w:start w:val="1"/>
      <w:numFmt w:val="bullet"/>
      <w:lvlText w:val=""/>
      <w:lvlJc w:val="left"/>
      <w:pPr>
        <w:tabs>
          <w:tab w:val="num" w:pos="10774"/>
        </w:tabs>
        <w:ind w:left="10207"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8940FC"/>
    <w:multiLevelType w:val="hybridMultilevel"/>
    <w:tmpl w:val="820EC096"/>
    <w:lvl w:ilvl="0" w:tplc="496620A2">
      <w:start w:val="1"/>
      <w:numFmt w:val="arabicAbjad"/>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6"/>
  </w:num>
  <w:num w:numId="3" w16cid:durableId="610935826">
    <w:abstractNumId w:val="0"/>
  </w:num>
  <w:num w:numId="4" w16cid:durableId="831139084">
    <w:abstractNumId w:val="19"/>
  </w:num>
  <w:num w:numId="5" w16cid:durableId="1808082453">
    <w:abstractNumId w:val="1"/>
  </w:num>
  <w:num w:numId="6" w16cid:durableId="2058821704">
    <w:abstractNumId w:val="7"/>
  </w:num>
  <w:num w:numId="7" w16cid:durableId="719669768">
    <w:abstractNumId w:val="24"/>
  </w:num>
  <w:num w:numId="8" w16cid:durableId="436217556">
    <w:abstractNumId w:val="12"/>
  </w:num>
  <w:num w:numId="9" w16cid:durableId="1591036600">
    <w:abstractNumId w:val="13"/>
  </w:num>
  <w:num w:numId="10" w16cid:durableId="1183013736">
    <w:abstractNumId w:val="17"/>
  </w:num>
  <w:num w:numId="11" w16cid:durableId="1208254078">
    <w:abstractNumId w:val="22"/>
  </w:num>
  <w:num w:numId="12" w16cid:durableId="1535313221">
    <w:abstractNumId w:val="18"/>
  </w:num>
  <w:num w:numId="13" w16cid:durableId="1775402230">
    <w:abstractNumId w:val="25"/>
  </w:num>
  <w:num w:numId="14" w16cid:durableId="605386166">
    <w:abstractNumId w:val="5"/>
  </w:num>
  <w:num w:numId="15" w16cid:durableId="913050154">
    <w:abstractNumId w:val="11"/>
  </w:num>
  <w:num w:numId="16" w16cid:durableId="1867328089">
    <w:abstractNumId w:val="2"/>
  </w:num>
  <w:num w:numId="17" w16cid:durableId="1880973570">
    <w:abstractNumId w:val="14"/>
  </w:num>
  <w:num w:numId="18" w16cid:durableId="1983188684">
    <w:abstractNumId w:val="20"/>
  </w:num>
  <w:num w:numId="19" w16cid:durableId="1285038826">
    <w:abstractNumId w:val="6"/>
  </w:num>
  <w:num w:numId="20" w16cid:durableId="398984857">
    <w:abstractNumId w:val="26"/>
  </w:num>
  <w:num w:numId="21" w16cid:durableId="855265340">
    <w:abstractNumId w:val="9"/>
  </w:num>
  <w:num w:numId="22" w16cid:durableId="1793552887">
    <w:abstractNumId w:val="27"/>
  </w:num>
  <w:num w:numId="23" w16cid:durableId="1644579125">
    <w:abstractNumId w:val="15"/>
  </w:num>
  <w:num w:numId="24" w16cid:durableId="1029574285">
    <w:abstractNumId w:val="21"/>
  </w:num>
  <w:num w:numId="25" w16cid:durableId="1259025004">
    <w:abstractNumId w:val="29"/>
  </w:num>
  <w:num w:numId="26" w16cid:durableId="1763722631">
    <w:abstractNumId w:val="3"/>
  </w:num>
  <w:num w:numId="27" w16cid:durableId="506360306">
    <w:abstractNumId w:val="10"/>
  </w:num>
  <w:num w:numId="28" w16cid:durableId="499587443">
    <w:abstractNumId w:val="28"/>
  </w:num>
  <w:num w:numId="29" w16cid:durableId="1784225043">
    <w:abstractNumId w:val="30"/>
  </w:num>
  <w:num w:numId="30" w16cid:durableId="1309289921">
    <w:abstractNumId w:val="8"/>
  </w:num>
  <w:num w:numId="31" w16cid:durableId="12863468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6D"/>
    <w:rsid w:val="00003AAC"/>
    <w:rsid w:val="00041A0A"/>
    <w:rsid w:val="00043CAA"/>
    <w:rsid w:val="00056816"/>
    <w:rsid w:val="000632C7"/>
    <w:rsid w:val="00075432"/>
    <w:rsid w:val="000910E5"/>
    <w:rsid w:val="000968ED"/>
    <w:rsid w:val="000A3D97"/>
    <w:rsid w:val="000B5B36"/>
    <w:rsid w:val="000D3DAB"/>
    <w:rsid w:val="000D42A9"/>
    <w:rsid w:val="000F5E56"/>
    <w:rsid w:val="000F764D"/>
    <w:rsid w:val="001362EE"/>
    <w:rsid w:val="001406E1"/>
    <w:rsid w:val="00140F22"/>
    <w:rsid w:val="00144991"/>
    <w:rsid w:val="00152514"/>
    <w:rsid w:val="00155D8A"/>
    <w:rsid w:val="001647D5"/>
    <w:rsid w:val="00167832"/>
    <w:rsid w:val="00176FD1"/>
    <w:rsid w:val="001832A6"/>
    <w:rsid w:val="001925E2"/>
    <w:rsid w:val="0019592A"/>
    <w:rsid w:val="001D217E"/>
    <w:rsid w:val="001D4107"/>
    <w:rsid w:val="001D4B66"/>
    <w:rsid w:val="00203D24"/>
    <w:rsid w:val="00210D5F"/>
    <w:rsid w:val="0021217E"/>
    <w:rsid w:val="00230474"/>
    <w:rsid w:val="002326AB"/>
    <w:rsid w:val="00235D67"/>
    <w:rsid w:val="00243430"/>
    <w:rsid w:val="00250149"/>
    <w:rsid w:val="00262607"/>
    <w:rsid w:val="002634C4"/>
    <w:rsid w:val="00265354"/>
    <w:rsid w:val="00273181"/>
    <w:rsid w:val="00284976"/>
    <w:rsid w:val="002879FE"/>
    <w:rsid w:val="002928D3"/>
    <w:rsid w:val="00294303"/>
    <w:rsid w:val="002A7B3A"/>
    <w:rsid w:val="002A7F4A"/>
    <w:rsid w:val="002F1FE6"/>
    <w:rsid w:val="002F4E68"/>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432C"/>
    <w:rsid w:val="00477D6B"/>
    <w:rsid w:val="0048522D"/>
    <w:rsid w:val="00492E81"/>
    <w:rsid w:val="004D29A8"/>
    <w:rsid w:val="004E71E8"/>
    <w:rsid w:val="004F2DEB"/>
    <w:rsid w:val="005019FF"/>
    <w:rsid w:val="0050470A"/>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46050"/>
    <w:rsid w:val="0065519B"/>
    <w:rsid w:val="006713CA"/>
    <w:rsid w:val="00676C5C"/>
    <w:rsid w:val="006A516B"/>
    <w:rsid w:val="006B5C12"/>
    <w:rsid w:val="006D27D2"/>
    <w:rsid w:val="006D7AAB"/>
    <w:rsid w:val="006D7C7A"/>
    <w:rsid w:val="006F641A"/>
    <w:rsid w:val="0070778E"/>
    <w:rsid w:val="00720EFD"/>
    <w:rsid w:val="00743381"/>
    <w:rsid w:val="007443F3"/>
    <w:rsid w:val="00750C1A"/>
    <w:rsid w:val="007854AF"/>
    <w:rsid w:val="0079149A"/>
    <w:rsid w:val="00793A7C"/>
    <w:rsid w:val="0079516D"/>
    <w:rsid w:val="007969D1"/>
    <w:rsid w:val="007A0E2A"/>
    <w:rsid w:val="007A398A"/>
    <w:rsid w:val="007C4902"/>
    <w:rsid w:val="007D1613"/>
    <w:rsid w:val="007E4889"/>
    <w:rsid w:val="007E4C0E"/>
    <w:rsid w:val="00820911"/>
    <w:rsid w:val="008243C0"/>
    <w:rsid w:val="008768F4"/>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BD7BE8"/>
    <w:rsid w:val="00C11BFE"/>
    <w:rsid w:val="00C3436A"/>
    <w:rsid w:val="00C40F61"/>
    <w:rsid w:val="00C5068F"/>
    <w:rsid w:val="00C60E4B"/>
    <w:rsid w:val="00C73194"/>
    <w:rsid w:val="00C86D74"/>
    <w:rsid w:val="00C91553"/>
    <w:rsid w:val="00C925E7"/>
    <w:rsid w:val="00CB3DBA"/>
    <w:rsid w:val="00CB4788"/>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C17E3"/>
    <w:rsid w:val="00DC6B6C"/>
    <w:rsid w:val="00DD7B7F"/>
    <w:rsid w:val="00DE6402"/>
    <w:rsid w:val="00DF6DC4"/>
    <w:rsid w:val="00E15015"/>
    <w:rsid w:val="00E15F75"/>
    <w:rsid w:val="00E17738"/>
    <w:rsid w:val="00E23ECB"/>
    <w:rsid w:val="00E319DF"/>
    <w:rsid w:val="00E335FE"/>
    <w:rsid w:val="00E66CC5"/>
    <w:rsid w:val="00E866C0"/>
    <w:rsid w:val="00E91C3A"/>
    <w:rsid w:val="00EA2B00"/>
    <w:rsid w:val="00EA7D6E"/>
    <w:rsid w:val="00EB2F76"/>
    <w:rsid w:val="00EC4E49"/>
    <w:rsid w:val="00ED09E0"/>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1BD7"/>
    <w:rsid w:val="00FE5D75"/>
    <w:rsid w:val="00FF26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BFF93"/>
  <w15:docId w15:val="{2F949867-B747-4412-99AA-19B6FB80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D4B66"/>
    <w:pPr>
      <w:keepNext/>
      <w:spacing w:before="240" w:after="240"/>
      <w:outlineLvl w:val="1"/>
    </w:pPr>
    <w:rPr>
      <w:b/>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FootnoteReference">
    <w:name w:val="footnote reference"/>
    <w:basedOn w:val="DefaultParagraphFont"/>
    <w:uiPriority w:val="99"/>
    <w:semiHidden/>
    <w:unhideWhenUsed/>
    <w:rsid w:val="001D4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n/web/standards/handboo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14</TotalTime>
  <Pages>2</Pages>
  <Words>741</Words>
  <Characters>4224</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CWS/13/25 Rev. (Arabic)</vt:lpstr>
      <vt:lpstr>اللجنة المعنية بمعايير الويبو</vt:lpstr>
      <vt:lpstr>    الدورة الثالثة عشرة</vt:lpstr>
      <vt:lpstr>    جنيف، من 10 إلى 14 نوفمبر 2025</vt:lpstr>
      <vt:lpstr>تحديث دليل الويبو (الجزء 4، الحد الأدنى للوثائق المنصوص عليها في معاهدة التعاون </vt:lpstr>
      <vt:lpstr>    ملخص</vt:lpstr>
      <vt:lpstr>    معلومات أساسية</vt:lpstr>
      <vt:lpstr>    التحديثات المقترحة على الجزء 1.4</vt:lpstr>
    </vt:vector>
  </TitlesOfParts>
  <Company>WIPO</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CWS/13/25 Rev. (Arabic)</dc:title>
  <dc:subject>تحديث دليل الويبو (الجزء 4، الحد الأدنى للوثائق المنصوص عليها في معاهدة التعاون بشأن البراءات)</dc:subject>
  <dc:creator>WIPO</dc:creator>
  <cp:keywords>WIPO CWS Thirteenth Session, Handbook Part 4, PCT Minimum Documentation </cp:keywords>
  <cp:lastModifiedBy>WIPO</cp:lastModifiedBy>
  <cp:revision>19</cp:revision>
  <cp:lastPrinted>2025-10-14T11:07:00Z</cp:lastPrinted>
  <dcterms:created xsi:type="dcterms:W3CDTF">2025-09-08T11:33:00Z</dcterms:created>
  <dcterms:modified xsi:type="dcterms:W3CDTF">2025-10-14T11:07:00Z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