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F7DF8" w14:textId="77777777"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3A3F0150" wp14:editId="1E221A6E">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79CFE2C7"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b8cvtg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Chvxy+&#10;2AIAAPQ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3D906EE2" w14:textId="042F039A" w:rsidR="008B2CC1" w:rsidRPr="002326AB" w:rsidRDefault="0070778E" w:rsidP="0095252A">
      <w:pPr>
        <w:bidi w:val="0"/>
        <w:rPr>
          <w:rFonts w:ascii="Arial Black" w:hAnsi="Arial Black"/>
          <w:caps/>
          <w:sz w:val="15"/>
          <w:szCs w:val="15"/>
        </w:rPr>
      </w:pPr>
      <w:bookmarkStart w:id="0" w:name="Code"/>
      <w:bookmarkEnd w:id="0"/>
      <w:r>
        <w:rPr>
          <w:rFonts w:ascii="Arial Black" w:hAnsi="Arial Black"/>
          <w:caps/>
          <w:sz w:val="15"/>
          <w:szCs w:val="15"/>
        </w:rPr>
        <w:t>CWS/1</w:t>
      </w:r>
      <w:r w:rsidR="003368CB">
        <w:rPr>
          <w:rFonts w:ascii="Arial Black" w:hAnsi="Arial Black"/>
          <w:caps/>
          <w:sz w:val="15"/>
          <w:szCs w:val="15"/>
        </w:rPr>
        <w:t>3</w:t>
      </w:r>
      <w:r w:rsidR="00FE5D75" w:rsidRPr="00FE5D75">
        <w:rPr>
          <w:rFonts w:ascii="Arial Black" w:hAnsi="Arial Black"/>
          <w:caps/>
          <w:sz w:val="15"/>
          <w:szCs w:val="15"/>
        </w:rPr>
        <w:t>/</w:t>
      </w:r>
      <w:r w:rsidR="00282646">
        <w:rPr>
          <w:rFonts w:ascii="Arial Black" w:hAnsi="Arial Black"/>
          <w:caps/>
          <w:sz w:val="15"/>
          <w:szCs w:val="15"/>
        </w:rPr>
        <w:t>23</w:t>
      </w:r>
    </w:p>
    <w:p w14:paraId="68FA9B22" w14:textId="1C293156" w:rsidR="008B2CC1" w:rsidRPr="0070778E" w:rsidRDefault="00CC3E2D" w:rsidP="00CC3E2D">
      <w:pPr>
        <w:jc w:val="right"/>
        <w:rPr>
          <w:rFonts w:asciiTheme="minorHAnsi" w:hAnsiTheme="minorHAnsi" w:cstheme="minorHAnsi"/>
          <w:b/>
          <w:bCs/>
          <w:caps/>
          <w:sz w:val="15"/>
          <w:szCs w:val="15"/>
        </w:rPr>
      </w:pPr>
      <w:bookmarkStart w:id="1" w:name="Original"/>
      <w:r w:rsidRPr="0070778E">
        <w:rPr>
          <w:rFonts w:asciiTheme="minorHAnsi" w:hAnsiTheme="minorHAnsi" w:cstheme="minorHAnsi" w:hint="cs"/>
          <w:b/>
          <w:bCs/>
          <w:caps/>
          <w:sz w:val="15"/>
          <w:szCs w:val="15"/>
          <w:rtl/>
        </w:rPr>
        <w:t xml:space="preserve">الأصل: </w:t>
      </w:r>
      <w:r w:rsidR="0095252A">
        <w:rPr>
          <w:rFonts w:asciiTheme="minorHAnsi" w:hAnsiTheme="minorHAnsi" w:cstheme="minorHAnsi" w:hint="cs"/>
          <w:b/>
          <w:bCs/>
          <w:caps/>
          <w:sz w:val="15"/>
          <w:szCs w:val="15"/>
          <w:rtl/>
        </w:rPr>
        <w:t>بالإنكليزية</w:t>
      </w:r>
    </w:p>
    <w:p w14:paraId="711E48AE" w14:textId="647631A6" w:rsidR="008B2CC1" w:rsidRPr="0070778E" w:rsidRDefault="00CC3E2D" w:rsidP="0095252A">
      <w:pPr>
        <w:spacing w:after="1200"/>
        <w:jc w:val="right"/>
        <w:rPr>
          <w:rFonts w:asciiTheme="minorHAnsi" w:hAnsiTheme="minorHAnsi" w:cstheme="minorHAnsi"/>
          <w:b/>
          <w:bCs/>
          <w:caps/>
          <w:sz w:val="15"/>
          <w:szCs w:val="15"/>
        </w:rPr>
      </w:pPr>
      <w:bookmarkStart w:id="2" w:name="Date"/>
      <w:bookmarkEnd w:id="1"/>
      <w:r w:rsidRPr="0070778E">
        <w:rPr>
          <w:rFonts w:asciiTheme="minorHAnsi" w:hAnsiTheme="minorHAnsi" w:cstheme="minorHAnsi" w:hint="cs"/>
          <w:b/>
          <w:bCs/>
          <w:caps/>
          <w:sz w:val="15"/>
          <w:szCs w:val="15"/>
          <w:rtl/>
        </w:rPr>
        <w:t>التاريخ:</w:t>
      </w:r>
      <w:r w:rsidR="00B26A4F">
        <w:rPr>
          <w:rFonts w:asciiTheme="minorHAnsi" w:hAnsiTheme="minorHAnsi" w:cstheme="minorHAnsi"/>
          <w:b/>
          <w:bCs/>
          <w:caps/>
          <w:sz w:val="15"/>
          <w:szCs w:val="15"/>
        </w:rPr>
        <w:t xml:space="preserve"> </w:t>
      </w:r>
      <w:r w:rsidR="00282646">
        <w:rPr>
          <w:rFonts w:asciiTheme="minorHAnsi" w:hAnsiTheme="minorHAnsi" w:cstheme="minorHAnsi" w:hint="cs"/>
          <w:b/>
          <w:bCs/>
          <w:caps/>
          <w:sz w:val="15"/>
          <w:szCs w:val="15"/>
          <w:rtl/>
        </w:rPr>
        <w:t>21</w:t>
      </w:r>
      <w:r w:rsidR="00224BB0">
        <w:rPr>
          <w:rFonts w:asciiTheme="minorHAnsi" w:hAnsiTheme="minorHAnsi" w:cstheme="minorHAnsi" w:hint="cs"/>
          <w:b/>
          <w:bCs/>
          <w:caps/>
          <w:sz w:val="15"/>
          <w:szCs w:val="15"/>
          <w:rtl/>
        </w:rPr>
        <w:t xml:space="preserve"> </w:t>
      </w:r>
      <w:r w:rsidR="00282646">
        <w:rPr>
          <w:rFonts w:asciiTheme="minorHAnsi" w:hAnsiTheme="minorHAnsi" w:cstheme="minorHAnsi" w:hint="cs"/>
          <w:b/>
          <w:bCs/>
          <w:caps/>
          <w:sz w:val="15"/>
          <w:szCs w:val="15"/>
          <w:rtl/>
        </w:rPr>
        <w:t xml:space="preserve">أكتوبر </w:t>
      </w:r>
      <w:r w:rsidR="0095252A" w:rsidRPr="0095252A">
        <w:rPr>
          <w:rFonts w:asciiTheme="minorHAnsi" w:hAnsiTheme="minorHAnsi" w:cstheme="minorHAnsi" w:hint="cs"/>
          <w:b/>
          <w:bCs/>
          <w:caps/>
          <w:sz w:val="15"/>
          <w:szCs w:val="15"/>
          <w:rtl/>
        </w:rPr>
        <w:t>2025</w:t>
      </w:r>
    </w:p>
    <w:bookmarkEnd w:id="2"/>
    <w:p w14:paraId="31D7398B" w14:textId="77777777" w:rsidR="008B2CC1" w:rsidRPr="00D67EAE" w:rsidRDefault="00250149" w:rsidP="00FE5D75">
      <w:pPr>
        <w:pStyle w:val="Heading1"/>
      </w:pPr>
      <w:r>
        <w:rPr>
          <w:rFonts w:hint="cs"/>
          <w:rtl/>
        </w:rPr>
        <w:t xml:space="preserve">اللجنة </w:t>
      </w:r>
      <w:r w:rsidR="00FE5D75">
        <w:rPr>
          <w:rFonts w:hint="cs"/>
          <w:rtl/>
        </w:rPr>
        <w:t>المعنية بمعايير الويبو</w:t>
      </w:r>
    </w:p>
    <w:p w14:paraId="28C74690" w14:textId="77777777" w:rsidR="00A90F0A" w:rsidRPr="00D67EAE" w:rsidRDefault="00D67EAE" w:rsidP="0070778E">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3368CB">
        <w:rPr>
          <w:rFonts w:asciiTheme="minorHAnsi" w:hAnsiTheme="minorHAnsi" w:cstheme="minorHAnsi" w:hint="cs"/>
          <w:bCs/>
          <w:sz w:val="24"/>
          <w:szCs w:val="24"/>
          <w:rtl/>
        </w:rPr>
        <w:t>الثالثة</w:t>
      </w:r>
      <w:r w:rsidR="00E15F75">
        <w:rPr>
          <w:rFonts w:asciiTheme="minorHAnsi" w:hAnsiTheme="minorHAnsi" w:cstheme="minorHAnsi" w:hint="cs"/>
          <w:bCs/>
          <w:sz w:val="24"/>
          <w:szCs w:val="24"/>
          <w:rtl/>
        </w:rPr>
        <w:t xml:space="preserve"> عشرة</w:t>
      </w:r>
    </w:p>
    <w:p w14:paraId="7FEADD92" w14:textId="77777777" w:rsidR="008B2CC1" w:rsidRPr="00D67EAE" w:rsidRDefault="00D67EAE" w:rsidP="0070778E">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3368CB">
        <w:rPr>
          <w:rFonts w:asciiTheme="minorHAnsi" w:hAnsiTheme="minorHAnsi" w:cstheme="minorHAnsi" w:hint="cs"/>
          <w:bCs/>
          <w:sz w:val="24"/>
          <w:szCs w:val="24"/>
          <w:rtl/>
        </w:rPr>
        <w:t>10</w:t>
      </w:r>
      <w:r w:rsidRPr="00D67EAE">
        <w:rPr>
          <w:rFonts w:asciiTheme="minorHAnsi" w:hAnsiTheme="minorHAnsi" w:cstheme="minorHAnsi" w:hint="cs"/>
          <w:bCs/>
          <w:sz w:val="24"/>
          <w:szCs w:val="24"/>
          <w:rtl/>
        </w:rPr>
        <w:t xml:space="preserve"> إلى </w:t>
      </w:r>
      <w:r w:rsidR="003368CB">
        <w:rPr>
          <w:rFonts w:asciiTheme="minorHAnsi" w:hAnsiTheme="minorHAnsi" w:cstheme="minorHAnsi" w:hint="cs"/>
          <w:bCs/>
          <w:sz w:val="24"/>
          <w:szCs w:val="24"/>
          <w:rtl/>
        </w:rPr>
        <w:t>14</w:t>
      </w:r>
      <w:r w:rsidRPr="00D67EAE">
        <w:rPr>
          <w:rFonts w:asciiTheme="minorHAnsi" w:hAnsiTheme="minorHAnsi" w:cstheme="minorHAnsi" w:hint="cs"/>
          <w:bCs/>
          <w:sz w:val="24"/>
          <w:szCs w:val="24"/>
          <w:rtl/>
        </w:rPr>
        <w:t xml:space="preserve"> </w:t>
      </w:r>
      <w:r w:rsidR="003368CB">
        <w:rPr>
          <w:rFonts w:asciiTheme="minorHAnsi" w:hAnsiTheme="minorHAnsi" w:cstheme="minorHAnsi" w:hint="cs"/>
          <w:bCs/>
          <w:sz w:val="24"/>
          <w:szCs w:val="24"/>
          <w:rtl/>
        </w:rPr>
        <w:t>نوفمبر</w:t>
      </w:r>
      <w:r w:rsidR="00250149">
        <w:rPr>
          <w:rFonts w:asciiTheme="minorHAnsi" w:hAnsiTheme="minorHAnsi" w:cstheme="minorHAnsi" w:hint="cs"/>
          <w:bCs/>
          <w:sz w:val="24"/>
          <w:szCs w:val="24"/>
          <w:rtl/>
        </w:rPr>
        <w:t xml:space="preserve"> </w:t>
      </w:r>
      <w:r w:rsidR="003368CB">
        <w:rPr>
          <w:rFonts w:asciiTheme="minorHAnsi" w:hAnsiTheme="minorHAnsi" w:cstheme="minorHAnsi" w:hint="cs"/>
          <w:bCs/>
          <w:sz w:val="24"/>
          <w:szCs w:val="24"/>
          <w:rtl/>
        </w:rPr>
        <w:t>2025</w:t>
      </w:r>
    </w:p>
    <w:p w14:paraId="2021AEB0" w14:textId="01C33408" w:rsidR="0095252A" w:rsidRPr="0095252A" w:rsidRDefault="00282646" w:rsidP="0095252A">
      <w:pPr>
        <w:pStyle w:val="BodyText"/>
        <w:spacing w:after="720"/>
        <w:rPr>
          <w:rFonts w:asciiTheme="minorHAnsi" w:hAnsiTheme="minorHAnsi" w:cstheme="minorHAnsi"/>
          <w:caps/>
          <w:sz w:val="24"/>
          <w:szCs w:val="24"/>
          <w:rtl/>
        </w:rPr>
      </w:pPr>
      <w:bookmarkStart w:id="3" w:name="TitleOfDoc"/>
      <w:r w:rsidRPr="00282646">
        <w:rPr>
          <w:rFonts w:asciiTheme="minorHAnsi" w:hAnsiTheme="minorHAnsi"/>
          <w:caps/>
          <w:sz w:val="24"/>
          <w:szCs w:val="24"/>
          <w:rtl/>
        </w:rPr>
        <w:t>نتائج الدورة الأولى لحوار الويبو لقيادات تكنولوجيا المعلومات والاتصالات (</w:t>
      </w:r>
      <w:r w:rsidRPr="00282646">
        <w:rPr>
          <w:rFonts w:asciiTheme="minorHAnsi" w:hAnsiTheme="minorHAnsi" w:cstheme="minorHAnsi"/>
          <w:caps/>
          <w:sz w:val="24"/>
          <w:szCs w:val="24"/>
        </w:rPr>
        <w:t>WILD</w:t>
      </w:r>
      <w:r w:rsidRPr="00282646">
        <w:rPr>
          <w:rFonts w:asciiTheme="minorHAnsi" w:hAnsiTheme="minorHAnsi"/>
          <w:caps/>
          <w:sz w:val="24"/>
          <w:szCs w:val="24"/>
          <w:rtl/>
        </w:rPr>
        <w:t>)</w:t>
      </w:r>
    </w:p>
    <w:bookmarkEnd w:id="3"/>
    <w:p w14:paraId="0A286A76" w14:textId="163944A5" w:rsidR="0095252A" w:rsidRPr="0095252A" w:rsidRDefault="00282646" w:rsidP="0095252A">
      <w:pPr>
        <w:tabs>
          <w:tab w:val="left" w:pos="567"/>
          <w:tab w:val="left" w:pos="1134"/>
        </w:tabs>
        <w:spacing w:after="960"/>
        <w:rPr>
          <w:rFonts w:asciiTheme="minorHAnsi" w:hAnsiTheme="minorHAnsi" w:cstheme="minorHAnsi"/>
          <w:i/>
          <w:szCs w:val="20"/>
          <w:rtl/>
        </w:rPr>
      </w:pPr>
      <w:r w:rsidRPr="00282646">
        <w:rPr>
          <w:rFonts w:asciiTheme="minorHAnsi" w:hAnsiTheme="minorHAnsi"/>
          <w:i/>
          <w:iCs/>
          <w:szCs w:val="20"/>
          <w:rtl/>
        </w:rPr>
        <w:t>وثيقة من إعداد المكتب الدولي</w:t>
      </w:r>
    </w:p>
    <w:p w14:paraId="12CC5CBD" w14:textId="77777777" w:rsidR="00282646" w:rsidRPr="00282646" w:rsidRDefault="00282646" w:rsidP="00282646">
      <w:pPr>
        <w:pStyle w:val="Heading2"/>
        <w:rPr>
          <w:i/>
          <w:iCs w:val="0"/>
          <w:sz w:val="24"/>
          <w:szCs w:val="24"/>
        </w:rPr>
      </w:pPr>
      <w:r w:rsidRPr="00282646">
        <w:rPr>
          <w:i/>
          <w:iCs w:val="0"/>
          <w:sz w:val="24"/>
          <w:szCs w:val="24"/>
          <w:rtl/>
        </w:rPr>
        <w:t>ملخص</w:t>
      </w:r>
    </w:p>
    <w:p w14:paraId="450E73DC" w14:textId="77777777" w:rsidR="00282646" w:rsidRDefault="00282646" w:rsidP="00282646">
      <w:pPr>
        <w:pStyle w:val="ONUMA"/>
        <w:numPr>
          <w:ilvl w:val="0"/>
          <w:numId w:val="31"/>
        </w:numPr>
        <w:tabs>
          <w:tab w:val="clear" w:pos="567"/>
        </w:tabs>
        <w:ind w:left="0" w:firstLine="0"/>
      </w:pPr>
      <w:r>
        <w:rPr>
          <w:rtl/>
        </w:rPr>
        <w:t>تهدف هذه الوثيقة إلى إبلاغ اللجنة المعنية بمعايير الويبو (لجنة المعايير) بنتائج الدورة الأولى لحوار الويبو لقيادات تكنولوجيا المعلومات والاتصالات (</w:t>
      </w:r>
      <w:r>
        <w:t>WILD</w:t>
      </w:r>
      <w:r>
        <w:rPr>
          <w:rtl/>
        </w:rPr>
        <w:t>).  جمعت الدورة الافتتاحية قادة تكنولوجيا المعلومات والاتصالات وكبار المسؤولين الإداريين من جميع أنحاء العالم لاستكشاف مشهد تكنولوجيا المعلومات والاتصالات السريع التطور وتأثيره على استراتيجيات أعمال الملكية الفكرية وتقديم الخدمات.</w:t>
      </w:r>
    </w:p>
    <w:p w14:paraId="567F9769" w14:textId="77777777" w:rsidR="00282646" w:rsidRPr="00282646" w:rsidRDefault="00282646" w:rsidP="00282646">
      <w:pPr>
        <w:pStyle w:val="Heading2"/>
        <w:rPr>
          <w:i/>
          <w:iCs w:val="0"/>
          <w:sz w:val="24"/>
          <w:szCs w:val="24"/>
        </w:rPr>
      </w:pPr>
      <w:r w:rsidRPr="00282646">
        <w:rPr>
          <w:i/>
          <w:iCs w:val="0"/>
          <w:sz w:val="24"/>
          <w:szCs w:val="24"/>
          <w:rtl/>
        </w:rPr>
        <w:t>معلومات أساسية</w:t>
      </w:r>
    </w:p>
    <w:p w14:paraId="77E084D6" w14:textId="77777777" w:rsidR="00282646" w:rsidRDefault="00282646" w:rsidP="00282646">
      <w:pPr>
        <w:pStyle w:val="ONUMA"/>
        <w:numPr>
          <w:ilvl w:val="0"/>
          <w:numId w:val="31"/>
        </w:numPr>
        <w:tabs>
          <w:tab w:val="clear" w:pos="567"/>
        </w:tabs>
        <w:ind w:left="0" w:firstLine="0"/>
      </w:pPr>
      <w:r>
        <w:rPr>
          <w:rtl/>
        </w:rPr>
        <w:t>يهدف حوار الويبو لقيادات تكنولوجيا المعلومات والاتصالات (</w:t>
      </w:r>
      <w:r>
        <w:t>WILD</w:t>
      </w:r>
      <w:r>
        <w:rPr>
          <w:rtl/>
        </w:rPr>
        <w:t>) لأن يكون منصة عالمية متاحة للقيادات على مستوى مكاتب أو منظمات الملكية الفكرية للمشاركة في المناقشات وأوجه التعاون المتعلقة بتكنولوجيا المعلومات والاتصالات لأغراض الأعمال والخدمات الخاصة بالملكية الفكرية.  ويشمل ذلك الاستراتيجيات والسياسات الرقمية والحلول الرقمية وبيانات الملكية الفكرية والتكنولوجيات الناشئة لإدارة الملكية الفكرية والخدمات ذات الصلة.</w:t>
      </w:r>
    </w:p>
    <w:p w14:paraId="648759E3" w14:textId="5DA5397A" w:rsidR="00282646" w:rsidRDefault="00282646" w:rsidP="00282646">
      <w:pPr>
        <w:pStyle w:val="ONUMA"/>
        <w:numPr>
          <w:ilvl w:val="0"/>
          <w:numId w:val="31"/>
        </w:numPr>
        <w:tabs>
          <w:tab w:val="clear" w:pos="567"/>
        </w:tabs>
        <w:ind w:left="0" w:firstLine="0"/>
      </w:pPr>
      <w:r>
        <w:rPr>
          <w:rtl/>
        </w:rPr>
        <w:t xml:space="preserve">وعقدت الدورة الافتتاحية في المقر الرئيسي للويبو في الفترة من 14 إلى 16 أبريل 2025.  وشارك في الدورة الافتتاحية كبار قادة تكنولوجيا المعلومات والاتصالات، بما في ذلك كبار مسؤولي المعلومات وكبار مسؤولي التكنولوجيا، من 46 دولة عضو وخمس منظمات حكومية دولية، يمثلون مجموعة واسعة من السياقات الوطنية والإقليمية.  ويمكن الاطلاع على قائمة المشاركين على الرابط التالي: </w:t>
      </w:r>
      <w:hyperlink r:id="rId12" w:history="1">
        <w:r w:rsidRPr="00F07EFA">
          <w:rPr>
            <w:rStyle w:val="Hyperlink"/>
          </w:rPr>
          <w:t>https://www.wipo.int/meetings/ar/details.jsp?meeting_id=86271</w:t>
        </w:r>
      </w:hyperlink>
      <w:r>
        <w:rPr>
          <w:rFonts w:hint="cs"/>
          <w:rtl/>
        </w:rPr>
        <w:t xml:space="preserve">. </w:t>
      </w:r>
    </w:p>
    <w:p w14:paraId="075EEBD6" w14:textId="3F8ECE26" w:rsidR="00282646" w:rsidRDefault="00282646" w:rsidP="00282646">
      <w:pPr>
        <w:pStyle w:val="ONUMA"/>
        <w:numPr>
          <w:ilvl w:val="0"/>
          <w:numId w:val="31"/>
        </w:numPr>
        <w:tabs>
          <w:tab w:val="clear" w:pos="567"/>
        </w:tabs>
        <w:ind w:left="0" w:firstLine="0"/>
      </w:pPr>
      <w:r>
        <w:rPr>
          <w:rtl/>
        </w:rPr>
        <w:t>وأجري استبيان قبل الاجتماع، قدمت فيه مدخلات قيمة للدورة.  وسلطت الردود الواردة من 42 دولة عضو وثلاث منظمات حكومية دولية الضوء على الأولويات المشتركة، بما في ذلك الحاجة إلى تعزيز حوكمة البيانات، والاستثمار في الأمن السيبراني، ووضع أطر تعاونية للتكنولوجيات الناشئة.  وشكلت هذه النتائج تصميم البرنامج ووجهت المناقشات طوال أيام الدورة الثلاثة.</w:t>
      </w:r>
    </w:p>
    <w:p w14:paraId="5F8A3633" w14:textId="77777777" w:rsidR="00282646" w:rsidRPr="00282646" w:rsidRDefault="00282646" w:rsidP="00282646">
      <w:pPr>
        <w:pStyle w:val="Heading2"/>
        <w:rPr>
          <w:i/>
          <w:iCs w:val="0"/>
          <w:sz w:val="24"/>
          <w:szCs w:val="24"/>
        </w:rPr>
      </w:pPr>
      <w:r w:rsidRPr="00282646">
        <w:rPr>
          <w:i/>
          <w:iCs w:val="0"/>
          <w:sz w:val="24"/>
          <w:szCs w:val="24"/>
          <w:rtl/>
        </w:rPr>
        <w:lastRenderedPageBreak/>
        <w:t>ملخص المناقشات</w:t>
      </w:r>
    </w:p>
    <w:p w14:paraId="544E2AFA" w14:textId="22F14738" w:rsidR="00282646" w:rsidRDefault="00282646" w:rsidP="00282646">
      <w:pPr>
        <w:pStyle w:val="ONUMA"/>
        <w:numPr>
          <w:ilvl w:val="0"/>
          <w:numId w:val="31"/>
        </w:numPr>
        <w:tabs>
          <w:tab w:val="clear" w:pos="567"/>
        </w:tabs>
        <w:ind w:left="0" w:firstLine="0"/>
      </w:pPr>
      <w:r>
        <w:rPr>
          <w:rtl/>
        </w:rPr>
        <w:t>في هذه الدورة ال</w:t>
      </w:r>
      <w:r>
        <w:rPr>
          <w:rFonts w:hint="cs"/>
          <w:rtl/>
        </w:rPr>
        <w:t>ا</w:t>
      </w:r>
      <w:r>
        <w:rPr>
          <w:rtl/>
        </w:rPr>
        <w:t>فتتاحية من حوار الويبو لقيادات تكنولوجيا المعلومات والاتصالات (</w:t>
      </w:r>
      <w:r>
        <w:t>WILD</w:t>
      </w:r>
      <w:r>
        <w:rPr>
          <w:rtl/>
        </w:rPr>
        <w:t>)، اتيحت الفرصة لقيادات تكنولوجيا المعلومات والاتصالات من مكاتب أو منظمات الملكية الفكرية لاستكشاف مشهد تكنولوجيا المعلومات والاتصالات السريع التطور وتأثيره على استراتيجيات أعمال الملكية الفكرية وآليات تقديم الخدمات ذات الصلة.  وتبادلوا وجهات نظرهم حول الكيفية التي تُحدث بها تكنولوجيات تكنولوجيا المعلومات والاتصالات حالياً تحولاً في مشهد أعمال الملكية الفكرية، بما في ذلك التحديات والفرص الرئيسية للتكنولوجيات الناشئة.  وإضافة إلى ذلك، حدّدوا السُبل التي يمكن بها لمكاتب أو منظمات الملكية الفكرية تعزيز التعاون العالمي من خلال الشراكات المتعددة الأطراف في مجال تكنولوجيا المعلومات والاتصالات وتدعيم قابلية التشغيل المشترك بين أنظمة معلومات الملكية الفكرية.</w:t>
      </w:r>
    </w:p>
    <w:p w14:paraId="55D39A9A" w14:textId="269AF6DB" w:rsidR="00282646" w:rsidRDefault="00282646" w:rsidP="00282646">
      <w:pPr>
        <w:pStyle w:val="ONUMA"/>
        <w:numPr>
          <w:ilvl w:val="0"/>
          <w:numId w:val="31"/>
        </w:numPr>
        <w:tabs>
          <w:tab w:val="clear" w:pos="567"/>
        </w:tabs>
        <w:ind w:left="0" w:firstLine="0"/>
      </w:pPr>
      <w:r>
        <w:rPr>
          <w:rtl/>
        </w:rPr>
        <w:t xml:space="preserve">وتم تقديم 35 عرضاً ضمن 11 موضوعاً.  ويمكن الاطلاع على البرنامج وملف المتحدثين وجميع الوثائق المقدمة في الدورة الأولى في صفحة الاجتماع على: </w:t>
      </w:r>
      <w:hyperlink r:id="rId13" w:history="1">
        <w:r w:rsidRPr="00F07EFA">
          <w:rPr>
            <w:rStyle w:val="Hyperlink"/>
          </w:rPr>
          <w:t>https://www.wipo.int/meetings/ar/details.jsp?meeting_id=86271</w:t>
        </w:r>
      </w:hyperlink>
      <w:r>
        <w:rPr>
          <w:rFonts w:hint="cs"/>
          <w:rtl/>
        </w:rPr>
        <w:t xml:space="preserve">. </w:t>
      </w:r>
    </w:p>
    <w:p w14:paraId="31DEE15C" w14:textId="77777777" w:rsidR="00282646" w:rsidRPr="00282646" w:rsidRDefault="00282646" w:rsidP="00282646">
      <w:pPr>
        <w:pStyle w:val="Heading3"/>
        <w:rPr>
          <w:sz w:val="22"/>
          <w:szCs w:val="22"/>
        </w:rPr>
      </w:pPr>
      <w:r w:rsidRPr="00282646">
        <w:rPr>
          <w:sz w:val="22"/>
          <w:szCs w:val="22"/>
          <w:rtl/>
        </w:rPr>
        <w:t>اليوم الأول:  تمهيد الطريق للتحول الرقمي</w:t>
      </w:r>
    </w:p>
    <w:p w14:paraId="4E7850FA" w14:textId="77777777" w:rsidR="00282646" w:rsidRDefault="00282646" w:rsidP="00282646">
      <w:pPr>
        <w:pStyle w:val="ONUMA"/>
        <w:numPr>
          <w:ilvl w:val="0"/>
          <w:numId w:val="31"/>
        </w:numPr>
        <w:tabs>
          <w:tab w:val="clear" w:pos="567"/>
        </w:tabs>
        <w:ind w:left="0" w:firstLine="0"/>
      </w:pPr>
      <w:r>
        <w:rPr>
          <w:rtl/>
        </w:rPr>
        <w:t>في اليوم الأول، تناول 15 عرضاً تقديمياً أسس التحول الرقمي.  وناقش المندوبون الاستراتيجيات الرقمية، واتجاهات التكنولوجيا، وحوكمة البيانات، والمرونة السيبرانية، مؤكدين على الحاجة إلى مواءمة مبادرات تكنولوجيا المعلومات والاتصالات مع الأهداف المؤسسية.  وتراوحت التجارب بين نشر أدوات اتخاذ القرار بمساعدة الذكاء الاصطناعي مع أطر الحوكمة المسؤولة، واعتماد الحوسبة السحابية والحاويات، وموازنة ذلك بالتكلفة والمخاوف الأمنية.</w:t>
      </w:r>
    </w:p>
    <w:p w14:paraId="78C75664" w14:textId="77777777" w:rsidR="00282646" w:rsidRDefault="00282646" w:rsidP="00282646">
      <w:pPr>
        <w:pStyle w:val="ONUMA"/>
        <w:numPr>
          <w:ilvl w:val="0"/>
          <w:numId w:val="31"/>
        </w:numPr>
        <w:tabs>
          <w:tab w:val="clear" w:pos="567"/>
        </w:tabs>
        <w:ind w:left="0" w:firstLine="0"/>
      </w:pPr>
      <w:r>
        <w:rPr>
          <w:rtl/>
        </w:rPr>
        <w:t>وسلطت البلدان النامية الضوء على النهج الهجينة التي تجمع بين الحلول الجاهزة والتطوير الداخلي لتعزيز الكفاءة على الرغم من القيود المفروضة على الموارد.  وقد برز الأمن السيبراني بشكل بارز، مع التركيز على أطر عمل انعدام الثقة، وخطط الاستجابة للحوادث، وعمليات التدقيق المنتظمة.  وأكد المشاركون على أن التحول الرقمي رحلة مستمرة تتطلب المرونة والتخطيط والتعاون الدولي.</w:t>
      </w:r>
    </w:p>
    <w:p w14:paraId="124A36CA" w14:textId="77777777" w:rsidR="00282646" w:rsidRPr="00282646" w:rsidRDefault="00282646" w:rsidP="00282646">
      <w:pPr>
        <w:pStyle w:val="Heading3"/>
        <w:rPr>
          <w:sz w:val="22"/>
          <w:szCs w:val="22"/>
        </w:rPr>
      </w:pPr>
      <w:r w:rsidRPr="00282646">
        <w:rPr>
          <w:sz w:val="22"/>
          <w:szCs w:val="22"/>
          <w:rtl/>
        </w:rPr>
        <w:t>اليوم الثاني:  تسخير التكنولوجيات الناشئة للملكية الفكرية</w:t>
      </w:r>
    </w:p>
    <w:p w14:paraId="44248B9F" w14:textId="77777777" w:rsidR="00282646" w:rsidRDefault="00282646" w:rsidP="00282646">
      <w:pPr>
        <w:pStyle w:val="ONUMA"/>
        <w:numPr>
          <w:ilvl w:val="0"/>
          <w:numId w:val="31"/>
        </w:numPr>
        <w:tabs>
          <w:tab w:val="clear" w:pos="567"/>
        </w:tabs>
        <w:ind w:left="0" w:firstLine="0"/>
      </w:pPr>
      <w:r>
        <w:rPr>
          <w:rtl/>
        </w:rPr>
        <w:t>في اليوم الثاني، إلى جانب 12 عرضًا تقديميًا، استكشفت الدورة كيف تعمل التقنيات الناشئة مثل الذكاء الاصطناعي وسلسلة الكتل على إعادة تشكيل أنظمة الملكية الفكرية.  وثبت أن الذكاء الاصطناعي يحسن التصنيف والترجمة والبحث.  ومع ذلك، اتفق المشاركون على أن الفحص الموضوعي يبقى من اختصاص الخبراء البشريين.  ويتم تأطير الذكاء الاصطناعي باستمرار كأداة داعمة، مصممة لتعزيز الجودة والكفاءة بدلاً من إزاحة الموظفين.</w:t>
      </w:r>
    </w:p>
    <w:p w14:paraId="490D1AFE" w14:textId="77777777" w:rsidR="00282646" w:rsidRDefault="00282646" w:rsidP="00282646">
      <w:pPr>
        <w:pStyle w:val="ONUMA"/>
        <w:numPr>
          <w:ilvl w:val="0"/>
          <w:numId w:val="31"/>
        </w:numPr>
        <w:tabs>
          <w:tab w:val="clear" w:pos="567"/>
        </w:tabs>
        <w:ind w:left="0" w:firstLine="0"/>
      </w:pPr>
      <w:r>
        <w:rPr>
          <w:rtl/>
        </w:rPr>
        <w:t>وتم تقديم سلسلة الكتل كأداة لتعزيز الثقة والشفافية في إدارة الحقوق.  وتحدث المشاركون بصراحة عن التحديات، لا سيما ارتفاع التكاليف ونقص الموظفين المهرة ومشاكل إدارة التغيير.  وشملت استراتيجيات معالجة ذلك الاستفادة من الأدوات مفتوحة المصدر والتعاون مع الشركات الناشئة وتأمين التمويل الحكومي.</w:t>
      </w:r>
    </w:p>
    <w:p w14:paraId="16D16003" w14:textId="77777777" w:rsidR="00282646" w:rsidRDefault="00282646" w:rsidP="00282646">
      <w:pPr>
        <w:pStyle w:val="ONUMA"/>
        <w:numPr>
          <w:ilvl w:val="0"/>
          <w:numId w:val="31"/>
        </w:numPr>
        <w:tabs>
          <w:tab w:val="clear" w:pos="567"/>
        </w:tabs>
        <w:ind w:left="0" w:firstLine="0"/>
      </w:pPr>
      <w:r>
        <w:rPr>
          <w:rtl/>
        </w:rPr>
        <w:t>وأكد المشاركون على أهمية التعاون متعدد الوظائف الذي يشمل خبراء تكنولوجيا المعلومات والفاحصين والمهنيين القانونيين، بالإضافة إلى التطوير المستمر للمهارات.  وشددوا على الحاجة إلى ضمانات أخلاقية وتنظيمية واضحة للحفاظ على الثقة في العمليات التي تعتمد على الذكاء الاصطناعي.</w:t>
      </w:r>
    </w:p>
    <w:p w14:paraId="795D0F7B" w14:textId="77777777" w:rsidR="00282646" w:rsidRPr="00282646" w:rsidRDefault="00282646" w:rsidP="00282646">
      <w:pPr>
        <w:pStyle w:val="Heading3"/>
        <w:rPr>
          <w:sz w:val="22"/>
          <w:szCs w:val="22"/>
        </w:rPr>
      </w:pPr>
      <w:r w:rsidRPr="00282646">
        <w:rPr>
          <w:sz w:val="22"/>
          <w:szCs w:val="22"/>
          <w:rtl/>
        </w:rPr>
        <w:t>اليوم الثالث:  تعزيز التعاون العالمي والمواءمة الرقمية على المستوى العالمي</w:t>
      </w:r>
    </w:p>
    <w:p w14:paraId="0227CAF6" w14:textId="77777777" w:rsidR="00282646" w:rsidRDefault="00282646" w:rsidP="00282646">
      <w:pPr>
        <w:pStyle w:val="ONUMA"/>
        <w:numPr>
          <w:ilvl w:val="0"/>
          <w:numId w:val="31"/>
        </w:numPr>
        <w:tabs>
          <w:tab w:val="clear" w:pos="567"/>
        </w:tabs>
        <w:ind w:left="0" w:firstLine="0"/>
      </w:pPr>
      <w:r>
        <w:rPr>
          <w:rtl/>
        </w:rPr>
        <w:t>في اليوم الأخير، شدد المشاركون على أهمية التعاون العالمي لتطوير أنظمة معلومات الملكية الفكرية وتعزيز التحول الرقمي المستدام.  وركزت المناقشات على تحسين قابلية التشغيل البيني من خلال تطبيق معايير الويبو، وتيسير تبادل البيانات العالمية وسد الفجوة الرقمية.  وتمثل الهدف المشترك في إنشاء أطر عمل قابلة للتنفيذ تدعم التطوير الرقمي الفعال والمتسق والشامل عبر مكاتب الملكية الفكرية في جميع أنحاء العالم.</w:t>
      </w:r>
    </w:p>
    <w:p w14:paraId="4BA1FAC9" w14:textId="77777777" w:rsidR="00282646" w:rsidRDefault="00282646" w:rsidP="00282646">
      <w:pPr>
        <w:pStyle w:val="ONUMA"/>
        <w:numPr>
          <w:ilvl w:val="0"/>
          <w:numId w:val="31"/>
        </w:numPr>
        <w:tabs>
          <w:tab w:val="clear" w:pos="567"/>
        </w:tabs>
        <w:ind w:left="0" w:firstLine="0"/>
      </w:pPr>
      <w:r>
        <w:rPr>
          <w:rtl/>
        </w:rPr>
        <w:t>وسلط المتحدثون الضوء على العديد من مزايا تحقيق قابلية التشغيل البيني والمواءمة بين نظم معلومات الملكية الفكرية، مشيرين إلى التحسينات في كفاءة التكلفة وتجربة المستخدم وصنع القرار والإنتاجية.  وتقلل البنية التحتية الرقمية المنسقة من الازدواجية في جهود الصيانة، وتعزز التماسك التشغيلي، وتتيح اتخاذ قرارات قائمة على البيانات لتعزيز إدارة الملكية الفكرية.  ومع ذلك، أقرّ المشاركون أيضاً بالتحديات المستمرة، بما في ذلك محدودية الموارد المالية والبشرية، والأنظمة القديمة التي عفا عليها الزمن، والمتطلبات القانونية والأمنية المختلفة، والحاجة إلى إدارة التغيير الفعالة لمعالجة المقاومة التنظيمية للتحول.</w:t>
      </w:r>
    </w:p>
    <w:p w14:paraId="201ECC70" w14:textId="77777777" w:rsidR="00282646" w:rsidRDefault="00282646" w:rsidP="00282646">
      <w:pPr>
        <w:pStyle w:val="ONUMA"/>
        <w:numPr>
          <w:ilvl w:val="0"/>
          <w:numId w:val="31"/>
        </w:numPr>
        <w:tabs>
          <w:tab w:val="clear" w:pos="567"/>
        </w:tabs>
        <w:ind w:left="0" w:firstLine="0"/>
      </w:pPr>
      <w:r>
        <w:rPr>
          <w:rtl/>
        </w:rPr>
        <w:t>وللتغلب على هذه العقبات، اقترح المشاركون سياسات معززة لتبادل البيانات، وإنشاء منصة عالمية لتبادل البيانات واستراتيجيات مستهدفة لبناء القدرات.  ويشمل ذلك الاستثمار في البنية التحتية الرقمية على المستوى الوطني، وتعزيز التعاون الدولي من خلال الويبو والمكاتب الرائدة في مجال الملكية الفكرية، وتطوير الخبرات المحلية واعتماد حلول مفتوحة المصدر لتحقيق المرونة وخفض التكاليف.  وخلص الاجتماع إلى أن الجهود المشتركة لتحديث أنظمة الملكية الفكرية وتوحيدها ستحسن قابلية التشغيل البيني وجودة البيانات والتعاون العالمي؛ مما سيؤدي في النهاية إلى إنشاء نظام إيكولوجي أكثر كفاءة وتكاملاً للملكية الفكرية.</w:t>
      </w:r>
    </w:p>
    <w:p w14:paraId="58959FE1" w14:textId="77777777" w:rsidR="00282646" w:rsidRPr="00282646" w:rsidRDefault="00282646" w:rsidP="00282646">
      <w:pPr>
        <w:pStyle w:val="Heading2"/>
        <w:rPr>
          <w:i/>
          <w:iCs w:val="0"/>
          <w:sz w:val="24"/>
          <w:szCs w:val="24"/>
        </w:rPr>
      </w:pPr>
      <w:r w:rsidRPr="00282646">
        <w:rPr>
          <w:i/>
          <w:iCs w:val="0"/>
          <w:sz w:val="24"/>
          <w:szCs w:val="24"/>
          <w:rtl/>
        </w:rPr>
        <w:t>النتائج</w:t>
      </w:r>
    </w:p>
    <w:p w14:paraId="7F23679B" w14:textId="77777777" w:rsidR="00282646" w:rsidRDefault="00282646" w:rsidP="00282646">
      <w:pPr>
        <w:pStyle w:val="ONUMA"/>
        <w:numPr>
          <w:ilvl w:val="0"/>
          <w:numId w:val="31"/>
        </w:numPr>
        <w:tabs>
          <w:tab w:val="clear" w:pos="567"/>
        </w:tabs>
        <w:ind w:left="0" w:firstLine="0"/>
      </w:pPr>
      <w:r>
        <w:rPr>
          <w:rtl/>
        </w:rPr>
        <w:t>حدد المشاركون مجموعة من الخطوات التالية الملموسة، بما في ذلك إنشاء شبكة لكبار مسؤولي المعلومات/كبار مسؤولي التكنولوجيا لمكاتب الملكية الفكرية، وإطلاق مجموعة تركيز على أدوات الذكاء الاصطناعي وتنظيم مشاريع تعاونية لاختبار التقنيات الناشئة عملياً.</w:t>
      </w:r>
    </w:p>
    <w:p w14:paraId="0C4AA298" w14:textId="77777777" w:rsidR="00282646" w:rsidRDefault="00282646" w:rsidP="00282646">
      <w:pPr>
        <w:pStyle w:val="ONUMA"/>
        <w:numPr>
          <w:ilvl w:val="0"/>
          <w:numId w:val="31"/>
        </w:numPr>
        <w:tabs>
          <w:tab w:val="clear" w:pos="567"/>
        </w:tabs>
        <w:ind w:left="0" w:firstLine="0"/>
      </w:pPr>
      <w:r>
        <w:rPr>
          <w:rtl/>
        </w:rPr>
        <w:t>وطُلب من المكتب الدولي القيام بدور مركزي من خلال تعزيز وتنسيق التعاون الرقمي للحد من ازدواجية جهود تكنولوجيا المعلومات والاتصالات، ودعم التوفيق بين مكاتب الملكية الفكرية على أساس مستويات نضج تكنولوجيا المعلومات والاتصالات، وتوفير التوجيه الاستراتيجي بشأن التحول الرقمي وتقديم التدريب وحلقات العمل المستهدفة.</w:t>
      </w:r>
    </w:p>
    <w:p w14:paraId="264C494F" w14:textId="77777777" w:rsidR="00282646" w:rsidRDefault="00282646" w:rsidP="00282646">
      <w:pPr>
        <w:pStyle w:val="ONUMA"/>
        <w:numPr>
          <w:ilvl w:val="0"/>
          <w:numId w:val="31"/>
        </w:numPr>
        <w:tabs>
          <w:tab w:val="clear" w:pos="567"/>
        </w:tabs>
        <w:ind w:left="0" w:firstLine="0"/>
      </w:pPr>
      <w:r>
        <w:rPr>
          <w:rtl/>
        </w:rPr>
        <w:t>وبعد الدورة الأولى، تم إجراء استبيان بعد الاجتماع، وأكد الاستبيان الدعم القوي لاجتماع حوار الويبو لقيادات تكنولوجيا المعلومات والاتصالات (</w:t>
      </w:r>
      <w:r>
        <w:t>WILD</w:t>
      </w:r>
      <w:r>
        <w:rPr>
          <w:rtl/>
        </w:rPr>
        <w:t>).  وبالنظر إلى الردود على الاستبيان، قرر المكتب الدولي تنظيم الاجتماع سنوياً.  ومن المقرر عقد الدورة الثانية لحوار الويبو لقيادات تكنولوجيا المعلومات والاتصالات (</w:t>
      </w:r>
      <w:r>
        <w:t>WILD</w:t>
      </w:r>
      <w:r>
        <w:rPr>
          <w:rtl/>
        </w:rPr>
        <w:t>) في أبريل 2026 في مقر الويبو.</w:t>
      </w:r>
    </w:p>
    <w:p w14:paraId="57A515FE" w14:textId="77777777" w:rsidR="00282646" w:rsidRPr="00282646" w:rsidRDefault="00282646" w:rsidP="00282646">
      <w:pPr>
        <w:pStyle w:val="ONUMA"/>
        <w:numPr>
          <w:ilvl w:val="0"/>
          <w:numId w:val="31"/>
        </w:numPr>
        <w:tabs>
          <w:tab w:val="clear" w:pos="567"/>
        </w:tabs>
        <w:ind w:left="5530" w:firstLine="0"/>
        <w:rPr>
          <w:i/>
          <w:iCs/>
        </w:rPr>
      </w:pPr>
      <w:r w:rsidRPr="00282646">
        <w:rPr>
          <w:i/>
          <w:iCs/>
          <w:rtl/>
        </w:rPr>
        <w:t>إن لجنة المعايير مدعوة إلى الإحاطة علما بنتائج الدورة الأولى لحوار الويبو لقيادات تكنولوجيا المعلومات والاتصالات (</w:t>
      </w:r>
      <w:r w:rsidRPr="00282646">
        <w:rPr>
          <w:i/>
          <w:iCs/>
        </w:rPr>
        <w:t>WILD</w:t>
      </w:r>
      <w:r w:rsidRPr="00282646">
        <w:rPr>
          <w:i/>
          <w:iCs/>
          <w:rtl/>
        </w:rPr>
        <w:t>).</w:t>
      </w:r>
    </w:p>
    <w:p w14:paraId="1018C265" w14:textId="77777777" w:rsidR="00282646" w:rsidRDefault="00282646" w:rsidP="002043C2">
      <w:pPr>
        <w:pStyle w:val="Endofdocument-Annex"/>
        <w:rPr>
          <w:rtl/>
          <w:lang w:eastAsia="en-US"/>
        </w:rPr>
      </w:pPr>
    </w:p>
    <w:p w14:paraId="5893D429" w14:textId="6B0DEBB7" w:rsidR="00A410A9" w:rsidRPr="0095252A" w:rsidRDefault="0095252A" w:rsidP="002043C2">
      <w:pPr>
        <w:pStyle w:val="Endofdocument-Annex"/>
        <w:rPr>
          <w:lang w:eastAsia="en-US"/>
        </w:rPr>
      </w:pPr>
      <w:r w:rsidRPr="0095252A">
        <w:rPr>
          <w:rtl/>
          <w:lang w:eastAsia="en-US"/>
        </w:rPr>
        <w:t>[نهاية الوثيقة]</w:t>
      </w:r>
    </w:p>
    <w:sectPr w:rsidR="00A410A9" w:rsidRPr="0095252A" w:rsidSect="00CC3E2D">
      <w:headerReference w:type="default" r:id="rId14"/>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5BA33" w14:textId="77777777" w:rsidR="00C71358" w:rsidRDefault="00C71358">
      <w:r>
        <w:separator/>
      </w:r>
    </w:p>
  </w:endnote>
  <w:endnote w:type="continuationSeparator" w:id="0">
    <w:p w14:paraId="433D92A6" w14:textId="77777777" w:rsidR="00C71358" w:rsidRDefault="00C71358" w:rsidP="003B38C1">
      <w:r>
        <w:separator/>
      </w:r>
    </w:p>
    <w:p w14:paraId="2C2FCD10" w14:textId="77777777" w:rsidR="00C71358" w:rsidRPr="003B38C1" w:rsidRDefault="00C71358" w:rsidP="003B38C1">
      <w:pPr>
        <w:spacing w:after="60"/>
        <w:rPr>
          <w:sz w:val="17"/>
        </w:rPr>
      </w:pPr>
      <w:r>
        <w:rPr>
          <w:sz w:val="17"/>
        </w:rPr>
        <w:t>[Endnote continued from previous page]</w:t>
      </w:r>
    </w:p>
  </w:endnote>
  <w:endnote w:type="continuationNotice" w:id="1">
    <w:p w14:paraId="1E7B17EA" w14:textId="77777777" w:rsidR="00C71358" w:rsidRPr="003B38C1" w:rsidRDefault="00C7135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ont176">
    <w:altName w:val="Calibri"/>
    <w:panose1 w:val="00000000000000000000"/>
    <w:charset w:val="00"/>
    <w:family w:val="auto"/>
    <w:notTrueType/>
    <w:pitch w:val="default"/>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129C1" w14:textId="77777777" w:rsidR="00C71358" w:rsidRDefault="00C71358">
      <w:r>
        <w:separator/>
      </w:r>
    </w:p>
  </w:footnote>
  <w:footnote w:type="continuationSeparator" w:id="0">
    <w:p w14:paraId="00098CFB" w14:textId="77777777" w:rsidR="00C71358" w:rsidRDefault="00C71358" w:rsidP="008B60B2">
      <w:r>
        <w:separator/>
      </w:r>
    </w:p>
    <w:p w14:paraId="097233C8" w14:textId="77777777" w:rsidR="00C71358" w:rsidRPr="00ED77FB" w:rsidRDefault="00C71358" w:rsidP="008B60B2">
      <w:pPr>
        <w:spacing w:after="60"/>
        <w:rPr>
          <w:sz w:val="17"/>
          <w:szCs w:val="17"/>
        </w:rPr>
      </w:pPr>
      <w:r w:rsidRPr="00ED77FB">
        <w:rPr>
          <w:sz w:val="17"/>
          <w:szCs w:val="17"/>
        </w:rPr>
        <w:t>[Footnote continued from previous page]</w:t>
      </w:r>
    </w:p>
  </w:footnote>
  <w:footnote w:type="continuationNotice" w:id="1">
    <w:p w14:paraId="16AABBD6" w14:textId="77777777" w:rsidR="00C71358" w:rsidRPr="00ED77FB" w:rsidRDefault="00C71358"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17B90" w14:textId="34502CD0" w:rsidR="00D07C78" w:rsidRPr="002326AB" w:rsidRDefault="00FE5D75" w:rsidP="0095252A">
    <w:pPr>
      <w:bidi w:val="0"/>
      <w:rPr>
        <w:caps/>
      </w:rPr>
    </w:pPr>
    <w:r>
      <w:rPr>
        <w:caps/>
      </w:rPr>
      <w:t>CWS</w:t>
    </w:r>
    <w:r w:rsidR="00250149">
      <w:rPr>
        <w:caps/>
      </w:rPr>
      <w:t>/</w:t>
    </w:r>
    <w:r w:rsidR="00E15F75">
      <w:rPr>
        <w:caps/>
      </w:rPr>
      <w:t>1</w:t>
    </w:r>
    <w:r w:rsidR="003368CB">
      <w:rPr>
        <w:caps/>
      </w:rPr>
      <w:t>3</w:t>
    </w:r>
    <w:r w:rsidR="00250149">
      <w:rPr>
        <w:caps/>
      </w:rPr>
      <w:t>/</w:t>
    </w:r>
    <w:r w:rsidR="00282646">
      <w:rPr>
        <w:caps/>
      </w:rPr>
      <w:t>23</w:t>
    </w:r>
  </w:p>
  <w:p w14:paraId="000E3788" w14:textId="77777777" w:rsidR="00D07C78" w:rsidRDefault="00D07C78" w:rsidP="00210D5F">
    <w:pPr>
      <w:bidi w:val="0"/>
    </w:pPr>
    <w:r>
      <w:fldChar w:fldCharType="begin"/>
    </w:r>
    <w:r>
      <w:instrText xml:space="preserve"> PAGE  \* MERGEFORMAT </w:instrText>
    </w:r>
    <w:r>
      <w:fldChar w:fldCharType="separate"/>
    </w:r>
    <w:r w:rsidR="00A448AB">
      <w:rPr>
        <w:noProof/>
      </w:rPr>
      <w:t>3</w:t>
    </w:r>
    <w:r>
      <w:fldChar w:fldCharType="end"/>
    </w:r>
  </w:p>
  <w:p w14:paraId="3C750551" w14:textId="77777777" w:rsidR="00D07C78" w:rsidRDefault="00D07C78" w:rsidP="00210D5F">
    <w:pPr>
      <w:bidi w:val="0"/>
    </w:pPr>
  </w:p>
  <w:p w14:paraId="7059D502" w14:textId="77777777" w:rsidR="00D07C78" w:rsidRDefault="00D07C78" w:rsidP="00210D5F">
    <w:pP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C6650FB"/>
    <w:multiLevelType w:val="hybridMultilevel"/>
    <w:tmpl w:val="DA78CB7C"/>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830C02"/>
    <w:multiLevelType w:val="hybridMultilevel"/>
    <w:tmpl w:val="9A4619F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C8B3D68"/>
    <w:multiLevelType w:val="hybridMultilevel"/>
    <w:tmpl w:val="E04E90DC"/>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595AD9"/>
    <w:multiLevelType w:val="hybridMultilevel"/>
    <w:tmpl w:val="6E9A9A90"/>
    <w:lvl w:ilvl="0" w:tplc="5AAE2C2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E077CC9"/>
    <w:multiLevelType w:val="hybridMultilevel"/>
    <w:tmpl w:val="FDA2BEE6"/>
    <w:lvl w:ilvl="0" w:tplc="B5B69CE8">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EC735C3"/>
    <w:multiLevelType w:val="hybridMultilevel"/>
    <w:tmpl w:val="C220E612"/>
    <w:lvl w:ilvl="0" w:tplc="533824A8">
      <w:start w:val="1"/>
      <w:numFmt w:val="arabicAlpha"/>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3F90CFF"/>
    <w:multiLevelType w:val="hybridMultilevel"/>
    <w:tmpl w:val="8390AA42"/>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12" w15:restartNumberingAfterBreak="0">
    <w:nsid w:val="3F683FE3"/>
    <w:multiLevelType w:val="hybridMultilevel"/>
    <w:tmpl w:val="4EEE94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923AB3"/>
    <w:multiLevelType w:val="hybridMultilevel"/>
    <w:tmpl w:val="E786B1F8"/>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40A73FF"/>
    <w:multiLevelType w:val="hybridMultilevel"/>
    <w:tmpl w:val="6378755A"/>
    <w:lvl w:ilvl="0" w:tplc="9E20BBF6">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7DA3EAA"/>
    <w:multiLevelType w:val="hybridMultilevel"/>
    <w:tmpl w:val="30161D7C"/>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BB94212"/>
    <w:multiLevelType w:val="hybridMultilevel"/>
    <w:tmpl w:val="BD8C314A"/>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CDF5788"/>
    <w:multiLevelType w:val="hybridMultilevel"/>
    <w:tmpl w:val="3CA6FAFA"/>
    <w:lvl w:ilvl="0" w:tplc="669848F8">
      <w:start w:val="1"/>
      <w:numFmt w:val="arabicAlpha"/>
      <w:lvlText w:val="(%1)"/>
      <w:lvlJc w:val="left"/>
      <w:pPr>
        <w:ind w:left="1080" w:hanging="360"/>
      </w:pPr>
      <w:rPr>
        <w:rFonts w:hint="default"/>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FC50665"/>
    <w:multiLevelType w:val="hybridMultilevel"/>
    <w:tmpl w:val="FDA06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2B7CA7"/>
    <w:multiLevelType w:val="hybridMultilevel"/>
    <w:tmpl w:val="51AA3774"/>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820061B"/>
    <w:multiLevelType w:val="multilevel"/>
    <w:tmpl w:val="C292DEAA"/>
    <w:lvl w:ilvl="0">
      <w:start w:val="1"/>
      <w:numFmt w:val="decimal"/>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3" w15:restartNumberingAfterBreak="0">
    <w:nsid w:val="5FD25130"/>
    <w:multiLevelType w:val="hybridMultilevel"/>
    <w:tmpl w:val="91BC4724"/>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7487E3C"/>
    <w:multiLevelType w:val="multilevel"/>
    <w:tmpl w:val="A888FE3E"/>
    <w:lvl w:ilvl="0">
      <w:start w:val="1"/>
      <w:numFmt w:val="decimal"/>
      <w:lvlRestart w:val="0"/>
      <w:lvlText w:val="%1."/>
      <w:lvlJc w:val="left"/>
      <w:pPr>
        <w:tabs>
          <w:tab w:val="num" w:pos="567"/>
        </w:tabs>
        <w:ind w:left="576" w:hanging="576"/>
      </w:pPr>
      <w:rPr>
        <w:rFonts w:hint="default"/>
      </w:rPr>
    </w:lvl>
    <w:lvl w:ilvl="1">
      <w:start w:val="1"/>
      <w:numFmt w:val="arabicAbjad"/>
      <w:lvlText w:val="(%2)"/>
      <w:lvlJc w:val="left"/>
      <w:pPr>
        <w:ind w:left="936" w:hanging="360"/>
      </w:pPr>
      <w:rPr>
        <w:rFonts w:ascii="Calibri" w:hAnsi="Calibri" w:hint="default"/>
      </w:rPr>
    </w:lvl>
    <w:lvl w:ilvl="2">
      <w:start w:val="1"/>
      <w:numFmt w:val="none"/>
      <w:lvlText w:val="%3"/>
      <w:lvlJc w:val="left"/>
      <w:pPr>
        <w:tabs>
          <w:tab w:val="num" w:pos="1719"/>
        </w:tabs>
        <w:ind w:left="1728" w:hanging="576"/>
      </w:pPr>
      <w:rPr>
        <w:rFonts w:ascii="font176" w:hAnsi="font176" w:cs="Times New Roman" w:hint="default"/>
      </w:rPr>
    </w:lvl>
    <w:lvl w:ilvl="3">
      <w:start w:val="1"/>
      <w:numFmt w:val="bullet"/>
      <w:lvlText w:val=""/>
      <w:lvlJc w:val="left"/>
      <w:pPr>
        <w:tabs>
          <w:tab w:val="num" w:pos="2295"/>
        </w:tabs>
        <w:ind w:left="2304" w:hanging="576"/>
      </w:pPr>
      <w:rPr>
        <w:rFonts w:cs="Times New Roman" w:hint="default"/>
      </w:rPr>
    </w:lvl>
    <w:lvl w:ilvl="4">
      <w:start w:val="1"/>
      <w:numFmt w:val="bullet"/>
      <w:lvlText w:val=""/>
      <w:lvlJc w:val="left"/>
      <w:pPr>
        <w:tabs>
          <w:tab w:val="num" w:pos="2871"/>
        </w:tabs>
        <w:ind w:left="2880" w:hanging="576"/>
      </w:pPr>
      <w:rPr>
        <w:rFonts w:hint="default"/>
      </w:rPr>
    </w:lvl>
    <w:lvl w:ilvl="5">
      <w:start w:val="1"/>
      <w:numFmt w:val="bullet"/>
      <w:lvlText w:val=""/>
      <w:lvlJc w:val="left"/>
      <w:pPr>
        <w:tabs>
          <w:tab w:val="num" w:pos="3447"/>
        </w:tabs>
        <w:ind w:left="3456" w:hanging="576"/>
      </w:pPr>
      <w:rPr>
        <w:rFonts w:hint="default"/>
      </w:rPr>
    </w:lvl>
    <w:lvl w:ilvl="6">
      <w:start w:val="1"/>
      <w:numFmt w:val="bullet"/>
      <w:lvlText w:val=""/>
      <w:lvlJc w:val="left"/>
      <w:pPr>
        <w:tabs>
          <w:tab w:val="num" w:pos="4023"/>
        </w:tabs>
        <w:ind w:left="4032" w:hanging="576"/>
      </w:pPr>
      <w:rPr>
        <w:rFonts w:hint="default"/>
      </w:rPr>
    </w:lvl>
    <w:lvl w:ilvl="7">
      <w:start w:val="1"/>
      <w:numFmt w:val="bullet"/>
      <w:lvlText w:val=""/>
      <w:lvlJc w:val="left"/>
      <w:pPr>
        <w:tabs>
          <w:tab w:val="num" w:pos="4599"/>
        </w:tabs>
        <w:ind w:left="4608" w:hanging="576"/>
      </w:pPr>
      <w:rPr>
        <w:rFonts w:hint="default"/>
      </w:rPr>
    </w:lvl>
    <w:lvl w:ilvl="8">
      <w:start w:val="1"/>
      <w:numFmt w:val="bullet"/>
      <w:lvlText w:val=""/>
      <w:lvlJc w:val="left"/>
      <w:pPr>
        <w:tabs>
          <w:tab w:val="num" w:pos="5175"/>
        </w:tabs>
        <w:ind w:left="5184" w:hanging="576"/>
      </w:pPr>
      <w:rPr>
        <w:rFonts w:hint="default"/>
      </w:rPr>
    </w:lvl>
  </w:abstractNum>
  <w:abstractNum w:abstractNumId="25" w15:restartNumberingAfterBreak="0">
    <w:nsid w:val="68957AC6"/>
    <w:multiLevelType w:val="hybridMultilevel"/>
    <w:tmpl w:val="3CE444C6"/>
    <w:lvl w:ilvl="0" w:tplc="4CF825E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A92C3E"/>
    <w:multiLevelType w:val="hybridMultilevel"/>
    <w:tmpl w:val="766684B8"/>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0B10E47"/>
    <w:multiLevelType w:val="hybridMultilevel"/>
    <w:tmpl w:val="5DC4C026"/>
    <w:lvl w:ilvl="0" w:tplc="4FD074E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1940CA8"/>
    <w:multiLevelType w:val="hybridMultilevel"/>
    <w:tmpl w:val="CFF227A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84A0617"/>
    <w:multiLevelType w:val="hybridMultilevel"/>
    <w:tmpl w:val="7FA8F634"/>
    <w:lvl w:ilvl="0" w:tplc="9E20BBF6">
      <w:start w:val="1"/>
      <w:numFmt w:val="arabicAlpha"/>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A71F1D"/>
    <w:multiLevelType w:val="hybridMultilevel"/>
    <w:tmpl w:val="5DC4C026"/>
    <w:lvl w:ilvl="0" w:tplc="4FD074E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3126985">
    <w:abstractNumId w:val="4"/>
  </w:num>
  <w:num w:numId="2" w16cid:durableId="609046391">
    <w:abstractNumId w:val="15"/>
  </w:num>
  <w:num w:numId="3" w16cid:durableId="610935826">
    <w:abstractNumId w:val="0"/>
  </w:num>
  <w:num w:numId="4" w16cid:durableId="831139084">
    <w:abstractNumId w:val="18"/>
  </w:num>
  <w:num w:numId="5" w16cid:durableId="1808082453">
    <w:abstractNumId w:val="1"/>
  </w:num>
  <w:num w:numId="6" w16cid:durableId="2058821704">
    <w:abstractNumId w:val="7"/>
  </w:num>
  <w:num w:numId="7" w16cid:durableId="719669768">
    <w:abstractNumId w:val="22"/>
  </w:num>
  <w:num w:numId="8" w16cid:durableId="436217556">
    <w:abstractNumId w:val="11"/>
  </w:num>
  <w:num w:numId="9" w16cid:durableId="1591036600">
    <w:abstractNumId w:val="12"/>
  </w:num>
  <w:num w:numId="10" w16cid:durableId="1183013736">
    <w:abstractNumId w:val="16"/>
  </w:num>
  <w:num w:numId="11" w16cid:durableId="1208254078">
    <w:abstractNumId w:val="21"/>
  </w:num>
  <w:num w:numId="12" w16cid:durableId="1535313221">
    <w:abstractNumId w:val="17"/>
  </w:num>
  <w:num w:numId="13" w16cid:durableId="1775402230">
    <w:abstractNumId w:val="23"/>
  </w:num>
  <w:num w:numId="14" w16cid:durableId="605386166">
    <w:abstractNumId w:val="5"/>
  </w:num>
  <w:num w:numId="15" w16cid:durableId="913050154">
    <w:abstractNumId w:val="10"/>
  </w:num>
  <w:num w:numId="16" w16cid:durableId="1867328089">
    <w:abstractNumId w:val="2"/>
  </w:num>
  <w:num w:numId="17" w16cid:durableId="1880973570">
    <w:abstractNumId w:val="13"/>
  </w:num>
  <w:num w:numId="18" w16cid:durableId="1983188684">
    <w:abstractNumId w:val="19"/>
  </w:num>
  <w:num w:numId="19" w16cid:durableId="1285038826">
    <w:abstractNumId w:val="6"/>
  </w:num>
  <w:num w:numId="20" w16cid:durableId="398984857">
    <w:abstractNumId w:val="25"/>
  </w:num>
  <w:num w:numId="21" w16cid:durableId="855265340">
    <w:abstractNumId w:val="8"/>
  </w:num>
  <w:num w:numId="22" w16cid:durableId="1793552887">
    <w:abstractNumId w:val="26"/>
  </w:num>
  <w:num w:numId="23" w16cid:durableId="1644579125">
    <w:abstractNumId w:val="14"/>
  </w:num>
  <w:num w:numId="24" w16cid:durableId="1029574285">
    <w:abstractNumId w:val="20"/>
  </w:num>
  <w:num w:numId="25" w16cid:durableId="1259025004">
    <w:abstractNumId w:val="29"/>
  </w:num>
  <w:num w:numId="26" w16cid:durableId="1763722631">
    <w:abstractNumId w:val="3"/>
  </w:num>
  <w:num w:numId="27" w16cid:durableId="506360306">
    <w:abstractNumId w:val="9"/>
  </w:num>
  <w:num w:numId="28" w16cid:durableId="499587443">
    <w:abstractNumId w:val="27"/>
  </w:num>
  <w:num w:numId="29" w16cid:durableId="1784225043">
    <w:abstractNumId w:val="30"/>
  </w:num>
  <w:num w:numId="30" w16cid:durableId="780606270">
    <w:abstractNumId w:val="28"/>
  </w:num>
  <w:num w:numId="31" w16cid:durableId="106969605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064"/>
    <w:rsid w:val="00041A0A"/>
    <w:rsid w:val="00043CAA"/>
    <w:rsid w:val="00056816"/>
    <w:rsid w:val="000632C7"/>
    <w:rsid w:val="00075432"/>
    <w:rsid w:val="000907C2"/>
    <w:rsid w:val="000910E5"/>
    <w:rsid w:val="000968ED"/>
    <w:rsid w:val="000A3D97"/>
    <w:rsid w:val="000B5B36"/>
    <w:rsid w:val="000D3DAB"/>
    <w:rsid w:val="000D42A9"/>
    <w:rsid w:val="000E0064"/>
    <w:rsid w:val="000F5E56"/>
    <w:rsid w:val="001362EE"/>
    <w:rsid w:val="001406E1"/>
    <w:rsid w:val="00140F22"/>
    <w:rsid w:val="00155D8A"/>
    <w:rsid w:val="001647D5"/>
    <w:rsid w:val="00167832"/>
    <w:rsid w:val="00176FD1"/>
    <w:rsid w:val="001832A6"/>
    <w:rsid w:val="0019592A"/>
    <w:rsid w:val="001D4107"/>
    <w:rsid w:val="00203D24"/>
    <w:rsid w:val="002043C2"/>
    <w:rsid w:val="00210D5F"/>
    <w:rsid w:val="0021217E"/>
    <w:rsid w:val="00224BB0"/>
    <w:rsid w:val="002326AB"/>
    <w:rsid w:val="00243430"/>
    <w:rsid w:val="00250149"/>
    <w:rsid w:val="00262607"/>
    <w:rsid w:val="002634C4"/>
    <w:rsid w:val="00265354"/>
    <w:rsid w:val="00273181"/>
    <w:rsid w:val="00282646"/>
    <w:rsid w:val="002840CE"/>
    <w:rsid w:val="002879FE"/>
    <w:rsid w:val="002928D3"/>
    <w:rsid w:val="00294303"/>
    <w:rsid w:val="002A7B3A"/>
    <w:rsid w:val="002F1FE6"/>
    <w:rsid w:val="002F4E68"/>
    <w:rsid w:val="00303282"/>
    <w:rsid w:val="00312F7F"/>
    <w:rsid w:val="00321316"/>
    <w:rsid w:val="00321EB3"/>
    <w:rsid w:val="00327E12"/>
    <w:rsid w:val="003368CB"/>
    <w:rsid w:val="003452A8"/>
    <w:rsid w:val="00361450"/>
    <w:rsid w:val="003673CF"/>
    <w:rsid w:val="00376168"/>
    <w:rsid w:val="003845C1"/>
    <w:rsid w:val="003A6F89"/>
    <w:rsid w:val="003B355C"/>
    <w:rsid w:val="003B3581"/>
    <w:rsid w:val="003B38C1"/>
    <w:rsid w:val="003C17A1"/>
    <w:rsid w:val="003C34E9"/>
    <w:rsid w:val="003C53E4"/>
    <w:rsid w:val="003F20F4"/>
    <w:rsid w:val="00423E3E"/>
    <w:rsid w:val="00427AF4"/>
    <w:rsid w:val="00440684"/>
    <w:rsid w:val="004434C3"/>
    <w:rsid w:val="0045246E"/>
    <w:rsid w:val="00452F85"/>
    <w:rsid w:val="00461B51"/>
    <w:rsid w:val="004647DA"/>
    <w:rsid w:val="00474062"/>
    <w:rsid w:val="00477D6B"/>
    <w:rsid w:val="0048522D"/>
    <w:rsid w:val="004D29A8"/>
    <w:rsid w:val="004F1756"/>
    <w:rsid w:val="004F2DEB"/>
    <w:rsid w:val="005019FF"/>
    <w:rsid w:val="0050470A"/>
    <w:rsid w:val="0053057A"/>
    <w:rsid w:val="00556076"/>
    <w:rsid w:val="00560A29"/>
    <w:rsid w:val="005740C5"/>
    <w:rsid w:val="00591E8C"/>
    <w:rsid w:val="0059409E"/>
    <w:rsid w:val="005B2C79"/>
    <w:rsid w:val="005B453D"/>
    <w:rsid w:val="005B468F"/>
    <w:rsid w:val="005C5B64"/>
    <w:rsid w:val="005C6649"/>
    <w:rsid w:val="005E7B89"/>
    <w:rsid w:val="005F0828"/>
    <w:rsid w:val="00600D30"/>
    <w:rsid w:val="00605827"/>
    <w:rsid w:val="00613AB1"/>
    <w:rsid w:val="00646050"/>
    <w:rsid w:val="006713CA"/>
    <w:rsid w:val="00676C5C"/>
    <w:rsid w:val="006A516B"/>
    <w:rsid w:val="006B401D"/>
    <w:rsid w:val="006B5C12"/>
    <w:rsid w:val="006D27D2"/>
    <w:rsid w:val="006D3408"/>
    <w:rsid w:val="006D7AAB"/>
    <w:rsid w:val="006D7C7A"/>
    <w:rsid w:val="006F641A"/>
    <w:rsid w:val="0070778E"/>
    <w:rsid w:val="00720EFD"/>
    <w:rsid w:val="00750C1A"/>
    <w:rsid w:val="007854AF"/>
    <w:rsid w:val="0079149A"/>
    <w:rsid w:val="00793A7C"/>
    <w:rsid w:val="007969D1"/>
    <w:rsid w:val="007A0E2A"/>
    <w:rsid w:val="007A398A"/>
    <w:rsid w:val="007A6659"/>
    <w:rsid w:val="007C4902"/>
    <w:rsid w:val="007D1613"/>
    <w:rsid w:val="007E4889"/>
    <w:rsid w:val="007E4C0E"/>
    <w:rsid w:val="00820911"/>
    <w:rsid w:val="008243C0"/>
    <w:rsid w:val="00881F2D"/>
    <w:rsid w:val="008A134B"/>
    <w:rsid w:val="008A5C4D"/>
    <w:rsid w:val="008B2CC1"/>
    <w:rsid w:val="008B60B2"/>
    <w:rsid w:val="008D1B10"/>
    <w:rsid w:val="008F1C96"/>
    <w:rsid w:val="0090731E"/>
    <w:rsid w:val="00916EE2"/>
    <w:rsid w:val="0093527D"/>
    <w:rsid w:val="0094554E"/>
    <w:rsid w:val="00947238"/>
    <w:rsid w:val="009476FE"/>
    <w:rsid w:val="0095252A"/>
    <w:rsid w:val="00966A22"/>
    <w:rsid w:val="0096722F"/>
    <w:rsid w:val="00980843"/>
    <w:rsid w:val="0099406E"/>
    <w:rsid w:val="009B0855"/>
    <w:rsid w:val="009B48A1"/>
    <w:rsid w:val="009B51CF"/>
    <w:rsid w:val="009E1721"/>
    <w:rsid w:val="009E2791"/>
    <w:rsid w:val="009E3F6F"/>
    <w:rsid w:val="009F499F"/>
    <w:rsid w:val="00A33241"/>
    <w:rsid w:val="00A37342"/>
    <w:rsid w:val="00A410A9"/>
    <w:rsid w:val="00A42DAF"/>
    <w:rsid w:val="00A448AB"/>
    <w:rsid w:val="00A45BD8"/>
    <w:rsid w:val="00A869B7"/>
    <w:rsid w:val="00A90F0A"/>
    <w:rsid w:val="00AA589B"/>
    <w:rsid w:val="00AC205C"/>
    <w:rsid w:val="00AC20E9"/>
    <w:rsid w:val="00AD30FC"/>
    <w:rsid w:val="00AD5F3C"/>
    <w:rsid w:val="00AF0A6B"/>
    <w:rsid w:val="00B05A69"/>
    <w:rsid w:val="00B17F72"/>
    <w:rsid w:val="00B26A4F"/>
    <w:rsid w:val="00B42CA9"/>
    <w:rsid w:val="00B51FF7"/>
    <w:rsid w:val="00B75281"/>
    <w:rsid w:val="00B86A18"/>
    <w:rsid w:val="00B92F1F"/>
    <w:rsid w:val="00B953D5"/>
    <w:rsid w:val="00B95FF4"/>
    <w:rsid w:val="00B9734B"/>
    <w:rsid w:val="00BA30E2"/>
    <w:rsid w:val="00BB781F"/>
    <w:rsid w:val="00BC6536"/>
    <w:rsid w:val="00C11BFE"/>
    <w:rsid w:val="00C3436A"/>
    <w:rsid w:val="00C40F61"/>
    <w:rsid w:val="00C5068F"/>
    <w:rsid w:val="00C60E4B"/>
    <w:rsid w:val="00C71358"/>
    <w:rsid w:val="00C73194"/>
    <w:rsid w:val="00C86D74"/>
    <w:rsid w:val="00C91553"/>
    <w:rsid w:val="00C925E7"/>
    <w:rsid w:val="00CB3DBA"/>
    <w:rsid w:val="00CC3E2D"/>
    <w:rsid w:val="00CD04F1"/>
    <w:rsid w:val="00CE19F8"/>
    <w:rsid w:val="00CF681A"/>
    <w:rsid w:val="00CF7FE1"/>
    <w:rsid w:val="00D07C78"/>
    <w:rsid w:val="00D17660"/>
    <w:rsid w:val="00D32D75"/>
    <w:rsid w:val="00D45252"/>
    <w:rsid w:val="00D512F3"/>
    <w:rsid w:val="00D60B2C"/>
    <w:rsid w:val="00D67EAE"/>
    <w:rsid w:val="00D71B4D"/>
    <w:rsid w:val="00D90B96"/>
    <w:rsid w:val="00D93D55"/>
    <w:rsid w:val="00DC17E3"/>
    <w:rsid w:val="00DC32F5"/>
    <w:rsid w:val="00DD7B7F"/>
    <w:rsid w:val="00DF49A8"/>
    <w:rsid w:val="00E15015"/>
    <w:rsid w:val="00E15F75"/>
    <w:rsid w:val="00E17738"/>
    <w:rsid w:val="00E23ECB"/>
    <w:rsid w:val="00E319DF"/>
    <w:rsid w:val="00E335FE"/>
    <w:rsid w:val="00E66CC5"/>
    <w:rsid w:val="00E91C3A"/>
    <w:rsid w:val="00EA2B00"/>
    <w:rsid w:val="00EA7D6E"/>
    <w:rsid w:val="00EB2F76"/>
    <w:rsid w:val="00EC4E49"/>
    <w:rsid w:val="00ED5F52"/>
    <w:rsid w:val="00ED6EB7"/>
    <w:rsid w:val="00ED77FB"/>
    <w:rsid w:val="00EE307E"/>
    <w:rsid w:val="00EE45FA"/>
    <w:rsid w:val="00F043DE"/>
    <w:rsid w:val="00F10E7C"/>
    <w:rsid w:val="00F1217E"/>
    <w:rsid w:val="00F248CE"/>
    <w:rsid w:val="00F66152"/>
    <w:rsid w:val="00F76CB4"/>
    <w:rsid w:val="00F90C07"/>
    <w:rsid w:val="00F9165B"/>
    <w:rsid w:val="00FA17DA"/>
    <w:rsid w:val="00FA6CAF"/>
    <w:rsid w:val="00FC482F"/>
    <w:rsid w:val="00FD0B86"/>
    <w:rsid w:val="00FE5D75"/>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7CA01B"/>
  <w15:docId w15:val="{38441923-8A02-443B-8DCC-03A0684FA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641A"/>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rPr>
      <w:rFonts w:eastAsia="Times New Roman"/>
      <w:lang w:eastAsia="en-US"/>
    </w:rPr>
  </w:style>
  <w:style w:type="character" w:customStyle="1" w:styleId="BodyTextChar">
    <w:name w:val="Body Text Char"/>
    <w:basedOn w:val="DefaultParagraphFont"/>
    <w:link w:val="BodyText"/>
    <w:rsid w:val="004D29A8"/>
    <w:rPr>
      <w:rFonts w:ascii="Arial" w:eastAsia="SimSun" w:hAnsi="Arial" w:cs="Calibri"/>
      <w:sz w:val="22"/>
      <w:szCs w:val="22"/>
      <w:lang w:val="en-US" w:eastAsia="zh-CN"/>
    </w:rPr>
  </w:style>
  <w:style w:type="paragraph" w:styleId="ListParagraph">
    <w:name w:val="List Paragraph"/>
    <w:basedOn w:val="Normal"/>
    <w:uiPriority w:val="34"/>
    <w:qFormat/>
    <w:rsid w:val="0079149A"/>
    <w:pPr>
      <w:ind w:left="720"/>
      <w:contextualSpacing/>
    </w:pPr>
  </w:style>
  <w:style w:type="character" w:styleId="Hyperlink">
    <w:name w:val="Hyperlink"/>
    <w:basedOn w:val="DefaultParagraphFont"/>
    <w:unhideWhenUsed/>
    <w:rsid w:val="00282646"/>
    <w:rPr>
      <w:color w:val="0000FF" w:themeColor="hyperlink"/>
      <w:u w:val="single"/>
    </w:rPr>
  </w:style>
  <w:style w:type="character" w:styleId="UnresolvedMention">
    <w:name w:val="Unresolved Mention"/>
    <w:basedOn w:val="DefaultParagraphFont"/>
    <w:uiPriority w:val="99"/>
    <w:semiHidden/>
    <w:unhideWhenUsed/>
    <w:rsid w:val="002826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ipo.int/meetings/ar/details.jsp?meeting_id=8627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meetings/ar/details.jsp?meeting_id=8627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mad\Downloads\CWS_13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6201F-B55F-47A9-A7F9-C92F372A7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CWS_13_AR.dotx</Template>
  <TotalTime>1</TotalTime>
  <Pages>3</Pages>
  <Words>1114</Words>
  <Characters>6353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CWS/13/23 (Arabic) </vt:lpstr>
    </vt:vector>
  </TitlesOfParts>
  <Company>WIPO</Company>
  <LinksUpToDate>false</LinksUpToDate>
  <CharactersWithSpaces>7453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CWS/13/23 (Arabic) </dc:title>
  <dc:subject>نتائج الدورة الأولى لحوار الويبو لقيادات تكنولوجيا المعلومات والاتصالات (WILD)</dc:subject>
  <dc:creator>WIPO</dc:creator>
  <cp:keywords>WIPO CWS Thirteenth Session, Results, first session, WIPO ICT Leadership Dialogue, WILD</cp:keywords>
  <cp:lastModifiedBy>EMMETT Claudia</cp:lastModifiedBy>
  <cp:revision>7</cp:revision>
  <cp:lastPrinted>2025-10-21T15:03:00Z</cp:lastPrinted>
  <dcterms:created xsi:type="dcterms:W3CDTF">2025-10-21T15:03:00Z</dcterms:created>
  <dcterms:modified xsi:type="dcterms:W3CDTF">2025-10-29T08:24:00Z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fb579b81-4821-48d9-a92c-679b3f27fe89</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2025-06-12T15:25:33Z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140cc1b5-2a44-45b6-8df9-18edf8a136fe</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