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C68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BDA18FE" wp14:editId="48FD777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D9AC5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5DC4C91" w14:textId="4CB09966"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9279AE">
        <w:rPr>
          <w:rFonts w:ascii="Arial Black" w:hAnsi="Arial Black"/>
          <w:caps/>
          <w:sz w:val="15"/>
          <w:szCs w:val="15"/>
        </w:rPr>
        <w:t>21</w:t>
      </w:r>
    </w:p>
    <w:p w14:paraId="7F7230BC" w14:textId="6516D665"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279AE">
        <w:rPr>
          <w:rFonts w:asciiTheme="minorHAnsi" w:hAnsiTheme="minorHAnsi" w:cstheme="minorHAnsi" w:hint="cs"/>
          <w:b/>
          <w:bCs/>
          <w:caps/>
          <w:sz w:val="15"/>
          <w:szCs w:val="15"/>
          <w:rtl/>
        </w:rPr>
        <w:t>بالإنكليزية</w:t>
      </w:r>
    </w:p>
    <w:p w14:paraId="5AC4A93C" w14:textId="7944A1A2"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AE2432">
        <w:rPr>
          <w:rFonts w:asciiTheme="minorHAnsi" w:hAnsiTheme="minorHAnsi" w:cstheme="minorHAnsi" w:hint="cs"/>
          <w:b/>
          <w:bCs/>
          <w:caps/>
          <w:sz w:val="15"/>
          <w:szCs w:val="15"/>
          <w:rtl/>
        </w:rPr>
        <w:t>25 سبتمبر 2025</w:t>
      </w:r>
    </w:p>
    <w:bookmarkEnd w:id="2"/>
    <w:p w14:paraId="459D5643"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40031EA8"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52BBF676"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0FEAE822" w14:textId="56F9570C" w:rsidR="008B2CC1" w:rsidRPr="00262607" w:rsidRDefault="00D705CB" w:rsidP="00262607">
      <w:pPr>
        <w:spacing w:after="360"/>
        <w:outlineLvl w:val="0"/>
        <w:rPr>
          <w:rFonts w:asciiTheme="minorHAnsi" w:hAnsiTheme="minorHAnsi" w:cstheme="minorHAnsi"/>
          <w:caps/>
          <w:sz w:val="24"/>
          <w:szCs w:val="24"/>
        </w:rPr>
      </w:pPr>
      <w:bookmarkStart w:id="3" w:name="TitleOfDoc"/>
      <w:r>
        <w:rPr>
          <w:rFonts w:hint="cs"/>
          <w:caps/>
          <w:sz w:val="24"/>
          <w:szCs w:val="24"/>
          <w:rtl/>
        </w:rPr>
        <w:t>تقرير المكتب الدولي بشأن تقديم المشورة والمساعدة التقنيتين من أجل تكوين كفاءات مكاتب الملكية الصناعية في إطار ولاية لجنة المعايير</w:t>
      </w:r>
    </w:p>
    <w:bookmarkEnd w:id="3"/>
    <w:p w14:paraId="41D81CF8" w14:textId="6070E55E" w:rsidR="007969D1" w:rsidRPr="00D32D75" w:rsidRDefault="00D705CB" w:rsidP="00D32D75">
      <w:pPr>
        <w:pStyle w:val="BodyText"/>
        <w:spacing w:after="720"/>
        <w:rPr>
          <w:i/>
          <w:iCs/>
          <w:rtl/>
        </w:rPr>
      </w:pPr>
      <w:r w:rsidRPr="00D705CB">
        <w:rPr>
          <w:i/>
          <w:iCs/>
          <w:rtl/>
        </w:rPr>
        <w:t>وثيقة من إعداد الأمانة</w:t>
      </w:r>
    </w:p>
    <w:p w14:paraId="588F2A19" w14:textId="77777777" w:rsidR="00D705CB" w:rsidRPr="00D705CB" w:rsidRDefault="00D705CB" w:rsidP="002576F1">
      <w:pPr>
        <w:pStyle w:val="Heading2"/>
        <w:rPr>
          <w:rtl/>
        </w:rPr>
      </w:pPr>
      <w:r w:rsidRPr="002576F1">
        <w:rPr>
          <w:rFonts w:hint="cs"/>
          <w:rtl/>
        </w:rPr>
        <w:t>مقدمة</w:t>
      </w:r>
    </w:p>
    <w:p w14:paraId="074EE890" w14:textId="526D1EEA" w:rsidR="00D705CB" w:rsidRPr="00D705CB" w:rsidRDefault="00D705CB" w:rsidP="002576F1">
      <w:pPr>
        <w:pStyle w:val="ONUMA"/>
        <w:rPr>
          <w:color w:val="000000"/>
          <w:rtl/>
        </w:rPr>
      </w:pPr>
      <w:r w:rsidRPr="00D705CB">
        <w:rPr>
          <w:rFonts w:hint="cs"/>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ومفصلة عن الأنشطة المنفذة في عام 2024 التي سعى من خلالها المكتب الدولي أو الأمانة إلى "إسداء المشورة وتقديم المساعدة التقنيتين لتكوين الكفاءات لفائدة مكاتب الملكية الصناعية من خلال إنجاز مشاريع تتعلق بتعميم المعلومات عن معايير الملكية الصناعية" (انظر(ي) الفقرة 190 من الوثيقة </w:t>
      </w:r>
      <w:r w:rsidRPr="00D705CB">
        <w:t>WO/GA/40/19</w:t>
      </w:r>
      <w:r w:rsidRPr="00D705CB">
        <w:rPr>
          <w:rFonts w:hint="cs"/>
          <w:rtl/>
        </w:rPr>
        <w:t>)</w:t>
      </w:r>
      <w:r w:rsidR="00E05DA6">
        <w:rPr>
          <w:rFonts w:hint="cs"/>
          <w:rtl/>
        </w:rPr>
        <w:t xml:space="preserve">. </w:t>
      </w:r>
      <w:r w:rsidRPr="00D705CB">
        <w:rPr>
          <w:rFonts w:hint="cs"/>
          <w:rtl/>
        </w:rPr>
        <w:t>ويمكن الاطلاع على المزيد من المعلومات عن أنشطة المساعدة التقنية التي تنفذها المنظمة في قاعدة بيانات المساعدة التقنية (</w:t>
      </w:r>
      <w:hyperlink r:id="rId12" w:history="1">
        <w:r w:rsidRPr="00D705CB">
          <w:rPr>
            <w:color w:val="0000FF"/>
            <w:u w:val="single"/>
          </w:rPr>
          <w:t>www.wipo.int/tad</w:t>
        </w:r>
      </w:hyperlink>
      <w:r>
        <w:rPr>
          <w:rFonts w:hint="cs"/>
          <w:rtl/>
        </w:rPr>
        <w:t>)</w:t>
      </w:r>
      <w:r w:rsidR="007C172B">
        <w:rPr>
          <w:rFonts w:hint="cs"/>
          <w:rtl/>
        </w:rPr>
        <w:t>.</w:t>
      </w:r>
    </w:p>
    <w:p w14:paraId="793C89DE" w14:textId="77777777" w:rsidR="00D705CB" w:rsidRPr="00D705CB" w:rsidRDefault="00D705CB" w:rsidP="002576F1">
      <w:pPr>
        <w:pStyle w:val="ONUMA"/>
        <w:rPr>
          <w:rtl/>
        </w:rPr>
      </w:pPr>
      <w:r w:rsidRPr="00D705CB">
        <w:rPr>
          <w:rFonts w:hint="cs"/>
          <w:rtl/>
        </w:rPr>
        <w:t xml:space="preserve">ولما كانت معايير الويبو تُنفَّذ في مختلف أنظمة المعلومات والأدوات البرمجية للويبو، من قبيل حزمة </w:t>
      </w:r>
      <w:r w:rsidRPr="00D705CB">
        <w:t>WIPO Sequence</w:t>
      </w:r>
      <w:r w:rsidRPr="00D705CB">
        <w:rPr>
          <w:rFonts w:hint="cs"/>
          <w:rtl/>
        </w:rPr>
        <w:t xml:space="preserve"> وحلول الويبو للأعمال لمكاتب الملكية الصناعية، فإن الأنشطة التالية تغطي أيضاً ضمنياً تعميم المعلومات الوجيهة عن معايير الملكية الفكرية.</w:t>
      </w:r>
    </w:p>
    <w:p w14:paraId="6C6A2FF3" w14:textId="77777777" w:rsidR="002576F1" w:rsidRPr="00423D92" w:rsidRDefault="002576F1" w:rsidP="002576F1">
      <w:pPr>
        <w:pStyle w:val="Heading2"/>
        <w:rPr>
          <w:rtl/>
        </w:rPr>
      </w:pPr>
      <w:r w:rsidRPr="00423D92">
        <w:rPr>
          <w:rtl/>
        </w:rPr>
        <w:t>التدريب والمشورة التقنية بشأن استخدام معايير الويبو</w:t>
      </w:r>
    </w:p>
    <w:p w14:paraId="40BE7D1B" w14:textId="77777777" w:rsidR="002576F1" w:rsidRPr="00423D92" w:rsidRDefault="002576F1" w:rsidP="002576F1">
      <w:pPr>
        <w:pStyle w:val="ONUMA"/>
        <w:rPr>
          <w:rtl/>
        </w:rPr>
      </w:pPr>
      <w:r w:rsidRPr="00423D92">
        <w:rPr>
          <w:rtl/>
        </w:rPr>
        <w:t xml:space="preserve">في عام 2024، قدم المكتب الدولي مشورة تقنية لمساعدة مكاتب الملكية الصناعية والمستخدمين على استخدام معايير الويبو من خلال رسائل البريد الإلكتروني والمؤتمرات عبر الإنترنت، بما في ذلك تنفيذ معياري الويبو </w:t>
      </w:r>
      <w:r w:rsidRPr="00423D92">
        <w:t>ST.26</w:t>
      </w:r>
      <w:r w:rsidRPr="00423D92">
        <w:rPr>
          <w:rtl/>
        </w:rPr>
        <w:t xml:space="preserve"> و</w:t>
      </w:r>
      <w:r w:rsidRPr="00423D92">
        <w:t>ST.96</w:t>
      </w:r>
      <w:r w:rsidRPr="00423D92">
        <w:rPr>
          <w:rtl/>
        </w:rPr>
        <w:t xml:space="preserve">وإنتاج ملفات الإدارة المتوافقة مع معيار الويبو </w:t>
      </w:r>
      <w:r w:rsidRPr="00423D92">
        <w:t>ST.37</w:t>
      </w:r>
      <w:r w:rsidRPr="00423D92">
        <w:rPr>
          <w:rtl/>
        </w:rPr>
        <w:t>.</w:t>
      </w:r>
    </w:p>
    <w:p w14:paraId="66D24A26" w14:textId="44919D93" w:rsidR="002576F1" w:rsidRPr="00423D92" w:rsidRDefault="002576F1" w:rsidP="002576F1">
      <w:pPr>
        <w:pStyle w:val="ONUMA"/>
        <w:rPr>
          <w:rtl/>
        </w:rPr>
      </w:pPr>
      <w:r w:rsidRPr="00423D92">
        <w:rPr>
          <w:rtl/>
        </w:rPr>
        <w:t>وفي أعقاب إثبات صحة المفهوم في العام الماضي فيما يخص الإفصاح التقني العام عن بيانات تسلسل الأصناف النباتية، أطلق المكتب الدولي فرقة مهام جديدة لمواصلة التحقيق في إضافة هذه البيانات إلى قاعدة بيانات ركن البراءات، وتوسيع نطاقها</w:t>
      </w:r>
      <w:r w:rsidR="00E05DA6">
        <w:rPr>
          <w:rtl/>
        </w:rPr>
        <w:t xml:space="preserve">. </w:t>
      </w:r>
      <w:r w:rsidRPr="00423D92">
        <w:rPr>
          <w:rtl/>
        </w:rPr>
        <w:t>وعقدت الوكالة الوطنية الإندونيسية للبحث والابتكار (</w:t>
      </w:r>
      <w:r w:rsidRPr="00423D92">
        <w:t>BRIN</w:t>
      </w:r>
      <w:r w:rsidRPr="00423D92">
        <w:rPr>
          <w:rtl/>
        </w:rPr>
        <w:t>) شراكة مع المكتب الدولي، من خلال أكاديمية الويبو، من أجل توفير تسلسلات جينومية للأصناف النباتية الشائعة</w:t>
      </w:r>
      <w:r w:rsidR="00E05DA6">
        <w:rPr>
          <w:rtl/>
        </w:rPr>
        <w:t xml:space="preserve">. </w:t>
      </w:r>
      <w:r w:rsidRPr="00423D92">
        <w:rPr>
          <w:rtl/>
        </w:rPr>
        <w:t xml:space="preserve">ونظراً إلى أنه كان من المقرر تحويل بيانات التسلسل إلى نسق معيار الويبو </w:t>
      </w:r>
      <w:r w:rsidRPr="00423D92">
        <w:t>ST.26</w:t>
      </w:r>
      <w:r w:rsidRPr="00423D92">
        <w:rPr>
          <w:rtl/>
        </w:rPr>
        <w:t xml:space="preserve">، فقد تم توفير التدريب للوكالة على كلٍ من معيار الويبو </w:t>
      </w:r>
      <w:r w:rsidRPr="00423D92">
        <w:t>ST.26</w:t>
      </w:r>
      <w:r w:rsidRPr="00423D92">
        <w:rPr>
          <w:rtl/>
        </w:rPr>
        <w:t xml:space="preserve"> وحزمة </w:t>
      </w:r>
      <w:r w:rsidRPr="00423D92">
        <w:t>WIPO Sequence</w:t>
      </w:r>
      <w:r w:rsidR="00E05DA6">
        <w:rPr>
          <w:rtl/>
        </w:rPr>
        <w:t xml:space="preserve">. </w:t>
      </w:r>
    </w:p>
    <w:p w14:paraId="2C738FBD" w14:textId="107ED23E" w:rsidR="002576F1" w:rsidRPr="00423D92" w:rsidRDefault="002576F1" w:rsidP="002576F1">
      <w:pPr>
        <w:pStyle w:val="ONUMA"/>
        <w:rPr>
          <w:rtl/>
        </w:rPr>
      </w:pPr>
      <w:r w:rsidRPr="00423D92">
        <w:rPr>
          <w:rtl/>
        </w:rPr>
        <w:lastRenderedPageBreak/>
        <w:t xml:space="preserve">واستجابةً إلى التعليقات الواردة من مكاتب الملكية الصناعية والمستخدمين على حد سواء، أطلق المكتب الدولي مشروعاً جديداً لتطوير حزمة </w:t>
      </w:r>
      <w:r w:rsidRPr="00423D92">
        <w:t>WIPO Sequence</w:t>
      </w:r>
      <w:r w:rsidRPr="00423D92">
        <w:rPr>
          <w:rtl/>
        </w:rPr>
        <w:t xml:space="preserve"> جديدة تركز على تحسين أداء التحقق من نسق </w:t>
      </w:r>
      <w:r w:rsidRPr="00423D92">
        <w:t>XML</w:t>
      </w:r>
      <w:r w:rsidRPr="00423D92">
        <w:rPr>
          <w:rtl/>
        </w:rPr>
        <w:t xml:space="preserve"> وتوليده</w:t>
      </w:r>
      <w:r w:rsidR="00E05DA6">
        <w:rPr>
          <w:rtl/>
        </w:rPr>
        <w:t xml:space="preserve">. </w:t>
      </w:r>
      <w:r w:rsidRPr="00423D92">
        <w:rPr>
          <w:rtl/>
        </w:rPr>
        <w:t xml:space="preserve">ولتحقيق هذا الهدف، تم تنفيذ مجموعة تكنولوجية محدثة لكل من أداة </w:t>
      </w:r>
      <w:r w:rsidRPr="00423D92">
        <w:t>WIPO Sequence</w:t>
      </w:r>
      <w:r w:rsidRPr="00423D92">
        <w:rPr>
          <w:rtl/>
        </w:rPr>
        <w:t xml:space="preserve"> وأداة </w:t>
      </w:r>
      <w:r w:rsidRPr="00423D92">
        <w:t>WIPO Sequence Validator</w:t>
      </w:r>
      <w:r w:rsidR="00E05DA6">
        <w:rPr>
          <w:rtl/>
        </w:rPr>
        <w:t xml:space="preserve">. </w:t>
      </w:r>
      <w:r w:rsidRPr="00423D92">
        <w:rPr>
          <w:rtl/>
        </w:rPr>
        <w:t>وتطلّب هذا الإصلاح الشامل لكلا المكونين اختباراً مكثفاً للتأكد من أن التنفيذ مكافئ وظيفياً للإصدار 2.3.0</w:t>
      </w:r>
      <w:r w:rsidR="00E05DA6">
        <w:rPr>
          <w:rtl/>
        </w:rPr>
        <w:t xml:space="preserve">. </w:t>
      </w:r>
      <w:r w:rsidRPr="00423D92">
        <w:rPr>
          <w:rtl/>
        </w:rPr>
        <w:t xml:space="preserve">  وأطلق المكتب الدولي النسخة الجديدة من أداة </w:t>
      </w:r>
      <w:r w:rsidRPr="00423D92">
        <w:t>WIPO Sequence Validator</w:t>
      </w:r>
      <w:r w:rsidRPr="00423D92">
        <w:rPr>
          <w:rtl/>
        </w:rPr>
        <w:t>، الإصدار 3.0.0، في الربع الثالث من عام 2024</w:t>
      </w:r>
      <w:r w:rsidR="00E05DA6">
        <w:rPr>
          <w:rtl/>
        </w:rPr>
        <w:t xml:space="preserve">. </w:t>
      </w:r>
      <w:r w:rsidRPr="00423D92">
        <w:rPr>
          <w:rtl/>
        </w:rPr>
        <w:t xml:space="preserve">واتبع المكتب الدولي نهجاً أكثر حذراً عند إصدار أداة </w:t>
      </w:r>
      <w:r w:rsidRPr="00423D92">
        <w:t>WIPO Sequence</w:t>
      </w:r>
      <w:r w:rsidRPr="00423D92">
        <w:rPr>
          <w:rtl/>
        </w:rPr>
        <w:t xml:space="preserve"> للمستخدمين، وذلك في ضوء استقرار الإصدار 2.3.0</w:t>
      </w:r>
      <w:r w:rsidR="00E05DA6">
        <w:rPr>
          <w:rtl/>
        </w:rPr>
        <w:t xml:space="preserve">. </w:t>
      </w:r>
      <w:r w:rsidRPr="00423D92">
        <w:rPr>
          <w:rtl/>
        </w:rPr>
        <w:t>وفي عام 2024، كان من المقرر إطلاق الإصدار 3.0.0 لمجموعة تجريبية من المستخدمين، تُعرف باسم مجموعة</w:t>
      </w:r>
      <w:r w:rsidRPr="00423D92">
        <w:rPr>
          <w:i/>
          <w:iCs/>
          <w:rtl/>
        </w:rPr>
        <w:t xml:space="preserve"> </w:t>
      </w:r>
      <w:r w:rsidRPr="00423D92">
        <w:rPr>
          <w:i/>
          <w:iCs/>
        </w:rPr>
        <w:t>WIPO Sequence Insider</w:t>
      </w:r>
      <w:r w:rsidRPr="00423D92">
        <w:rPr>
          <w:rtl/>
        </w:rPr>
        <w:t>، في الربع الثاني من عام 2025</w:t>
      </w:r>
      <w:r w:rsidR="00E05DA6">
        <w:rPr>
          <w:rtl/>
        </w:rPr>
        <w:t xml:space="preserve">. </w:t>
      </w:r>
    </w:p>
    <w:p w14:paraId="685E09C5" w14:textId="08B9C14E" w:rsidR="002576F1" w:rsidRPr="00423D92" w:rsidRDefault="002576F1" w:rsidP="002576F1">
      <w:pPr>
        <w:pStyle w:val="ONUMA"/>
        <w:rPr>
          <w:rtl/>
        </w:rPr>
      </w:pPr>
      <w:r w:rsidRPr="00423D92">
        <w:rPr>
          <w:rtl/>
        </w:rPr>
        <w:t xml:space="preserve">وفيما يتعلق بالمساعدة التقنية في تنفيذ معيار الويبو </w:t>
      </w:r>
      <w:r w:rsidRPr="00423D92">
        <w:t>ST.26</w:t>
      </w:r>
      <w:r w:rsidRPr="00423D92">
        <w:rPr>
          <w:rtl/>
        </w:rPr>
        <w:t xml:space="preserve"> وأداة </w:t>
      </w:r>
      <w:r w:rsidRPr="00423D92">
        <w:t>WIPO Sequence</w:t>
      </w:r>
      <w:r w:rsidRPr="00423D92">
        <w:rPr>
          <w:rtl/>
        </w:rPr>
        <w:t xml:space="preserve">، دُعي المكتب الدولي إلى تقديم عرض بشأن هذا الموضوع في ندوتين إلكترونيتين، بما في ذلك ندوةٌ كجزء من دورة أكاديمية الويبو </w:t>
      </w:r>
      <w:r w:rsidRPr="00423D92">
        <w:t>DL-427</w:t>
      </w:r>
      <w:r w:rsidR="00E05DA6">
        <w:rPr>
          <w:rtl/>
        </w:rPr>
        <w:t xml:space="preserve">. </w:t>
      </w:r>
    </w:p>
    <w:p w14:paraId="7AA9A8AC" w14:textId="22FFE470" w:rsidR="002576F1" w:rsidRPr="00423D92" w:rsidDel="00BB2D4A" w:rsidRDefault="002576F1" w:rsidP="002576F1">
      <w:pPr>
        <w:pStyle w:val="ONUMA"/>
        <w:rPr>
          <w:rtl/>
        </w:rPr>
      </w:pPr>
      <w:r w:rsidRPr="00423D92">
        <w:rPr>
          <w:rtl/>
        </w:rPr>
        <w:t>واستجابةً إلى الطلب الذي قدمته لجنة المعايير خلال دورتها الثامنة، أُطلق كتالوج واجهة برمجة التطبيقات للملكية الفكرية في يوليو 2024</w:t>
      </w:r>
      <w:r w:rsidR="00E05DA6">
        <w:rPr>
          <w:rtl/>
        </w:rPr>
        <w:t xml:space="preserve">. </w:t>
      </w:r>
      <w:r w:rsidRPr="00423D92">
        <w:rPr>
          <w:rtl/>
        </w:rPr>
        <w:t>وتوفّر هذه المنصة الموحّدة قائمة شاملة لواجهات برمجة التطبيقات التي تقدّمها مؤسسات الملكية الفكرية المختلفة لمنتجاتها وخدماتها</w:t>
      </w:r>
      <w:r w:rsidR="00E05DA6">
        <w:rPr>
          <w:rtl/>
        </w:rPr>
        <w:t xml:space="preserve">. </w:t>
      </w:r>
      <w:r w:rsidRPr="00423D92">
        <w:rPr>
          <w:rtl/>
        </w:rPr>
        <w:t>وفي عام 2024، قدّم المكتب الدولي الدعم لتسعة مكاتب للملكية الفكرية، بما في ذلك ما مجموعه 177 واجهة لبرمجة تطبيقات في الكتالوج</w:t>
      </w:r>
      <w:r w:rsidR="00E05DA6">
        <w:rPr>
          <w:rtl/>
        </w:rPr>
        <w:t xml:space="preserve">. </w:t>
      </w:r>
      <w:r w:rsidRPr="00423D92">
        <w:rPr>
          <w:rtl/>
        </w:rPr>
        <w:t>وإضافة إلى ذلك، تولّى المكتب الدولي إعداد ونشر دليلين مفصّلين باللغات الست للأمم المتحدة: العربية والصينية والإنكليزية والفرنسية والروسية والإسبانية</w:t>
      </w:r>
      <w:r w:rsidR="00E05DA6">
        <w:rPr>
          <w:rtl/>
        </w:rPr>
        <w:t xml:space="preserve">. </w:t>
      </w:r>
      <w:hyperlink r:id="rId13" w:history="1">
        <w:r w:rsidRPr="00423D92">
          <w:rPr>
            <w:rStyle w:val="Hyperlink"/>
            <w:rFonts w:ascii="Calibri" w:hAnsi="Calibri"/>
            <w:rtl/>
          </w:rPr>
          <w:t>دليل كتالوج واجهة برمجة التطبيقات للمستخدمين</w:t>
        </w:r>
      </w:hyperlink>
      <w:r w:rsidRPr="00423D92">
        <w:rPr>
          <w:rtl/>
        </w:rPr>
        <w:t xml:space="preserve">، الذي يساعد المستخدمين في تصفح النظام الأساسي واستخدامه، </w:t>
      </w:r>
      <w:hyperlink r:id="rId14" w:history="1">
        <w:r w:rsidRPr="00423D92">
          <w:rPr>
            <w:rStyle w:val="Hyperlink"/>
            <w:rFonts w:ascii="Calibri" w:hAnsi="Calibri"/>
            <w:rtl/>
          </w:rPr>
          <w:t>ودليل كتالوج واجهة برمجة التطبيقات لمؤسسات الملكية الفكرية</w:t>
        </w:r>
      </w:hyperlink>
      <w:r w:rsidRPr="00423D92">
        <w:rPr>
          <w:rtl/>
        </w:rPr>
        <w:t>، الذي يشرح كيف يمكن لمؤسسات الملكية الفكرية توفير واجهات برمجة التطبيقات الخاصة بها من خلال الكتالوج</w:t>
      </w:r>
      <w:r w:rsidR="00E05DA6">
        <w:rPr>
          <w:rtl/>
        </w:rPr>
        <w:t xml:space="preserve">. </w:t>
      </w:r>
      <w:r w:rsidRPr="00423D92">
        <w:rPr>
          <w:rtl/>
        </w:rPr>
        <w:t xml:space="preserve">ولتقديم مزيد من الدعم لمكاتب الملكية الفكرية في إرسال ملفات مواصفات </w:t>
      </w:r>
      <w:proofErr w:type="spellStart"/>
      <w:r w:rsidRPr="00423D92">
        <w:t>OpenAPI</w:t>
      </w:r>
      <w:proofErr w:type="spellEnd"/>
      <w:r w:rsidRPr="00423D92">
        <w:rPr>
          <w:rtl/>
        </w:rPr>
        <w:t xml:space="preserve"> التي تفي بالحد الأدنى من المتطلبات، أتاح المكتب الدولي أيضاً نموذجي </w:t>
      </w:r>
      <w:hyperlink r:id="rId15" w:tgtFrame="_blank" w:history="1">
        <w:r w:rsidRPr="00423D92">
          <w:rPr>
            <w:rStyle w:val="Hyperlink"/>
            <w:rFonts w:ascii="Calibri" w:hAnsi="Calibri"/>
          </w:rPr>
          <w:t>JSON</w:t>
        </w:r>
      </w:hyperlink>
      <w:r w:rsidRPr="00423D92">
        <w:rPr>
          <w:rtl/>
        </w:rPr>
        <w:t xml:space="preserve"> و</w:t>
      </w:r>
      <w:hyperlink r:id="rId16" w:tgtFrame="_blank" w:history="1">
        <w:r w:rsidRPr="00423D92">
          <w:rPr>
            <w:rStyle w:val="Hyperlink"/>
            <w:rFonts w:ascii="Calibri" w:hAnsi="Calibri"/>
          </w:rPr>
          <w:t>YAML</w:t>
        </w:r>
      </w:hyperlink>
      <w:r>
        <w:rPr>
          <w:rFonts w:hint="cs"/>
          <w:rtl/>
        </w:rPr>
        <w:t>.</w:t>
      </w:r>
    </w:p>
    <w:p w14:paraId="59B8D415" w14:textId="77777777" w:rsidR="002576F1" w:rsidRDefault="002576F1" w:rsidP="00BD5EBE">
      <w:pPr>
        <w:pStyle w:val="ONUMA"/>
      </w:pPr>
      <w:r w:rsidRPr="00423D92">
        <w:rPr>
          <w:rtl/>
        </w:rPr>
        <w:t>وتواصل الأمانة التزامها بتقديم المساعدة التقنية والتدريب فيما يتعلق بمعايير الويبو عند الطلب، رهناً بتوافر الموارد.</w:t>
      </w:r>
    </w:p>
    <w:p w14:paraId="3C4C51D5" w14:textId="77777777" w:rsidR="00BD5EBE" w:rsidRPr="00423D92" w:rsidRDefault="00BD5EBE" w:rsidP="00BD5EBE">
      <w:pPr>
        <w:pStyle w:val="Heading2"/>
        <w:rPr>
          <w:rtl/>
        </w:rPr>
      </w:pPr>
      <w:r w:rsidRPr="00423D92">
        <w:rPr>
          <w:rtl/>
        </w:rPr>
        <w:t>المساعدة التقنية من أجل إنشاء الهياكل الأساسية في مؤسسات الملكية الفكرية التي تستخدم معايير الويبو</w:t>
      </w:r>
    </w:p>
    <w:p w14:paraId="56EC3451" w14:textId="477AA77F" w:rsidR="00BD5EBE" w:rsidRPr="00423D92" w:rsidRDefault="00BD5EBE" w:rsidP="00BD5EBE">
      <w:pPr>
        <w:pStyle w:val="ONUMA"/>
        <w:rPr>
          <w:rtl/>
        </w:rPr>
      </w:pPr>
      <w:r w:rsidRPr="00423D92">
        <w:rPr>
          <w:rtl/>
        </w:rPr>
        <w:t>يهدف برنامج الويبو المتعلق بحلول الأعمال لمكاتب الملكية الفكرية إلى تحسين أنظمة أعمال مكاتب الملكية الصناعية الوطنية والإقليمية وهياكلها الأساسية التقنية لمساعدتها على أن تقدم لأصحاب المصلحة لديها خدمات أعلى جودة وميسّرة التكلفة</w:t>
      </w:r>
      <w:r w:rsidR="00E05DA6">
        <w:rPr>
          <w:rtl/>
        </w:rPr>
        <w:t xml:space="preserve">. </w:t>
      </w:r>
      <w:r w:rsidRPr="00423D92">
        <w:rPr>
          <w:rtl/>
        </w:rPr>
        <w:t>وتتماشى المساعدة المقدمة مع توصيات أجندة التنمية الرامية إلى تعزيز الهياكل الأساسية التقنية والمؤسسية لمكاتب الملكية الصناعية ومؤسسات أخرى</w:t>
      </w:r>
      <w:r w:rsidR="00E05DA6">
        <w:rPr>
          <w:rtl/>
        </w:rPr>
        <w:t xml:space="preserve">. </w:t>
      </w:r>
      <w:r w:rsidRPr="00423D92">
        <w:rPr>
          <w:rtl/>
        </w:rPr>
        <w:t>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الصناعية وتبادل وثائق الأولوية ونتائج البحث والفحص وتعميمها؛ وإنشاء قواعد بيانات للملكية الفكرية؛ والمساعدة في رقمنة سجلات الملكية الصناعية وإعداد البيانات لنشرها على الإنترنت وتبادلها إلكترونياً؛ والتدريب ونقل المعارف إلى موظفي مؤسسات الملكية الصناعية؛ ودعم الأنظمة التي تقدمها الويبو</w:t>
      </w:r>
      <w:r w:rsidR="00E05DA6">
        <w:rPr>
          <w:rtl/>
        </w:rPr>
        <w:t xml:space="preserve">. </w:t>
      </w:r>
      <w:r w:rsidRPr="00423D92">
        <w:rPr>
          <w:rtl/>
        </w:rPr>
        <w:t>وتراعي المساعدة معايير الويبو المتعلقة ببيانات ومعلومات الملكية الفكرية وفق مقتضى الحال</w:t>
      </w:r>
      <w:r w:rsidR="00E05DA6">
        <w:rPr>
          <w:rtl/>
        </w:rPr>
        <w:t xml:space="preserve">. </w:t>
      </w:r>
      <w:r w:rsidRPr="00423D92">
        <w:rPr>
          <w:rtl/>
        </w:rPr>
        <w:t>ويحتل التدريب في الموقع أو عن بعد والتوجيه وحلقات العمل التدريبية الإقليمية مساحة كبيرة من أنشطة البرنامج، وتؤدي هذه الأنشطة دوراً حاسماً في تحقيق النتائج المنشودة.</w:t>
      </w:r>
    </w:p>
    <w:p w14:paraId="3E9FDC65" w14:textId="6C545496" w:rsidR="00BD5EBE" w:rsidRPr="00423D92" w:rsidRDefault="00BD5EBE" w:rsidP="00BD5EBE">
      <w:pPr>
        <w:pStyle w:val="ONUMA"/>
        <w:rPr>
          <w:color w:val="000000" w:themeColor="text1"/>
          <w:rtl/>
        </w:rPr>
      </w:pPr>
      <w:r w:rsidRPr="00423D92">
        <w:rPr>
          <w:rtl/>
        </w:rPr>
        <w:t>وبحلول نهاية عام 2024، تمكن 91 مكتباً للملكية الصناعية من بلدان نامية من شتى المناطق من استخدام حلول الأعمال لمكاتب الملكية الفكرية التي تقدمها الويبو لإدارة حقوق الملكية الصناعية على نحو فعال، والتي تشمل معايير الويبو</w:t>
      </w:r>
      <w:r w:rsidR="00E05DA6">
        <w:rPr>
          <w:rtl/>
        </w:rPr>
        <w:t xml:space="preserve">. </w:t>
      </w:r>
      <w:r w:rsidRPr="00423D92">
        <w:rPr>
          <w:rtl/>
        </w:rPr>
        <w:t>وشارك ستون مكتباً من مكاتب الملكية الصناعية في إحدى منصات التبادل الإلكترونية التي تتيحها الويبو (نظام النفاذ المركزي إلى نتائج البحث والفحص وخدمة الويبو للنفاذ الرقمي)</w:t>
      </w:r>
      <w:r w:rsidR="00E05DA6">
        <w:rPr>
          <w:rtl/>
        </w:rPr>
        <w:t xml:space="preserve">. </w:t>
      </w:r>
      <w:r w:rsidRPr="00423D92">
        <w:rPr>
          <w:rtl/>
        </w:rPr>
        <w:t>وكان أحد اهتمامات البرنامج الرئيسية الارتقاء بمستوى الخدمة في مكاتب الملكية الصناعية بمساعدتها على الانتقال إلى الخدمات الشبكية في الإيداع وتعميم معلومات الملكية الفكرية</w:t>
      </w:r>
      <w:r w:rsidR="00E05DA6">
        <w:rPr>
          <w:rtl/>
        </w:rPr>
        <w:t xml:space="preserve">. </w:t>
      </w:r>
      <w:r w:rsidRPr="00423D92">
        <w:rPr>
          <w:rtl/>
        </w:rPr>
        <w:t xml:space="preserve">ويمكن الاطلاع على المزيد من المعلومات على الموقع الإلكتروني لبرنامج المساعدة التقنية التي تقدمها الويبو لمكاتب الملكية الصناعية على الرابط التالي:  </w:t>
      </w:r>
      <w:hyperlink r:id="rId17" w:history="1">
        <w:r w:rsidRPr="00423D92">
          <w:rPr>
            <w:rStyle w:val="Hyperlink"/>
            <w:rFonts w:ascii="Calibri" w:hAnsi="Calibri"/>
          </w:rPr>
          <w:t>https://www.wipo.int/ar/web/ip-office-business-solutions/</w:t>
        </w:r>
      </w:hyperlink>
      <w:r w:rsidR="00E05DA6">
        <w:rPr>
          <w:rStyle w:val="Hyperlink"/>
          <w:rFonts w:ascii="Calibri" w:hAnsi="Calibri" w:hint="cs"/>
          <w:rtl/>
        </w:rPr>
        <w:t>.</w:t>
      </w:r>
    </w:p>
    <w:p w14:paraId="15D6E7C9" w14:textId="4BA27522" w:rsidR="00BD5EBE" w:rsidRPr="00423D92" w:rsidRDefault="00BD5EBE" w:rsidP="00BD5EBE">
      <w:pPr>
        <w:pStyle w:val="ONUMA"/>
        <w:rPr>
          <w:color w:val="000000"/>
          <w:rtl/>
        </w:rPr>
      </w:pPr>
      <w:r w:rsidRPr="00423D92">
        <w:rPr>
          <w:rtl/>
        </w:rPr>
        <w:t>وفي إطار برنامج الويبو لقواعد البيانات العالمية، استمر المكتب الدولي في تلقي الدعم من برنامج الصندوق الاستئماني الياباني، لمساعدة الدول الأعضاء على إعداد نص كامل عالي الجودة لمنشورات البراءات الخاصة بها</w:t>
      </w:r>
      <w:r w:rsidR="00E05DA6">
        <w:rPr>
          <w:rtl/>
        </w:rPr>
        <w:t xml:space="preserve">. </w:t>
      </w:r>
      <w:r w:rsidRPr="00423D92">
        <w:rPr>
          <w:color w:val="000000"/>
          <w:rtl/>
        </w:rPr>
        <w:t xml:space="preserve">وبالنسبة إلى السنة المالية اليابانية 2024، تم إجراء التعرف الضوئي على الحروف وتصحيحها وتحويلها إلى لغة </w:t>
      </w:r>
      <w:r w:rsidRPr="00423D92">
        <w:rPr>
          <w:color w:val="000000"/>
        </w:rPr>
        <w:t>XML</w:t>
      </w:r>
      <w:r w:rsidRPr="00423D92">
        <w:rPr>
          <w:color w:val="000000"/>
          <w:rtl/>
        </w:rPr>
        <w:t xml:space="preserve"> قبل تحميلها في ركن البراءات لما عدده 14,951 وثيقة براءات من مكتب البراءات المكسيكي (شملت في المجمل 1,117,745 صفحة وصف ومطالبات).</w:t>
      </w:r>
    </w:p>
    <w:p w14:paraId="7086BC5E" w14:textId="77777777" w:rsidR="00BD5EBE" w:rsidRPr="00423D92" w:rsidRDefault="00BD5EBE" w:rsidP="00E05DA6">
      <w:pPr>
        <w:pStyle w:val="Heading2"/>
        <w:rPr>
          <w:rtl/>
        </w:rPr>
      </w:pPr>
      <w:r w:rsidRPr="00423D92">
        <w:rPr>
          <w:rtl/>
        </w:rPr>
        <w:t>تكوين كفاءات الموظفين والفاحصين المعنيين بالملكية الفكرية من أجل استخدام الأدوات الدولية</w:t>
      </w:r>
    </w:p>
    <w:p w14:paraId="7BF564BF" w14:textId="38AA8E04" w:rsidR="00BD5EBE" w:rsidRPr="00423D92" w:rsidRDefault="00BD5EBE" w:rsidP="00BD5EBE">
      <w:pPr>
        <w:pStyle w:val="ONUMA"/>
        <w:rPr>
          <w:rFonts w:eastAsia="MS Mincho"/>
          <w:rtl/>
        </w:rPr>
      </w:pPr>
      <w:r w:rsidRPr="00423D92">
        <w:rPr>
          <w:rtl/>
        </w:rPr>
        <w:t>بناءً على الطلبات الواردة، قدّم المكتب الدولي ندوة تدريبية حول استخدام التصنيف الدولي لفائدة فاحصي البراءات نُظمت يومي 24 و28 يونيو 2024، بالاشتراك مع معهد راجيف غاندي الوطني لإدارة الملكية الفكرية ومكتب المراقب العام للبراءات والتصاميم والعلامات التجارية في الهند، عبر منصة إلكترونية بشأن الكفاءات العامة المتعلقة بالبحث في البراءات وفحصها في آسيا</w:t>
      </w:r>
      <w:r w:rsidR="00E05DA6">
        <w:rPr>
          <w:rtl/>
        </w:rPr>
        <w:t xml:space="preserve">. </w:t>
      </w:r>
      <w:r w:rsidRPr="00423D92">
        <w:rPr>
          <w:rtl/>
        </w:rPr>
        <w:t xml:space="preserve">وفي هذا السياق، قدم توضيح بشأن مدى أهمية معايير الويبو ذات الصلة. </w:t>
      </w:r>
    </w:p>
    <w:p w14:paraId="1026E44F" w14:textId="77777777" w:rsidR="00BD5EBE" w:rsidRPr="00423D92" w:rsidRDefault="00BD5EBE" w:rsidP="00BD5EBE">
      <w:pPr>
        <w:pStyle w:val="Heading2"/>
        <w:rPr>
          <w:rtl/>
        </w:rPr>
      </w:pPr>
      <w:r w:rsidRPr="00423D92">
        <w:rPr>
          <w:rtl/>
        </w:rPr>
        <w:t>تعزيز فهم معايير الويبو</w:t>
      </w:r>
    </w:p>
    <w:p w14:paraId="3F1153FC" w14:textId="77777777" w:rsidR="00BD5EBE" w:rsidRPr="00423D92" w:rsidRDefault="00BD5EBE" w:rsidP="00BD5EBE">
      <w:pPr>
        <w:pStyle w:val="ONUMA"/>
        <w:rPr>
          <w:szCs w:val="28"/>
          <w:rtl/>
        </w:rPr>
      </w:pPr>
      <w:r w:rsidRPr="00423D92">
        <w:rPr>
          <w:rtl/>
        </w:rPr>
        <w:t>قام المكتب الدولي، في إطار سعيه إلى إذكاء الوعي بمعايير الويبو في البلدان النامية وتيسير المشاركة المادية لعدد أكبر من البلدان النامية في إعداد معيار (معايير) جديد أو منقّح من معايير الويبو، وعملاً بالقرار الذي اتخذته الجمعية العامة في أكتوبر 2011، بتمويل مشاركة 10 بلدان من البلدان النامية أو أقل البلدان نمواً في دورة لجنة المعايير الثانية عشرة.</w:t>
      </w:r>
    </w:p>
    <w:p w14:paraId="16CFC79C" w14:textId="77777777" w:rsidR="00BD5EBE" w:rsidRPr="00423D92" w:rsidRDefault="00BD5EBE" w:rsidP="00BD5EBE">
      <w:pPr>
        <w:pStyle w:val="Heading2"/>
        <w:rPr>
          <w:rtl/>
        </w:rPr>
      </w:pPr>
      <w:r w:rsidRPr="00423D92">
        <w:rPr>
          <w:rtl/>
        </w:rPr>
        <w:t>تبادل بيانات الملكية الفكرية</w:t>
      </w:r>
    </w:p>
    <w:p w14:paraId="5440B86B" w14:textId="33A7A398" w:rsidR="00BD5EBE" w:rsidRPr="00423D92" w:rsidRDefault="00BD5EBE" w:rsidP="00BD5EBE">
      <w:pPr>
        <w:pStyle w:val="ONUMA"/>
        <w:rPr>
          <w:rtl/>
        </w:rPr>
      </w:pPr>
      <w:r w:rsidRPr="00423D92">
        <w:rPr>
          <w:rtl/>
        </w:rPr>
        <w:t>تعاون المكتب الدولي مع الكثير من مكاتب الملكية الصناعية، لا سيما في بعض مجموعات البلدان النامية، لتعزيز تبادل بيانات الملكية الفكرية بهدف تعزيز نفاذ المستخدمين في تلك البلدان إلى معلومات الملكية الفكرية لتلك المكاتب</w:t>
      </w:r>
      <w:r w:rsidR="00E05DA6">
        <w:rPr>
          <w:rtl/>
        </w:rPr>
        <w:t xml:space="preserve">. </w:t>
      </w:r>
      <w:r w:rsidRPr="00423D92">
        <w:rPr>
          <w:color w:val="000000"/>
          <w:rtl/>
        </w:rPr>
        <w:t>وقد نُظم، عند الإمكان، تبادل المعلومات المتعلقة بالملكية الفكرية وفقا لمعايير الويبو الملائمة</w:t>
      </w:r>
      <w:r w:rsidR="00E05DA6">
        <w:rPr>
          <w:color w:val="000000"/>
          <w:rtl/>
        </w:rPr>
        <w:t xml:space="preserve">. </w:t>
      </w:r>
      <w:r w:rsidRPr="00423D92">
        <w:rPr>
          <w:color w:val="000000"/>
          <w:rtl/>
        </w:rPr>
        <w:t>وأُدرجت في عام 2024 مجموعات العلامات التجارية الخاصة بالبلدان/المنظمات الإقليمية التالية في قاعدة البيانات العالمية لأدوات التوسيم: سانت فنسنت وجزر غرينادين، قطر، ترينيداد وتوباغو، بليز، سان تومي وبرينسيبي، الأريبو والمنظمة الأفريقية للملكية الفكرية، في حين أُدرجت مجموعات البراءات الخاصة بالبلدان التالية في ركن البراءات: هنغاريا وتركيا ومكتب براءات الاختراع لمجلس التعاون لدول الخليج العربية</w:t>
      </w:r>
    </w:p>
    <w:p w14:paraId="7F687F15" w14:textId="2F249166" w:rsidR="00E05DA6" w:rsidRPr="00E05DA6" w:rsidRDefault="00E05DA6" w:rsidP="00E05DA6">
      <w:pPr>
        <w:pStyle w:val="ONUMA"/>
        <w:ind w:left="5527"/>
        <w:rPr>
          <w:i/>
          <w:iCs/>
          <w:rtl/>
        </w:rPr>
      </w:pPr>
      <w:r w:rsidRPr="00E05DA6">
        <w:rPr>
          <w:i/>
          <w:iCs/>
          <w:rtl/>
        </w:rPr>
        <w:t xml:space="preserve">إنّ لجنة المعايير مدعوة إلى الإحاطة علماً بالأنشطة التي اضطلع بها المكتب الدولي في عام 2024 لتقديم المشورة والمساعدة التقنيتين، من أجل تكوين الكفاءات لدى مكاتب الملكية الصناعية، بشأن تعميم المعلومات المتعلقة بمعايير الملكية الفكرية. وستكون هذه الوثيقة بمثابة أساس لإعداد التقرير الذي سيقدَّم إلى الجمعية العامة للويبو التي ستُعقد في عام 2026، كما طُلب في دورتها الأربعين التي عُقدت في أكتوبر 2011 (انظر(ي) الفقرة 190 من الوثيقة </w:t>
      </w:r>
      <w:r w:rsidRPr="00E05DA6">
        <w:rPr>
          <w:i/>
          <w:iCs/>
        </w:rPr>
        <w:t>WO/GA/40/19</w:t>
      </w:r>
      <w:r w:rsidRPr="00E05DA6">
        <w:rPr>
          <w:i/>
          <w:iCs/>
          <w:rtl/>
        </w:rPr>
        <w:t>).</w:t>
      </w:r>
    </w:p>
    <w:p w14:paraId="1ADC2DEA" w14:textId="77777777" w:rsidR="00A410A9" w:rsidRDefault="00A410A9" w:rsidP="00D705CB">
      <w:pPr>
        <w:pStyle w:val="BodyText"/>
        <w:rPr>
          <w:rFonts w:eastAsia="Times New Roman"/>
          <w:rtl/>
          <w:lang w:eastAsia="en-US"/>
        </w:rPr>
      </w:pPr>
    </w:p>
    <w:p w14:paraId="4A2B36AA" w14:textId="77777777" w:rsidR="00D705CB" w:rsidRDefault="00D705CB" w:rsidP="00E15F75">
      <w:pPr>
        <w:pStyle w:val="BodyText"/>
        <w:rPr>
          <w:rFonts w:eastAsia="Times New Roman"/>
          <w:rtl/>
          <w:lang w:eastAsia="en-US"/>
        </w:rPr>
      </w:pPr>
    </w:p>
    <w:p w14:paraId="2FDBF058" w14:textId="77777777" w:rsidR="00E05DA6" w:rsidRPr="00423D92" w:rsidRDefault="00E05DA6" w:rsidP="00E05DA6">
      <w:pPr>
        <w:pStyle w:val="Endofdocument-Annex"/>
        <w:rPr>
          <w:rtl/>
        </w:rPr>
      </w:pPr>
      <w:r w:rsidRPr="00423D92">
        <w:rPr>
          <w:rtl/>
        </w:rPr>
        <w:t>[نهاية الوثيقة]</w:t>
      </w:r>
    </w:p>
    <w:p w14:paraId="1840E8D2" w14:textId="77777777" w:rsidR="00D705CB" w:rsidRDefault="00D705CB" w:rsidP="00E15F75">
      <w:pPr>
        <w:pStyle w:val="BodyText"/>
        <w:rPr>
          <w:rFonts w:eastAsia="Times New Roman"/>
          <w:lang w:eastAsia="en-US"/>
        </w:rPr>
      </w:pPr>
    </w:p>
    <w:sectPr w:rsidR="00D705CB" w:rsidSect="00CC3E2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5FBC" w14:textId="77777777" w:rsidR="00E441B0" w:rsidRDefault="00E441B0">
      <w:r>
        <w:separator/>
      </w:r>
    </w:p>
  </w:endnote>
  <w:endnote w:type="continuationSeparator" w:id="0">
    <w:p w14:paraId="62391173" w14:textId="77777777" w:rsidR="00E441B0" w:rsidRDefault="00E441B0" w:rsidP="003B38C1">
      <w:r>
        <w:separator/>
      </w:r>
    </w:p>
    <w:p w14:paraId="425F4E15" w14:textId="77777777" w:rsidR="00E441B0" w:rsidRPr="003B38C1" w:rsidRDefault="00E441B0" w:rsidP="003B38C1">
      <w:pPr>
        <w:spacing w:after="60"/>
        <w:rPr>
          <w:sz w:val="17"/>
        </w:rPr>
      </w:pPr>
      <w:r>
        <w:rPr>
          <w:sz w:val="17"/>
        </w:rPr>
        <w:t>[Endnote continued from previous page]</w:t>
      </w:r>
    </w:p>
  </w:endnote>
  <w:endnote w:type="continuationNotice" w:id="1">
    <w:p w14:paraId="78C5CA32" w14:textId="77777777" w:rsidR="00E441B0" w:rsidRPr="003B38C1" w:rsidRDefault="00E441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C803" w14:textId="77777777" w:rsidR="00E05DA6" w:rsidRDefault="00E0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13C7" w14:textId="77777777" w:rsidR="00E05DA6" w:rsidRDefault="00E05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941" w14:textId="77777777" w:rsidR="00E05DA6" w:rsidRDefault="00E0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B084" w14:textId="77777777" w:rsidR="00E441B0" w:rsidRDefault="00E441B0">
      <w:r>
        <w:separator/>
      </w:r>
    </w:p>
  </w:footnote>
  <w:footnote w:type="continuationSeparator" w:id="0">
    <w:p w14:paraId="605349C5" w14:textId="77777777" w:rsidR="00E441B0" w:rsidRDefault="00E441B0" w:rsidP="008B60B2">
      <w:r>
        <w:separator/>
      </w:r>
    </w:p>
    <w:p w14:paraId="7641F5B6" w14:textId="77777777" w:rsidR="00E441B0" w:rsidRPr="00ED77FB" w:rsidRDefault="00E441B0" w:rsidP="008B60B2">
      <w:pPr>
        <w:spacing w:after="60"/>
        <w:rPr>
          <w:sz w:val="17"/>
          <w:szCs w:val="17"/>
        </w:rPr>
      </w:pPr>
      <w:r w:rsidRPr="00ED77FB">
        <w:rPr>
          <w:sz w:val="17"/>
          <w:szCs w:val="17"/>
        </w:rPr>
        <w:t>[Footnote continued from previous page]</w:t>
      </w:r>
    </w:p>
  </w:footnote>
  <w:footnote w:type="continuationNotice" w:id="1">
    <w:p w14:paraId="48533759" w14:textId="77777777" w:rsidR="00E441B0" w:rsidRPr="00ED77FB" w:rsidRDefault="00E441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68B8" w14:textId="77777777" w:rsidR="00E05DA6" w:rsidRDefault="00E0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E61" w14:textId="10FF63FE" w:rsidR="00D07C78" w:rsidRPr="002326AB"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E05DA6">
      <w:rPr>
        <w:rFonts w:hint="cs"/>
        <w:caps/>
        <w:rtl/>
      </w:rPr>
      <w:t>21</w:t>
    </w:r>
  </w:p>
  <w:p w14:paraId="7AFF73A4"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50443B4" w14:textId="77777777" w:rsidR="00D07C78" w:rsidRDefault="00D07C78" w:rsidP="00210D5F">
    <w:pPr>
      <w:bidi w:val="0"/>
    </w:pPr>
  </w:p>
  <w:p w14:paraId="7FA6243B"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9CC" w14:textId="77777777" w:rsidR="00E05DA6" w:rsidRDefault="00E0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5"/>
  </w:num>
  <w:num w:numId="3" w16cid:durableId="610935826">
    <w:abstractNumId w:val="0"/>
  </w:num>
  <w:num w:numId="4" w16cid:durableId="831139084">
    <w:abstractNumId w:val="18"/>
  </w:num>
  <w:num w:numId="5" w16cid:durableId="1808082453">
    <w:abstractNumId w:val="1"/>
  </w:num>
  <w:num w:numId="6" w16cid:durableId="2058821704">
    <w:abstractNumId w:val="7"/>
  </w:num>
  <w:num w:numId="7" w16cid:durableId="719669768">
    <w:abstractNumId w:val="22"/>
  </w:num>
  <w:num w:numId="8" w16cid:durableId="436217556">
    <w:abstractNumId w:val="11"/>
  </w:num>
  <w:num w:numId="9" w16cid:durableId="1591036600">
    <w:abstractNumId w:val="12"/>
  </w:num>
  <w:num w:numId="10" w16cid:durableId="1183013736">
    <w:abstractNumId w:val="16"/>
  </w:num>
  <w:num w:numId="11" w16cid:durableId="1208254078">
    <w:abstractNumId w:val="21"/>
  </w:num>
  <w:num w:numId="12" w16cid:durableId="1535313221">
    <w:abstractNumId w:val="17"/>
  </w:num>
  <w:num w:numId="13" w16cid:durableId="1775402230">
    <w:abstractNumId w:val="23"/>
  </w:num>
  <w:num w:numId="14" w16cid:durableId="605386166">
    <w:abstractNumId w:val="5"/>
  </w:num>
  <w:num w:numId="15" w16cid:durableId="913050154">
    <w:abstractNumId w:val="10"/>
  </w:num>
  <w:num w:numId="16" w16cid:durableId="1867328089">
    <w:abstractNumId w:val="2"/>
  </w:num>
  <w:num w:numId="17" w16cid:durableId="1880973570">
    <w:abstractNumId w:val="13"/>
  </w:num>
  <w:num w:numId="18" w16cid:durableId="1983188684">
    <w:abstractNumId w:val="19"/>
  </w:num>
  <w:num w:numId="19" w16cid:durableId="1285038826">
    <w:abstractNumId w:val="6"/>
  </w:num>
  <w:num w:numId="20" w16cid:durableId="398984857">
    <w:abstractNumId w:val="24"/>
  </w:num>
  <w:num w:numId="21" w16cid:durableId="855265340">
    <w:abstractNumId w:val="8"/>
  </w:num>
  <w:num w:numId="22" w16cid:durableId="1793552887">
    <w:abstractNumId w:val="25"/>
  </w:num>
  <w:num w:numId="23" w16cid:durableId="1644579125">
    <w:abstractNumId w:val="14"/>
  </w:num>
  <w:num w:numId="24" w16cid:durableId="1029574285">
    <w:abstractNumId w:val="20"/>
  </w:num>
  <w:num w:numId="25" w16cid:durableId="1259025004">
    <w:abstractNumId w:val="27"/>
  </w:num>
  <w:num w:numId="26" w16cid:durableId="1763722631">
    <w:abstractNumId w:val="3"/>
  </w:num>
  <w:num w:numId="27" w16cid:durableId="506360306">
    <w:abstractNumId w:val="9"/>
  </w:num>
  <w:num w:numId="28" w16cid:durableId="499587443">
    <w:abstractNumId w:val="26"/>
  </w:num>
  <w:num w:numId="29" w16cid:durableId="17842250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B4"/>
    <w:rsid w:val="00041A0A"/>
    <w:rsid w:val="00043CAA"/>
    <w:rsid w:val="00056816"/>
    <w:rsid w:val="000632C7"/>
    <w:rsid w:val="00075432"/>
    <w:rsid w:val="000910E5"/>
    <w:rsid w:val="000968ED"/>
    <w:rsid w:val="000A3D97"/>
    <w:rsid w:val="000B5B36"/>
    <w:rsid w:val="000D3DAB"/>
    <w:rsid w:val="000D42A9"/>
    <w:rsid w:val="000F5E56"/>
    <w:rsid w:val="001362EE"/>
    <w:rsid w:val="001406E1"/>
    <w:rsid w:val="00140F22"/>
    <w:rsid w:val="0015436D"/>
    <w:rsid w:val="00155D8A"/>
    <w:rsid w:val="001647D5"/>
    <w:rsid w:val="00167832"/>
    <w:rsid w:val="00176FD1"/>
    <w:rsid w:val="001832A6"/>
    <w:rsid w:val="00192A5B"/>
    <w:rsid w:val="0019592A"/>
    <w:rsid w:val="001D4107"/>
    <w:rsid w:val="00203D24"/>
    <w:rsid w:val="00210D5F"/>
    <w:rsid w:val="0021217E"/>
    <w:rsid w:val="002326AB"/>
    <w:rsid w:val="00243430"/>
    <w:rsid w:val="00250149"/>
    <w:rsid w:val="002576F1"/>
    <w:rsid w:val="00262607"/>
    <w:rsid w:val="002634C4"/>
    <w:rsid w:val="00265354"/>
    <w:rsid w:val="00273181"/>
    <w:rsid w:val="002879FE"/>
    <w:rsid w:val="002928D3"/>
    <w:rsid w:val="00294303"/>
    <w:rsid w:val="002A4CB5"/>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4BF7"/>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5C12"/>
    <w:rsid w:val="006D27D2"/>
    <w:rsid w:val="006D302C"/>
    <w:rsid w:val="006D7AAB"/>
    <w:rsid w:val="006D7C7A"/>
    <w:rsid w:val="006F641A"/>
    <w:rsid w:val="0070778E"/>
    <w:rsid w:val="00720EFD"/>
    <w:rsid w:val="00750C1A"/>
    <w:rsid w:val="007854AF"/>
    <w:rsid w:val="0079149A"/>
    <w:rsid w:val="00793A7C"/>
    <w:rsid w:val="007969D1"/>
    <w:rsid w:val="007A0E2A"/>
    <w:rsid w:val="007A398A"/>
    <w:rsid w:val="007C172B"/>
    <w:rsid w:val="007C4902"/>
    <w:rsid w:val="007D1613"/>
    <w:rsid w:val="007E4889"/>
    <w:rsid w:val="007E4C0E"/>
    <w:rsid w:val="00820911"/>
    <w:rsid w:val="008243C0"/>
    <w:rsid w:val="008A134B"/>
    <w:rsid w:val="008A5C4D"/>
    <w:rsid w:val="008B2CC1"/>
    <w:rsid w:val="008B60B2"/>
    <w:rsid w:val="008D1B10"/>
    <w:rsid w:val="0090731E"/>
    <w:rsid w:val="00916EE2"/>
    <w:rsid w:val="009279AE"/>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E2432"/>
    <w:rsid w:val="00AF0A6B"/>
    <w:rsid w:val="00B05A69"/>
    <w:rsid w:val="00B26A4F"/>
    <w:rsid w:val="00B42CA9"/>
    <w:rsid w:val="00B51FF7"/>
    <w:rsid w:val="00B75281"/>
    <w:rsid w:val="00B86A18"/>
    <w:rsid w:val="00B92F1F"/>
    <w:rsid w:val="00B953D5"/>
    <w:rsid w:val="00B9734B"/>
    <w:rsid w:val="00BA30E2"/>
    <w:rsid w:val="00BB781F"/>
    <w:rsid w:val="00BC6536"/>
    <w:rsid w:val="00BD5EBE"/>
    <w:rsid w:val="00BD78AA"/>
    <w:rsid w:val="00C11BFE"/>
    <w:rsid w:val="00C3436A"/>
    <w:rsid w:val="00C40F61"/>
    <w:rsid w:val="00C5068F"/>
    <w:rsid w:val="00C60E4B"/>
    <w:rsid w:val="00C73194"/>
    <w:rsid w:val="00C86D74"/>
    <w:rsid w:val="00C91553"/>
    <w:rsid w:val="00C925E7"/>
    <w:rsid w:val="00CB08A3"/>
    <w:rsid w:val="00CB3DBA"/>
    <w:rsid w:val="00CC3E2D"/>
    <w:rsid w:val="00CD04F1"/>
    <w:rsid w:val="00CE19F8"/>
    <w:rsid w:val="00CF681A"/>
    <w:rsid w:val="00CF68F2"/>
    <w:rsid w:val="00D07C78"/>
    <w:rsid w:val="00D17660"/>
    <w:rsid w:val="00D32D75"/>
    <w:rsid w:val="00D45252"/>
    <w:rsid w:val="00D512F3"/>
    <w:rsid w:val="00D60B2C"/>
    <w:rsid w:val="00D67EAE"/>
    <w:rsid w:val="00D705CB"/>
    <w:rsid w:val="00D71B4D"/>
    <w:rsid w:val="00D90B96"/>
    <w:rsid w:val="00D93D55"/>
    <w:rsid w:val="00DC17E3"/>
    <w:rsid w:val="00DD7B7F"/>
    <w:rsid w:val="00E05DA6"/>
    <w:rsid w:val="00E10D1C"/>
    <w:rsid w:val="00E15015"/>
    <w:rsid w:val="00E15F75"/>
    <w:rsid w:val="00E17738"/>
    <w:rsid w:val="00E23ECB"/>
    <w:rsid w:val="00E319DF"/>
    <w:rsid w:val="00E335FE"/>
    <w:rsid w:val="00E441B0"/>
    <w:rsid w:val="00E66CC5"/>
    <w:rsid w:val="00E7056E"/>
    <w:rsid w:val="00E91C3A"/>
    <w:rsid w:val="00EA2B00"/>
    <w:rsid w:val="00EA7D6E"/>
    <w:rsid w:val="00EB2F76"/>
    <w:rsid w:val="00EC4E49"/>
    <w:rsid w:val="00ED6EB7"/>
    <w:rsid w:val="00ED77FB"/>
    <w:rsid w:val="00EE307E"/>
    <w:rsid w:val="00EE45FA"/>
    <w:rsid w:val="00F043DE"/>
    <w:rsid w:val="00F047D3"/>
    <w:rsid w:val="00F10E7C"/>
    <w:rsid w:val="00F1217E"/>
    <w:rsid w:val="00F248CE"/>
    <w:rsid w:val="00F66152"/>
    <w:rsid w:val="00F713B4"/>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0C46"/>
  <w15:docId w15:val="{50D8C7A6-A12F-4606-9C56-FBC66B85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2576F1"/>
    <w:pPr>
      <w:keepNext/>
      <w:spacing w:before="240" w:after="60"/>
      <w:outlineLvl w:val="1"/>
    </w:pPr>
    <w:rPr>
      <w:rFonts w:ascii="Calibri" w:hAnsi="Calibri"/>
      <w:b/>
      <w:i/>
      <w:caps/>
      <w:sz w:val="20"/>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rsid w:val="002576F1"/>
    <w:rPr>
      <w:color w:val="0000FF"/>
      <w:u w:val="single"/>
    </w:rPr>
  </w:style>
  <w:style w:type="character" w:customStyle="1" w:styleId="ONUMEChar">
    <w:name w:val="ONUM E Char"/>
    <w:basedOn w:val="DefaultParagraphFont"/>
    <w:link w:val="ONUME"/>
    <w:rsid w:val="002576F1"/>
    <w:rPr>
      <w:rFonts w:ascii="Arial" w:eastAsia="SimSun" w:hAnsi="Arial" w:cs="Calibri"/>
      <w:sz w:val="22"/>
      <w:szCs w:val="22"/>
      <w:lang w:val="en-US" w:eastAsia="zh-CN"/>
    </w:rPr>
  </w:style>
  <w:style w:type="character" w:customStyle="1" w:styleId="Heading2Char">
    <w:name w:val="Heading 2 Char"/>
    <w:basedOn w:val="DefaultParagraphFont"/>
    <w:link w:val="Heading2"/>
    <w:rsid w:val="00BD5EBE"/>
    <w:rPr>
      <w:rFonts w:ascii="Calibri" w:eastAsia="SimSun" w:hAnsi="Calibri" w:cs="Calibri"/>
      <w:b/>
      <w:i/>
      <w:caps/>
      <w:szCs w:val="24"/>
      <w:lang w:val="en-US" w:eastAsia="zh-CN"/>
    </w:rPr>
  </w:style>
  <w:style w:type="paragraph" w:customStyle="1" w:styleId="Endofdocument">
    <w:name w:val="End of document"/>
    <w:basedOn w:val="Normal"/>
    <w:rsid w:val="00E05DA6"/>
    <w:pPr>
      <w:bidi w:val="0"/>
      <w:ind w:left="5534"/>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r/web/standards/ip-api-catalog/user-gui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tad/en/index.jsp" TargetMode="External"/><Relationship Id="rId17" Type="http://schemas.openxmlformats.org/officeDocument/2006/relationships/hyperlink" Target="https://www.wipo.int/ar/web/ip-office-business-solu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documents/d/standards/docs-en-api-catalog-OASTemplate.ya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documents/d/standards/docs-en-api-catalog-OASTemplate.json"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r/web/standards/ip-api-catalog/ip-institution-guide"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ndani\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8</TotalTime>
  <Pages>3</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CWS/13/21 (Arabic)</vt:lpstr>
    </vt:vector>
  </TitlesOfParts>
  <Company>WIPO</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(Arabic)</dc:title>
  <dc:subject>تقرير المكتب الدولي بشأن تقديم المشورة والمساعدة التقنيتين من أجل تكوين كفاءات مكاتب الملكية الصناعية في إطار ولاية لجنة المعايير</dc:subject>
  <dc:creator>WIPO</dc:creator>
  <cp:keywords>WIPO CWS Thirteenth Session, Report, provision of technical advice and assistance </cp:keywords>
  <cp:lastModifiedBy>EMMETT Claudia</cp:lastModifiedBy>
  <cp:revision>11</cp:revision>
  <cp:lastPrinted>2022-11-08T17:13:00Z</cp:lastPrinted>
  <dcterms:created xsi:type="dcterms:W3CDTF">2025-09-25T13:20:00Z</dcterms:created>
  <dcterms:modified xsi:type="dcterms:W3CDTF">2025-10-28T15:04:00Z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