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3124"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B7B89AA" wp14:editId="3D5D09D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6DB3F3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B1425FE" w14:textId="4F546A5B"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B32725">
        <w:rPr>
          <w:rFonts w:ascii="Arial Black" w:hAnsi="Arial Black"/>
          <w:caps/>
          <w:sz w:val="15"/>
          <w:szCs w:val="15"/>
        </w:rPr>
        <w:t>20</w:t>
      </w:r>
      <w:r w:rsidR="00F90A01">
        <w:rPr>
          <w:rFonts w:ascii="Arial Black" w:hAnsi="Arial Black"/>
          <w:caps/>
          <w:sz w:val="15"/>
          <w:szCs w:val="15"/>
        </w:rPr>
        <w:t xml:space="preserve"> REV.</w:t>
      </w:r>
    </w:p>
    <w:p w14:paraId="2F025B1D" w14:textId="1AFE551E" w:rsidR="008B2CC1" w:rsidRPr="0070778E" w:rsidRDefault="00CC3E2D" w:rsidP="00CC3E2D">
      <w:pPr>
        <w:jc w:val="right"/>
        <w:rPr>
          <w:rFonts w:asciiTheme="minorHAnsi" w:hAnsiTheme="minorHAnsi" w:cstheme="minorHAnsi"/>
          <w:b/>
          <w:bCs/>
          <w:caps/>
          <w:sz w:val="15"/>
          <w:szCs w:val="15"/>
          <w:lang w:bidi="ar-DZ"/>
        </w:rPr>
      </w:pPr>
      <w:bookmarkStart w:id="1" w:name="Original"/>
      <w:r w:rsidRPr="0070778E">
        <w:rPr>
          <w:rFonts w:asciiTheme="minorHAnsi" w:hAnsiTheme="minorHAnsi" w:cstheme="minorHAnsi" w:hint="cs"/>
          <w:b/>
          <w:bCs/>
          <w:caps/>
          <w:sz w:val="15"/>
          <w:szCs w:val="15"/>
          <w:rtl/>
        </w:rPr>
        <w:t xml:space="preserve">الأصل: </w:t>
      </w:r>
      <w:r w:rsidR="00B32725">
        <w:rPr>
          <w:rFonts w:asciiTheme="minorHAnsi" w:hAnsiTheme="minorHAnsi" w:cstheme="minorHAnsi" w:hint="cs"/>
          <w:b/>
          <w:bCs/>
          <w:caps/>
          <w:sz w:val="15"/>
          <w:szCs w:val="15"/>
          <w:rtl/>
          <w:lang w:bidi="ar-DZ"/>
        </w:rPr>
        <w:t>بالإنكليزية</w:t>
      </w:r>
    </w:p>
    <w:p w14:paraId="086E3936" w14:textId="4804822F"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F90A01">
        <w:rPr>
          <w:rFonts w:asciiTheme="minorHAnsi" w:hAnsiTheme="minorHAnsi" w:cstheme="minorHAnsi" w:hint="cs"/>
          <w:b/>
          <w:bCs/>
          <w:caps/>
          <w:sz w:val="15"/>
          <w:szCs w:val="15"/>
          <w:rtl/>
        </w:rPr>
        <w:t>27</w:t>
      </w:r>
      <w:r w:rsidR="00B32725">
        <w:rPr>
          <w:rFonts w:asciiTheme="minorHAnsi" w:hAnsiTheme="minorHAnsi" w:cstheme="minorHAnsi" w:hint="cs"/>
          <w:b/>
          <w:bCs/>
          <w:caps/>
          <w:sz w:val="15"/>
          <w:szCs w:val="15"/>
          <w:rtl/>
        </w:rPr>
        <w:t xml:space="preserve"> أكتوبر 2025</w:t>
      </w:r>
    </w:p>
    <w:bookmarkEnd w:id="2"/>
    <w:p w14:paraId="07957FA6"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0D4EAB2C"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1E095C60"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68299ADA" w14:textId="247D13D9" w:rsidR="008B2CC1" w:rsidRPr="00262607" w:rsidRDefault="007F4F53" w:rsidP="007F4F53">
      <w:pPr>
        <w:spacing w:after="360"/>
        <w:outlineLvl w:val="0"/>
        <w:rPr>
          <w:rFonts w:asciiTheme="minorHAnsi" w:hAnsiTheme="minorHAnsi" w:cstheme="minorHAnsi"/>
          <w:caps/>
          <w:sz w:val="24"/>
          <w:szCs w:val="24"/>
        </w:rPr>
      </w:pPr>
      <w:bookmarkStart w:id="3" w:name="TitleOfDoc"/>
      <w:r w:rsidRPr="007F4F53">
        <w:rPr>
          <w:rFonts w:asciiTheme="minorHAnsi" w:hAnsiTheme="minorHAnsi" w:cstheme="minorHAnsi" w:hint="cs"/>
          <w:caps/>
          <w:sz w:val="24"/>
          <w:szCs w:val="24"/>
          <w:rtl/>
        </w:rPr>
        <w:t xml:space="preserve">اقتراح بشأن مراجعة معيار الويبو </w:t>
      </w:r>
      <w:r w:rsidRPr="007F4F53">
        <w:rPr>
          <w:rFonts w:asciiTheme="minorHAnsi" w:hAnsiTheme="minorHAnsi" w:cstheme="minorHAnsi"/>
          <w:caps/>
          <w:sz w:val="24"/>
          <w:szCs w:val="24"/>
        </w:rPr>
        <w:t>ST.92</w:t>
      </w:r>
    </w:p>
    <w:bookmarkEnd w:id="3"/>
    <w:p w14:paraId="1F267E14" w14:textId="5A02EFB4" w:rsidR="007969D1" w:rsidRPr="00D32D75" w:rsidRDefault="007F4F53" w:rsidP="007F4F53">
      <w:pPr>
        <w:pStyle w:val="BodyText"/>
        <w:spacing w:after="720"/>
        <w:rPr>
          <w:i/>
          <w:iCs/>
          <w:rtl/>
        </w:rPr>
      </w:pPr>
      <w:r w:rsidRPr="007F4F53">
        <w:rPr>
          <w:rFonts w:hint="cs"/>
          <w:i/>
          <w:iCs/>
          <w:rtl/>
        </w:rPr>
        <w:t>وثيقة من إعداد الهيئة المشرفة على فرقة العمل المعنية بالتحول الرقمي</w:t>
      </w:r>
    </w:p>
    <w:p w14:paraId="1B5BD004" w14:textId="77777777" w:rsidR="007F4F53" w:rsidRPr="009615BB" w:rsidRDefault="007F4F53" w:rsidP="007F4F53">
      <w:pPr>
        <w:pStyle w:val="Heading2"/>
        <w:spacing w:before="0" w:after="220"/>
        <w:rPr>
          <w:b/>
          <w:iCs w:val="0"/>
          <w:sz w:val="24"/>
          <w:szCs w:val="24"/>
          <w:rtl/>
          <w:lang w:eastAsia="en-US"/>
        </w:rPr>
      </w:pPr>
      <w:r w:rsidRPr="009615BB">
        <w:rPr>
          <w:rFonts w:hint="cs"/>
          <w:b/>
          <w:iCs w:val="0"/>
          <w:sz w:val="24"/>
          <w:szCs w:val="24"/>
          <w:rtl/>
          <w:lang w:eastAsia="en-US"/>
        </w:rPr>
        <w:t>ملخص</w:t>
      </w:r>
    </w:p>
    <w:p w14:paraId="22BF99C9" w14:textId="45C490AF" w:rsidR="00A410A9" w:rsidRDefault="007F4F53" w:rsidP="007F4F53">
      <w:pPr>
        <w:pStyle w:val="ONUMA"/>
        <w:rPr>
          <w:lang w:bidi="ar-DZ"/>
        </w:rPr>
      </w:pPr>
      <w:r w:rsidRPr="007F4F53">
        <w:rPr>
          <w:rFonts w:hint="cs"/>
          <w:rtl/>
        </w:rPr>
        <w:t xml:space="preserve">تقترح فرقة العمل المعنية بالتحول الرقمي مراجعة معيار الويبو </w:t>
      </w:r>
      <w:r w:rsidRPr="007F4F53">
        <w:rPr>
          <w:lang w:bidi="ar-DZ"/>
        </w:rPr>
        <w:t>ST.92</w:t>
      </w:r>
      <w:r w:rsidRPr="007F4F53">
        <w:rPr>
          <w:rFonts w:hint="cs"/>
          <w:rtl/>
        </w:rPr>
        <w:t xml:space="preserve">. وتهدف مراجعة معيار الويبو </w:t>
      </w:r>
      <w:r w:rsidRPr="007F4F53">
        <w:rPr>
          <w:lang w:bidi="ar-DZ"/>
        </w:rPr>
        <w:t>ST.92</w:t>
      </w:r>
      <w:r w:rsidRPr="007F4F53">
        <w:rPr>
          <w:rFonts w:hint="cs"/>
          <w:rtl/>
        </w:rPr>
        <w:t xml:space="preserve"> إلى توسيع نطاق المعيار ليشمل توصيات بشأن التبادل الإلكتروني لوثائق الأولوية الخاصة بالتصاميم الصناعية والعلامات التجارية. وبالإضافة إلى ذلك، تقدم فرقة العمل تحليلاً لنتائج الاستقصاء المتعلق بخطة تنفيذ معيار الويبو </w:t>
      </w:r>
      <w:r w:rsidRPr="007F4F53">
        <w:rPr>
          <w:lang w:bidi="ar-DZ"/>
        </w:rPr>
        <w:t>ST.92</w:t>
      </w:r>
      <w:r w:rsidRPr="007F4F53">
        <w:rPr>
          <w:rFonts w:hint="cs"/>
          <w:rtl/>
        </w:rPr>
        <w:t xml:space="preserve"> من قبل مكاتب الملكية الفكرية. واستناداً إلى النتائج، تقترح فرقة العمل تاريخ أفول مبدئي جديد هو 30 يونيو 2028، وذلك لدعم فترة انتقالية منسقة.</w:t>
      </w:r>
    </w:p>
    <w:p w14:paraId="1ABA2BB3" w14:textId="4C80C0C3" w:rsidR="007F4F53" w:rsidRPr="009615BB" w:rsidRDefault="007F4F53" w:rsidP="007F4F53">
      <w:pPr>
        <w:pStyle w:val="Heading2"/>
        <w:spacing w:before="0" w:after="220"/>
        <w:rPr>
          <w:b/>
          <w:iCs w:val="0"/>
          <w:sz w:val="24"/>
          <w:szCs w:val="24"/>
          <w:lang w:eastAsia="en-US"/>
        </w:rPr>
      </w:pPr>
      <w:r w:rsidRPr="009615BB">
        <w:rPr>
          <w:rFonts w:hint="cs"/>
          <w:b/>
          <w:iCs w:val="0"/>
          <w:sz w:val="24"/>
          <w:szCs w:val="24"/>
          <w:rtl/>
          <w:lang w:eastAsia="en-US"/>
        </w:rPr>
        <w:t>الخلفية</w:t>
      </w:r>
    </w:p>
    <w:p w14:paraId="330F79E9" w14:textId="37E24EAF" w:rsidR="007F4F53" w:rsidRPr="007F4F53" w:rsidRDefault="007F4F53" w:rsidP="007F4F53">
      <w:pPr>
        <w:pStyle w:val="ONUMA"/>
        <w:rPr>
          <w:rtl/>
        </w:rPr>
      </w:pPr>
      <w:r w:rsidRPr="007F4F53">
        <w:rPr>
          <w:rFonts w:hint="cs"/>
          <w:rtl/>
        </w:rPr>
        <w:t xml:space="preserve">أنشأت لجنة المعايير، في دورتها العاشرة، المهمة رقم 65، بعد النظر في اقتراح قدمه الفريق العامل لمعاهدة التعاون بشأن البراءات في دورته الخامسة عشرة.  واقترح الفريق العامل لمعاهدة التعاون بشأن البراءات أن تضع لجنة المعايير معياراً جديداً للويبو لتمكين إرسال قوائم التسلسل بنسق معيار الويبو </w:t>
      </w:r>
      <w:r w:rsidRPr="007F4F53">
        <w:rPr>
          <w:lang w:bidi="ar-DZ"/>
        </w:rPr>
        <w:t>ST.26</w:t>
      </w:r>
      <w:r w:rsidRPr="007F4F53">
        <w:rPr>
          <w:rFonts w:hint="cs"/>
          <w:rtl/>
        </w:rPr>
        <w:t xml:space="preserve"> كجزء من وثيقة أولوية. وأُسندت هذه المهمة إلى فرقة العمل المعنية بالتحول الرقمي، وفيما يلي وصف المهمة:</w:t>
      </w:r>
    </w:p>
    <w:p w14:paraId="73C49F41" w14:textId="2630C42A" w:rsidR="007F4F53" w:rsidRPr="007F4F53" w:rsidRDefault="007F4F53" w:rsidP="007F4F53">
      <w:pPr>
        <w:pStyle w:val="BodyText"/>
        <w:ind w:left="-5" w:firstLine="720"/>
        <w:rPr>
          <w:i/>
          <w:iCs/>
          <w:rtl/>
        </w:rPr>
      </w:pPr>
      <w:r w:rsidRPr="007F4F53">
        <w:rPr>
          <w:rFonts w:hint="cs"/>
          <w:i/>
          <w:iCs/>
          <w:rtl/>
        </w:rPr>
        <w:t>"إعداد اقتراح توصيات بشأن نسق حزمة البيانات من أجل التبادل الإلكتروني لوثائق الأولوية والنسخ المعتمدة للبراءات والعلامات والتصاميم الصناعية."</w:t>
      </w:r>
    </w:p>
    <w:p w14:paraId="7619DF9D" w14:textId="4B4DD29C" w:rsidR="007F4F53" w:rsidRDefault="007F4F53" w:rsidP="007F4F53">
      <w:pPr>
        <w:pStyle w:val="ONUMA"/>
        <w:rPr>
          <w:lang w:bidi="ar-DZ"/>
        </w:rPr>
      </w:pPr>
      <w:r w:rsidRPr="007F4F53">
        <w:rPr>
          <w:rFonts w:hint="cs"/>
          <w:rtl/>
        </w:rPr>
        <w:t xml:space="preserve">وأحاطت لجنة المعايير، في دورتها الحادية عشرة، علماً بمشروع المعيار المقترح من فرقة العمل المعنية بالتحول الرقمي والمعنون ”معيار الويبو </w:t>
      </w:r>
      <w:r w:rsidRPr="007F4F53">
        <w:rPr>
          <w:lang w:bidi="ar-DZ"/>
        </w:rPr>
        <w:t>ST.92</w:t>
      </w:r>
      <w:r w:rsidRPr="007F4F53">
        <w:rPr>
          <w:rFonts w:hint="cs"/>
          <w:rtl/>
        </w:rPr>
        <w:t xml:space="preserve"> - توصيات بشأن نسق حزمة البيانات من أجل التبادل الإلكتروني لوثائق الأولوية والنسخ المعتمدة". غير أن لجنة المعايير خلصت إلى أنه يلزم المزيد من العمل على مشروع المعيار قبل اعتماده. كما أعربت عدة وفود عن قلقها إزاء خطة التنفيذ المقترحة القائمة على ”فترة الأفول“، لأن ذلك قد لا يتيح لمكاتب الملكية الفكرية الوقت الكافي لتنفيذ المعيار الجديد (انظر الفقرات 111 إلى 115 من الوثيقة </w:t>
      </w:r>
      <w:r w:rsidRPr="007F4F53">
        <w:rPr>
          <w:lang w:bidi="ar-DZ"/>
        </w:rPr>
        <w:t>CWS/11/28</w:t>
      </w:r>
      <w:r w:rsidRPr="007F4F53">
        <w:rPr>
          <w:rFonts w:hint="cs"/>
          <w:rtl/>
        </w:rPr>
        <w:t>)</w:t>
      </w:r>
      <w:r w:rsidR="00F90A01">
        <w:rPr>
          <w:rFonts w:hint="cs"/>
          <w:rtl/>
        </w:rPr>
        <w:t>.</w:t>
      </w:r>
    </w:p>
    <w:p w14:paraId="66034139" w14:textId="145F2772" w:rsidR="007F4F53" w:rsidRDefault="007F4F53" w:rsidP="007F4F53">
      <w:pPr>
        <w:pStyle w:val="ONUMA"/>
        <w:rPr>
          <w:lang w:bidi="ar-DZ"/>
        </w:rPr>
      </w:pPr>
      <w:r w:rsidRPr="007F4F53">
        <w:rPr>
          <w:rFonts w:hint="cs"/>
          <w:rtl/>
        </w:rPr>
        <w:t xml:space="preserve">واعتمدت لجنة المعايير، في دورتها الثانية عشرة، معيار الويبو </w:t>
      </w:r>
      <w:r w:rsidRPr="007F4F53">
        <w:rPr>
          <w:lang w:bidi="ar-DZ"/>
        </w:rPr>
        <w:t>ST.92</w:t>
      </w:r>
      <w:r w:rsidRPr="007F4F53">
        <w:rPr>
          <w:rFonts w:hint="cs"/>
          <w:rtl/>
        </w:rPr>
        <w:t xml:space="preserve"> الذي يغطي فقط وثائق الأولوية الخاصة بالبراءات، ووافقت على الاقتراح المتعلق بالوصف المراجَع للمهمة رقم 65 الذي أصيح نصه كما يلي:</w:t>
      </w:r>
    </w:p>
    <w:p w14:paraId="37D83E83" w14:textId="77943C53" w:rsidR="007F4F53" w:rsidRDefault="007F4F53" w:rsidP="007F4F53">
      <w:pPr>
        <w:pStyle w:val="BodyText"/>
        <w:ind w:left="-5" w:firstLine="720"/>
        <w:rPr>
          <w:i/>
          <w:iCs/>
          <w:rtl/>
        </w:rPr>
      </w:pPr>
      <w:r>
        <w:rPr>
          <w:rFonts w:hint="cs"/>
          <w:i/>
          <w:iCs/>
          <w:rtl/>
          <w:lang w:bidi="ar-DZ"/>
        </w:rPr>
        <w:lastRenderedPageBreak/>
        <w:t>"</w:t>
      </w:r>
      <w:r w:rsidRPr="007F4F53">
        <w:rPr>
          <w:rFonts w:hint="cs"/>
          <w:i/>
          <w:iCs/>
          <w:rtl/>
        </w:rPr>
        <w:t xml:space="preserve">ضمان إدخال التعديلات والتحديثات اللازمة على معيار الويبو </w:t>
      </w:r>
      <w:r w:rsidRPr="007F4F53">
        <w:rPr>
          <w:i/>
          <w:iCs/>
        </w:rPr>
        <w:t>ST.92</w:t>
      </w:r>
      <w:r w:rsidRPr="007F4F53">
        <w:rPr>
          <w:rFonts w:hint="cs"/>
          <w:i/>
          <w:iCs/>
          <w:rtl/>
        </w:rPr>
        <w:t xml:space="preserve"> ودعم مكاتب الملكية الفكرية في تنفيذها للمعيار قبل 1 يوليو 2027.</w:t>
      </w:r>
      <w:r>
        <w:rPr>
          <w:rFonts w:hint="cs"/>
          <w:i/>
          <w:iCs/>
          <w:rtl/>
        </w:rPr>
        <w:t>"</w:t>
      </w:r>
    </w:p>
    <w:p w14:paraId="4E2C28E5" w14:textId="1200B5CF" w:rsidR="007F4F53" w:rsidRDefault="007F4F53" w:rsidP="007F4F53">
      <w:pPr>
        <w:pStyle w:val="BodyText"/>
        <w:rPr>
          <w:rtl/>
        </w:rPr>
      </w:pPr>
      <w:r w:rsidRPr="007F4F53">
        <w:rPr>
          <w:rFonts w:hint="cs"/>
          <w:rtl/>
        </w:rPr>
        <w:t xml:space="preserve">(انظر(ي) الفقرات من 80 إلى 81 من الوثيقة </w:t>
      </w:r>
      <w:r w:rsidRPr="007F4F53">
        <w:t>CWS/12/29</w:t>
      </w:r>
      <w:r w:rsidRPr="007F4F53">
        <w:rPr>
          <w:rFonts w:hint="cs"/>
          <w:rtl/>
        </w:rPr>
        <w:t>).</w:t>
      </w:r>
    </w:p>
    <w:p w14:paraId="415683E7" w14:textId="55FB919B" w:rsidR="007F4F53" w:rsidRDefault="007F4F53" w:rsidP="007F4F53">
      <w:pPr>
        <w:pStyle w:val="ONUMA"/>
      </w:pPr>
      <w:r w:rsidRPr="007F4F53">
        <w:rPr>
          <w:rFonts w:hint="cs"/>
          <w:rtl/>
        </w:rPr>
        <w:t xml:space="preserve">وفي الدورة ذاتها، طلبت لجنة المعايير أن تُعدّ فرقة العمل المعنية بالتحول الرقمي استبياناً استقصائياً بشأن خطة تنفيذ معيار الويبو </w:t>
      </w:r>
      <w:r w:rsidRPr="007F4F53">
        <w:t>ST.92</w:t>
      </w:r>
      <w:r w:rsidRPr="007F4F53">
        <w:rPr>
          <w:rFonts w:hint="cs"/>
          <w:rtl/>
        </w:rPr>
        <w:t xml:space="preserve">، وأن تصدر الأمانة تعميماً يدعو جميع المكاتب إلى الرد على الاستقصاء. وأحاطت لجنة المعايير علماً بأن فرقة العمل المعنية بالتحول الرقمي ستقدم تقريراً عن نتائج الاستقصاء لتنظر فيه اللجنة خلال دورتها الثالثة عشرة. (انظر(ي) الفقرة 82 من الوثيقة </w:t>
      </w:r>
      <w:r w:rsidRPr="007F4F53">
        <w:t>CWS/12/29</w:t>
      </w:r>
      <w:r>
        <w:rPr>
          <w:rFonts w:hint="cs"/>
          <w:rtl/>
        </w:rPr>
        <w:t>).</w:t>
      </w:r>
    </w:p>
    <w:p w14:paraId="74441F15" w14:textId="0B328582" w:rsidR="009615BB" w:rsidRDefault="009615BB" w:rsidP="009615BB">
      <w:pPr>
        <w:pStyle w:val="ONUMA"/>
      </w:pPr>
      <w:r w:rsidRPr="009615BB">
        <w:rPr>
          <w:rFonts w:hint="cs"/>
          <w:rtl/>
        </w:rPr>
        <w:t xml:space="preserve">وفي الدورة ذاتها، وافقت لجنة المعايير على أن الموعد النهائي المبدئ المقترح، وهو 1 يوليو 2027، ينطبق فقط على المعيار المعتمد، وتحديداً على وثائق الأولوية الخاصة بالبراءات. كما وافقت لجنة المعايير على لزوم مواصلة المناقشات بغرض مراجعة المعيار لتضمينه توصيات بشأن وثائق الأولوية الخاصة بالعلامات التجارية والتصاميم الصناعية. (انظر(ي) الفقرة 83 من الوثيقة </w:t>
      </w:r>
      <w:r w:rsidRPr="009615BB">
        <w:t>CWS/12/29</w:t>
      </w:r>
      <w:r>
        <w:rPr>
          <w:rFonts w:hint="cs"/>
          <w:rtl/>
        </w:rPr>
        <w:t>).</w:t>
      </w:r>
    </w:p>
    <w:p w14:paraId="0DE6F54F" w14:textId="7213A4B3" w:rsidR="009615BB" w:rsidRPr="009615BB" w:rsidRDefault="009615BB" w:rsidP="009615BB">
      <w:pPr>
        <w:pStyle w:val="Heading2"/>
        <w:spacing w:before="0" w:after="220"/>
        <w:rPr>
          <w:b/>
          <w:iCs w:val="0"/>
          <w:sz w:val="24"/>
          <w:szCs w:val="24"/>
          <w:lang w:eastAsia="en-US"/>
        </w:rPr>
      </w:pPr>
      <w:r w:rsidRPr="009615BB">
        <w:rPr>
          <w:rFonts w:hint="cs"/>
          <w:b/>
          <w:iCs w:val="0"/>
          <w:sz w:val="24"/>
          <w:szCs w:val="24"/>
          <w:rtl/>
          <w:lang w:eastAsia="en-US"/>
        </w:rPr>
        <w:t xml:space="preserve">نتائج الاستقصاء بشأن خطة تنفيذ معيار الويبو </w:t>
      </w:r>
      <w:r w:rsidRPr="009615BB">
        <w:rPr>
          <w:b/>
          <w:iCs w:val="0"/>
          <w:sz w:val="24"/>
          <w:szCs w:val="24"/>
          <w:lang w:eastAsia="en-US"/>
        </w:rPr>
        <w:t>ST.92</w:t>
      </w:r>
    </w:p>
    <w:p w14:paraId="56754987" w14:textId="50CD6A61" w:rsidR="009615BB" w:rsidRDefault="009615BB" w:rsidP="009615BB">
      <w:pPr>
        <w:pStyle w:val="ONUMA"/>
      </w:pPr>
      <w:r w:rsidRPr="009615BB">
        <w:rPr>
          <w:rFonts w:hint="cs"/>
          <w:rtl/>
        </w:rPr>
        <w:t xml:space="preserve">في 28 مايو 2025، أصدرت الأمانة التعميم </w:t>
      </w:r>
      <w:hyperlink r:id="rId12" w:tgtFrame="_blank" w:history="1">
        <w:r w:rsidRPr="009615BB">
          <w:rPr>
            <w:rStyle w:val="Hyperlink"/>
          </w:rPr>
          <w:t>C.CWS 195</w:t>
        </w:r>
      </w:hyperlink>
      <w:r w:rsidRPr="009615BB">
        <w:rPr>
          <w:rFonts w:hint="cs"/>
          <w:rtl/>
        </w:rPr>
        <w:t xml:space="preserve"> المتضمن الاستقصاء بشأن خطة تنفيذ معيار الويبو </w:t>
      </w:r>
      <w:r w:rsidRPr="009615BB">
        <w:t>ST.92</w:t>
      </w:r>
      <w:r w:rsidRPr="009615BB">
        <w:rPr>
          <w:rFonts w:hint="cs"/>
          <w:rtl/>
        </w:rPr>
        <w:t>، ودعت فيه مكاتب الملكية الفكرية إلى تقديم معلومات عن خططها للتنفيذ واقترحت تاريخ أفول وهو 1 يوليو 2027. وكان الغرض من الاستقصاء أيضاً هو جمع معلومات عن خطط مكاتب الملكية الفكرية لتبادل وثائق الأولوية الخاصة بالبراءات خلال الفترة الانتقالية من خلال خدمة الويبو للنفاذ الرقمي (</w:t>
      </w:r>
      <w:r w:rsidRPr="009615BB">
        <w:t>DAS</w:t>
      </w:r>
      <w:r w:rsidRPr="009615BB">
        <w:rPr>
          <w:rFonts w:hint="cs"/>
          <w:rtl/>
        </w:rPr>
        <w:t>).</w:t>
      </w:r>
    </w:p>
    <w:p w14:paraId="47AA73D6" w14:textId="63EB2E20" w:rsidR="009615BB" w:rsidRDefault="009615BB" w:rsidP="009615BB">
      <w:pPr>
        <w:pStyle w:val="ONUMA"/>
      </w:pPr>
      <w:r w:rsidRPr="009615BB">
        <w:rPr>
          <w:rFonts w:hint="cs"/>
          <w:rtl/>
        </w:rPr>
        <w:t>ووردت ردود من 37 مكتباً للملكية الفكرية من الدول الأعضاء التالية وعددها 34 دولة عضواً:  أستراليا (</w:t>
      </w:r>
      <w:r w:rsidRPr="009615BB">
        <w:t>AU</w:t>
      </w:r>
      <w:r w:rsidRPr="009615BB">
        <w:rPr>
          <w:rFonts w:hint="cs"/>
          <w:rtl/>
        </w:rPr>
        <w:t xml:space="preserve">)، </w:t>
      </w:r>
      <w:r w:rsidR="00F90A01" w:rsidRPr="009615BB">
        <w:rPr>
          <w:rFonts w:hint="cs"/>
          <w:rtl/>
        </w:rPr>
        <w:t>البرازيل (</w:t>
      </w:r>
      <w:r w:rsidR="00F90A01" w:rsidRPr="009615BB">
        <w:t>BR</w:t>
      </w:r>
      <w:r w:rsidR="00F90A01" w:rsidRPr="009615BB">
        <w:rPr>
          <w:rFonts w:hint="cs"/>
          <w:rtl/>
        </w:rPr>
        <w:t>)</w:t>
      </w:r>
      <w:r w:rsidR="00F90A01">
        <w:rPr>
          <w:rFonts w:hint="cs"/>
          <w:rtl/>
        </w:rPr>
        <w:t xml:space="preserve">، </w:t>
      </w:r>
      <w:r w:rsidRPr="009615BB">
        <w:rPr>
          <w:rFonts w:hint="cs"/>
          <w:rtl/>
        </w:rPr>
        <w:t>بلغاريا (</w:t>
      </w:r>
      <w:r w:rsidRPr="009615BB">
        <w:t>BG</w:t>
      </w:r>
      <w:r w:rsidRPr="009615BB">
        <w:rPr>
          <w:rFonts w:hint="cs"/>
          <w:rtl/>
        </w:rPr>
        <w:t>)، كندا (</w:t>
      </w:r>
      <w:r w:rsidRPr="009615BB">
        <w:t>CA</w:t>
      </w:r>
      <w:r w:rsidRPr="009615BB">
        <w:rPr>
          <w:rFonts w:hint="cs"/>
          <w:rtl/>
        </w:rPr>
        <w:t>)، الصين (</w:t>
      </w:r>
      <w:r w:rsidRPr="009615BB">
        <w:t>CN</w:t>
      </w:r>
      <w:r w:rsidRPr="009615BB">
        <w:rPr>
          <w:rFonts w:hint="cs"/>
          <w:rtl/>
        </w:rPr>
        <w:t>)، كرواتيا (</w:t>
      </w:r>
      <w:r w:rsidRPr="009615BB">
        <w:t>HR</w:t>
      </w:r>
      <w:r w:rsidRPr="009615BB">
        <w:rPr>
          <w:rFonts w:hint="cs"/>
          <w:rtl/>
        </w:rPr>
        <w:t>)، الجمهورية الدومينيكية (</w:t>
      </w:r>
      <w:r w:rsidRPr="009615BB">
        <w:t>DO</w:t>
      </w:r>
      <w:r w:rsidRPr="009615BB">
        <w:rPr>
          <w:rFonts w:hint="cs"/>
          <w:rtl/>
        </w:rPr>
        <w:t>)، السلفادور (</w:t>
      </w:r>
      <w:r w:rsidRPr="009615BB">
        <w:t>SV</w:t>
      </w:r>
      <w:r w:rsidRPr="009615BB">
        <w:rPr>
          <w:rFonts w:hint="cs"/>
          <w:rtl/>
        </w:rPr>
        <w:t>)، فنلندا (</w:t>
      </w:r>
      <w:r w:rsidRPr="009615BB">
        <w:t>FI</w:t>
      </w:r>
      <w:r w:rsidRPr="009615BB">
        <w:rPr>
          <w:rFonts w:hint="cs"/>
          <w:rtl/>
        </w:rPr>
        <w:t>)، جورجيا (</w:t>
      </w:r>
      <w:r w:rsidRPr="009615BB">
        <w:t>GE</w:t>
      </w:r>
      <w:r w:rsidRPr="009615BB">
        <w:rPr>
          <w:rFonts w:hint="cs"/>
          <w:rtl/>
        </w:rPr>
        <w:t>)، ألمانيا (</w:t>
      </w:r>
      <w:r w:rsidRPr="009615BB">
        <w:t>DE</w:t>
      </w:r>
      <w:r w:rsidRPr="009615BB">
        <w:rPr>
          <w:rFonts w:hint="cs"/>
          <w:rtl/>
        </w:rPr>
        <w:t>)، هندوراس (</w:t>
      </w:r>
      <w:r w:rsidRPr="009615BB">
        <w:t>HN</w:t>
      </w:r>
      <w:r w:rsidRPr="009615BB">
        <w:rPr>
          <w:rFonts w:hint="cs"/>
          <w:rtl/>
        </w:rPr>
        <w:t xml:space="preserve">)، </w:t>
      </w:r>
      <w:r w:rsidR="00F90A01">
        <w:rPr>
          <w:rFonts w:hint="cs"/>
          <w:rtl/>
        </w:rPr>
        <w:t>آ</w:t>
      </w:r>
      <w:r w:rsidRPr="009615BB">
        <w:rPr>
          <w:rFonts w:hint="cs"/>
          <w:rtl/>
        </w:rPr>
        <w:t>يسلندا (</w:t>
      </w:r>
      <w:r w:rsidRPr="009615BB">
        <w:t>IS</w:t>
      </w:r>
      <w:r w:rsidRPr="009615BB">
        <w:rPr>
          <w:rFonts w:hint="cs"/>
          <w:rtl/>
        </w:rPr>
        <w:t>)، إسرائيل (</w:t>
      </w:r>
      <w:r w:rsidRPr="009615BB">
        <w:t>IL</w:t>
      </w:r>
      <w:r w:rsidRPr="009615BB">
        <w:rPr>
          <w:rFonts w:hint="cs"/>
          <w:rtl/>
        </w:rPr>
        <w:t xml:space="preserve">)، </w:t>
      </w:r>
      <w:r w:rsidR="00F90A01" w:rsidRPr="009615BB">
        <w:rPr>
          <w:rFonts w:hint="cs"/>
          <w:rtl/>
        </w:rPr>
        <w:t>اليابان (</w:t>
      </w:r>
      <w:r w:rsidR="00F90A01" w:rsidRPr="009615BB">
        <w:t>JP</w:t>
      </w:r>
      <w:r w:rsidR="00F90A01" w:rsidRPr="009615BB">
        <w:rPr>
          <w:rFonts w:hint="cs"/>
          <w:rtl/>
        </w:rPr>
        <w:t>)،</w:t>
      </w:r>
      <w:r w:rsidR="00F90A01">
        <w:rPr>
          <w:rFonts w:hint="cs"/>
          <w:rtl/>
        </w:rPr>
        <w:t xml:space="preserve"> </w:t>
      </w:r>
      <w:r w:rsidRPr="009615BB">
        <w:rPr>
          <w:rFonts w:hint="cs"/>
          <w:rtl/>
        </w:rPr>
        <w:t>الأردن (</w:t>
      </w:r>
      <w:r w:rsidRPr="009615BB">
        <w:t>JO</w:t>
      </w:r>
      <w:r w:rsidRPr="009615BB">
        <w:rPr>
          <w:rFonts w:hint="cs"/>
          <w:rtl/>
        </w:rPr>
        <w:t>)، كينيا (</w:t>
      </w:r>
      <w:r w:rsidRPr="009615BB">
        <w:t>Ke</w:t>
      </w:r>
      <w:r w:rsidRPr="009615BB">
        <w:rPr>
          <w:rFonts w:hint="cs"/>
          <w:rtl/>
        </w:rPr>
        <w:t>)، قيرغيزستان (</w:t>
      </w:r>
      <w:r w:rsidRPr="009615BB">
        <w:t>KG</w:t>
      </w:r>
      <w:r w:rsidRPr="009615BB">
        <w:rPr>
          <w:rFonts w:hint="cs"/>
          <w:rtl/>
        </w:rPr>
        <w:t>)، ليتوانيا (</w:t>
      </w:r>
      <w:r w:rsidRPr="009615BB">
        <w:t>LT</w:t>
      </w:r>
      <w:r w:rsidRPr="009615BB">
        <w:rPr>
          <w:rFonts w:hint="cs"/>
          <w:rtl/>
        </w:rPr>
        <w:t>)، المكسيك (</w:t>
      </w:r>
      <w:r w:rsidRPr="009615BB">
        <w:t>MX</w:t>
      </w:r>
      <w:r w:rsidRPr="009615BB">
        <w:rPr>
          <w:rFonts w:hint="cs"/>
          <w:rtl/>
        </w:rPr>
        <w:t>)، موناكو (</w:t>
      </w:r>
      <w:r w:rsidRPr="009615BB">
        <w:t>MC</w:t>
      </w:r>
      <w:r w:rsidRPr="009615BB">
        <w:rPr>
          <w:rFonts w:hint="cs"/>
          <w:rtl/>
        </w:rPr>
        <w:t>)، النرويج (</w:t>
      </w:r>
      <w:r w:rsidRPr="009615BB">
        <w:t>NO</w:t>
      </w:r>
      <w:r w:rsidRPr="009615BB">
        <w:rPr>
          <w:rFonts w:hint="cs"/>
          <w:rtl/>
        </w:rPr>
        <w:t>)، بيرو (</w:t>
      </w:r>
      <w:r w:rsidRPr="009615BB">
        <w:t>PE</w:t>
      </w:r>
      <w:r w:rsidRPr="009615BB">
        <w:rPr>
          <w:rFonts w:hint="cs"/>
          <w:rtl/>
        </w:rPr>
        <w:t>)، بولندا (</w:t>
      </w:r>
      <w:r w:rsidRPr="009615BB">
        <w:t>PL</w:t>
      </w:r>
      <w:r w:rsidRPr="009615BB">
        <w:rPr>
          <w:rFonts w:hint="cs"/>
          <w:rtl/>
        </w:rPr>
        <w:t xml:space="preserve">)، </w:t>
      </w:r>
      <w:r w:rsidR="00F90A01" w:rsidRPr="009615BB">
        <w:rPr>
          <w:rFonts w:hint="cs"/>
          <w:rtl/>
        </w:rPr>
        <w:t>جمهورية كوريا (</w:t>
      </w:r>
      <w:r w:rsidR="00F90A01" w:rsidRPr="009615BB">
        <w:t>KR</w:t>
      </w:r>
      <w:r w:rsidR="00F90A01" w:rsidRPr="009615BB">
        <w:rPr>
          <w:rFonts w:hint="cs"/>
          <w:rtl/>
        </w:rPr>
        <w:t xml:space="preserve">)، </w:t>
      </w:r>
      <w:r w:rsidRPr="009615BB">
        <w:rPr>
          <w:rFonts w:hint="cs"/>
          <w:rtl/>
        </w:rPr>
        <w:t>سنغافورة (</w:t>
      </w:r>
      <w:r w:rsidRPr="009615BB">
        <w:t>SG</w:t>
      </w:r>
      <w:r w:rsidRPr="009615BB">
        <w:rPr>
          <w:rFonts w:hint="cs"/>
          <w:rtl/>
        </w:rPr>
        <w:t>)، إسبانيا (</w:t>
      </w:r>
      <w:r w:rsidRPr="009615BB">
        <w:t>ES</w:t>
      </w:r>
      <w:r w:rsidRPr="009615BB">
        <w:rPr>
          <w:rFonts w:hint="cs"/>
          <w:rtl/>
        </w:rPr>
        <w:t>)، السويد (</w:t>
      </w:r>
      <w:r w:rsidRPr="009615BB">
        <w:t>SE</w:t>
      </w:r>
      <w:r w:rsidRPr="009615BB">
        <w:rPr>
          <w:rFonts w:hint="cs"/>
          <w:rtl/>
        </w:rPr>
        <w:t>)، سويسرا (</w:t>
      </w:r>
      <w:r w:rsidRPr="009615BB">
        <w:t>CH</w:t>
      </w:r>
      <w:r w:rsidRPr="009615BB">
        <w:rPr>
          <w:rFonts w:hint="cs"/>
          <w:rtl/>
        </w:rPr>
        <w:t>)، ترينيداد وتوباغو (</w:t>
      </w:r>
      <w:r w:rsidRPr="009615BB">
        <w:t>TT</w:t>
      </w:r>
      <w:r w:rsidRPr="009615BB">
        <w:rPr>
          <w:rFonts w:hint="cs"/>
          <w:rtl/>
        </w:rPr>
        <w:t>)، تركيا (</w:t>
      </w:r>
      <w:r w:rsidRPr="009615BB">
        <w:t>TR</w:t>
      </w:r>
      <w:r w:rsidRPr="009615BB">
        <w:rPr>
          <w:rFonts w:hint="cs"/>
          <w:rtl/>
        </w:rPr>
        <w:t>)، المملكة المتحدة (</w:t>
      </w:r>
      <w:r w:rsidRPr="009615BB">
        <w:t>GB</w:t>
      </w:r>
      <w:r w:rsidRPr="009615BB">
        <w:rPr>
          <w:rFonts w:hint="cs"/>
          <w:rtl/>
        </w:rPr>
        <w:t>)، جمهورية تنزانيا المتحدة (</w:t>
      </w:r>
      <w:r w:rsidRPr="009615BB">
        <w:t>TZ</w:t>
      </w:r>
      <w:r w:rsidRPr="009615BB">
        <w:rPr>
          <w:rFonts w:hint="cs"/>
          <w:rtl/>
        </w:rPr>
        <w:t>)، الولايات المتحدة الأمريكية (</w:t>
      </w:r>
      <w:r w:rsidRPr="009615BB">
        <w:t>US</w:t>
      </w:r>
      <w:r>
        <w:rPr>
          <w:rFonts w:hint="cs"/>
          <w:rtl/>
        </w:rPr>
        <w:t>)</w:t>
      </w:r>
      <w:r w:rsidRPr="009615BB">
        <w:rPr>
          <w:rFonts w:hint="cs"/>
          <w:rtl/>
        </w:rPr>
        <w:t>؛ وثلاث منظمات إقليمية للملكية الفكرية: المكتب الأوروبي الآسيوي للبراءات (</w:t>
      </w:r>
      <w:r w:rsidRPr="009615BB">
        <w:t>EA</w:t>
      </w:r>
      <w:r w:rsidRPr="009615BB">
        <w:rPr>
          <w:rFonts w:hint="cs"/>
          <w:rtl/>
        </w:rPr>
        <w:t>) والمكتب الأوروبي للبراءات (</w:t>
      </w:r>
      <w:r w:rsidRPr="009615BB">
        <w:t>EP</w:t>
      </w:r>
      <w:r>
        <w:rPr>
          <w:rFonts w:hint="cs"/>
          <w:rtl/>
        </w:rPr>
        <w:t>)</w:t>
      </w:r>
      <w:r w:rsidRPr="009615BB">
        <w:rPr>
          <w:rFonts w:hint="cs"/>
          <w:rtl/>
        </w:rPr>
        <w:t xml:space="preserve"> ومكتب الاتحاد الأوروبي للملكية الفكرية (</w:t>
      </w:r>
      <w:r w:rsidRPr="009615BB">
        <w:t>EM</w:t>
      </w:r>
      <w:r w:rsidRPr="009615BB">
        <w:rPr>
          <w:rFonts w:hint="cs"/>
          <w:rtl/>
        </w:rPr>
        <w:t>).</w:t>
      </w:r>
    </w:p>
    <w:p w14:paraId="6B9AA299" w14:textId="03A1C8EA" w:rsidR="009615BB" w:rsidRDefault="009615BB" w:rsidP="009615BB">
      <w:pPr>
        <w:pStyle w:val="ONUMA"/>
      </w:pPr>
      <w:r w:rsidRPr="009615BB">
        <w:rPr>
          <w:rFonts w:hint="cs"/>
          <w:rtl/>
        </w:rPr>
        <w:t xml:space="preserve">وفيما يتعلق بخطط تنفيذ معيار الويبو </w:t>
      </w:r>
      <w:r w:rsidRPr="009615BB">
        <w:t>ST.92</w:t>
      </w:r>
      <w:r w:rsidRPr="009615BB">
        <w:rPr>
          <w:rFonts w:hint="cs"/>
          <w:rtl/>
        </w:rPr>
        <w:t>، فإن نسبة قليلة من مكاتب الملكية الفكرية، وهي 30٪ فقط، وضعت خطط</w:t>
      </w:r>
      <w:r>
        <w:rPr>
          <w:rFonts w:hint="cs"/>
          <w:rtl/>
        </w:rPr>
        <w:t>اً</w:t>
      </w:r>
      <w:r w:rsidRPr="009615BB">
        <w:rPr>
          <w:rFonts w:hint="cs"/>
          <w:rtl/>
        </w:rPr>
        <w:t xml:space="preserve"> انتقالية فعلية، وتستهدف معظمها التنفيذ بين عامي 2026 و2028. ولكن النسبة المتبقية البالغة 70٪ لم تضع بعد خطة رسمية، وتشير غالباً إلى محدودية الموارد أو تضارب الأولويات أو الحاجة إلى مراجعة المعيار ليشمل التصاميم والعلامات التجارية.</w:t>
      </w:r>
    </w:p>
    <w:p w14:paraId="14AA2972" w14:textId="619E5EBA" w:rsidR="009615BB" w:rsidRDefault="009615BB" w:rsidP="009615BB">
      <w:pPr>
        <w:pStyle w:val="ONUMA"/>
      </w:pPr>
      <w:r w:rsidRPr="009615BB">
        <w:rPr>
          <w:rFonts w:hint="cs"/>
          <w:rtl/>
        </w:rPr>
        <w:t>وفي حين أفادت مكاتب عديدة للملكية الفكرية بأن عمليات المراجعة القانونية لم تحدّد أي عقبات كبيرة أمام التنفيذ، أعربت بعض المكاتب عن قلقها بشأن القوانين الوطنية المتعلقة بتخزين البيانات، وموافقة مودع الطلب، وإمكانية حذف الوثائق بسرعة في حال تغيّرت الظروف. وتنتظر بعض مكاتب الملكية الفكرية عمليات مراجعة قانونية أو تتوقّع تعديلات تشريعية قبل المضي قدماً.</w:t>
      </w:r>
    </w:p>
    <w:p w14:paraId="377A6C8D" w14:textId="278573AA" w:rsidR="009615BB" w:rsidRDefault="009615BB" w:rsidP="009615BB">
      <w:pPr>
        <w:pStyle w:val="ONUMA"/>
      </w:pPr>
      <w:r w:rsidRPr="009615BB">
        <w:rPr>
          <w:rFonts w:hint="cs"/>
          <w:rtl/>
        </w:rPr>
        <w:t>والتحدى الأكثر ذكراً هو محدودية الموارد، البشرية منها والمالية. وتشارك مكاتب عديدة للملكية الفكرية في مشاريع أوسع نطاقاً تخص تحديث تكنولوجيا المعلومات، وهي مشاريع تُنافس غيرها من حيث الاهتمام والتمويل. وتسهم أوجه عدم اليقين القانونية والتنظيمية، لا سيما فيما يتعلق بحماية البيانات وأنساق الوثائق، في تعقيد الأمور بدرجة أكبر.</w:t>
      </w:r>
    </w:p>
    <w:p w14:paraId="0191E275" w14:textId="45960D25" w:rsidR="009615BB" w:rsidRDefault="009615BB" w:rsidP="009615BB">
      <w:pPr>
        <w:pStyle w:val="ONUMA"/>
      </w:pPr>
      <w:r w:rsidRPr="009615BB">
        <w:rPr>
          <w:rFonts w:hint="cs"/>
          <w:rtl/>
        </w:rPr>
        <w:t>وتتوقع معظم مكاتب الملكية الفكرية أن تدعم أنساقاً متعدّدة (حزمة بيانات وثائق الأولوية (</w:t>
      </w:r>
      <w:r w:rsidRPr="009615BB">
        <w:t>PDDP</w:t>
      </w:r>
      <w:r w:rsidRPr="009615BB">
        <w:rPr>
          <w:rFonts w:hint="cs"/>
          <w:rtl/>
        </w:rPr>
        <w:t xml:space="preserve">) الخاصة بمعيار الويبو </w:t>
      </w:r>
      <w:r w:rsidRPr="009615BB">
        <w:t>ST.92</w:t>
      </w:r>
      <w:r w:rsidRPr="009615BB">
        <w:rPr>
          <w:rFonts w:hint="cs"/>
          <w:rtl/>
        </w:rPr>
        <w:t xml:space="preserve">، وملفات </w:t>
      </w:r>
      <w:r w:rsidRPr="009615BB">
        <w:t>PDF</w:t>
      </w:r>
      <w:r w:rsidRPr="009615BB">
        <w:rPr>
          <w:rFonts w:hint="cs"/>
          <w:rtl/>
        </w:rPr>
        <w:t xml:space="preserve"> القديمة، وأحياناً الأوراق) خلال الفترة الانتقالية. غير أن عدداً قليلاً منها فقط يعتزم تضمين عناصر تكميلية، مثل قوائم التسلسل أو الترجمات. وتتفاوت الثقة في إمكانية الوفاء بتاريخ الأفول المبدئي المحدّد في 1 يوليو 2027. وتعتقد 54% من المكاتب التي ردّت على الاستقصاء أنها ستتمكّن من الوفاء بذلك الموعد، في حين تفضّل بقية المكاتب موعداً لاحقاً أو تعتبر نفسها غير قادرة على الالتزام بأي موعد. وفيما يتعلق بنهج التنفيذ، يؤيد ما يقرب من 60٪ أسلوب ”القطيعة“ في الانتقال، حيث تتحوّل جميع مكاتب الملكية الفكرية دفعة واحدة، بينما يفضّل حوالي 40٪ نهجاً تدريجياً يركّز على المرونة وتخفيف المخاطر.</w:t>
      </w:r>
    </w:p>
    <w:p w14:paraId="46E8DBF4" w14:textId="4CF2D358" w:rsidR="009615BB" w:rsidRDefault="009615BB" w:rsidP="009615BB">
      <w:pPr>
        <w:pStyle w:val="ONUMA"/>
      </w:pPr>
      <w:r w:rsidRPr="009615BB">
        <w:rPr>
          <w:rFonts w:hint="cs"/>
          <w:rtl/>
        </w:rPr>
        <w:t xml:space="preserve">وكون الجداول الزمنية لتنفيذ معيار الويبو </w:t>
      </w:r>
      <w:r w:rsidRPr="009615BB">
        <w:t>ST.92</w:t>
      </w:r>
      <w:r w:rsidRPr="009615BB">
        <w:rPr>
          <w:rFonts w:hint="cs"/>
          <w:rtl/>
        </w:rPr>
        <w:t xml:space="preserve"> تختلف باختلاف عوامل مثل أولويات تكنولوجيا المعلومات وتوافر التمويل والحاجة إلى تغييرات تشريعية أو إدارية، يبدو أن النهج الأكثر عملية هو أن يمضي كل من مكاتب الملكية الفكرية على وتيرته الخاصة. وإذا وافقت لجنة المعايير على التعديل المقترح لمعيار الويبو </w:t>
      </w:r>
      <w:r w:rsidRPr="009615BB">
        <w:t>ST.92</w:t>
      </w:r>
      <w:r w:rsidRPr="009615BB">
        <w:rPr>
          <w:rFonts w:hint="cs"/>
          <w:rtl/>
        </w:rPr>
        <w:t xml:space="preserve"> في هذه الدورة، فيجب تنفيذ المعيار بالكامل بالنسبة لجميع حقوق الملكية الفكرية الثلاثة ( البراءات والعلامات التجارية والتصاميم الصناعية) في موعد أقصاه تاريخ الأفول المتفق عليه. وخلال الفترة الانتقالية، ستؤدي خدمة الويبو للنفاذ الرقمي (</w:t>
      </w:r>
      <w:r w:rsidRPr="009615BB">
        <w:t>DAS</w:t>
      </w:r>
      <w:r w:rsidRPr="009615BB">
        <w:rPr>
          <w:rFonts w:hint="cs"/>
          <w:rtl/>
        </w:rPr>
        <w:t>) دور الوسيط لتسهيل تبادل وثائق الأولوية من خلال توفير مواصفات النسق الملائمة لمرحلة التنفيذ الخاصة بكل من مكاتب الملكية الفكرية. ويرد ملخص تفصيلي لنتائج الاستقصاء في المرفق الأول من هذه الوثيقة.</w:t>
      </w:r>
    </w:p>
    <w:p w14:paraId="71990203" w14:textId="1EBF749A" w:rsidR="009615BB" w:rsidRPr="009615BB" w:rsidRDefault="009615BB" w:rsidP="009615BB">
      <w:pPr>
        <w:pStyle w:val="Heading2"/>
        <w:spacing w:before="0" w:after="220"/>
        <w:rPr>
          <w:b/>
          <w:iCs w:val="0"/>
          <w:sz w:val="24"/>
          <w:szCs w:val="24"/>
          <w:lang w:eastAsia="en-US"/>
        </w:rPr>
      </w:pPr>
      <w:r w:rsidRPr="009615BB">
        <w:rPr>
          <w:rFonts w:hint="cs"/>
          <w:b/>
          <w:iCs w:val="0"/>
          <w:sz w:val="24"/>
          <w:szCs w:val="24"/>
          <w:rtl/>
          <w:lang w:eastAsia="en-US"/>
        </w:rPr>
        <w:t xml:space="preserve">اقتراح بشأن مراجعة معيار الويبو </w:t>
      </w:r>
      <w:r w:rsidRPr="009615BB">
        <w:rPr>
          <w:b/>
          <w:iCs w:val="0"/>
          <w:sz w:val="24"/>
          <w:szCs w:val="24"/>
          <w:lang w:eastAsia="en-US"/>
        </w:rPr>
        <w:t>ST.92</w:t>
      </w:r>
    </w:p>
    <w:p w14:paraId="2FC0EE04" w14:textId="022EC096" w:rsidR="009615BB" w:rsidRDefault="0099421A" w:rsidP="0099421A">
      <w:pPr>
        <w:pStyle w:val="ONUMA"/>
      </w:pPr>
      <w:r w:rsidRPr="0099421A">
        <w:rPr>
          <w:rFonts w:hint="cs"/>
          <w:rtl/>
        </w:rPr>
        <w:t xml:space="preserve">بالنظر إلى أن العديد من مكاتب الملكية الفكرية تتبادل وثائق الأولوية الخاصة بالتصاميم الصناعية والعلامات التجارية، أعدت فرقة العمل المعنية بالتحول الرقمي مشروع تعديل لمعيار الويبو </w:t>
      </w:r>
      <w:r w:rsidRPr="0099421A">
        <w:t>ST.92</w:t>
      </w:r>
      <w:r w:rsidRPr="0099421A">
        <w:rPr>
          <w:rFonts w:hint="cs"/>
          <w:rtl/>
        </w:rPr>
        <w:t>. وتتضمن المراجعة توصيات بشأن حزمة التبادل لتلك الفئات الإضافية من الملكية الفكرية.</w:t>
      </w:r>
    </w:p>
    <w:p w14:paraId="278CB242" w14:textId="6B9E2F72" w:rsidR="0099421A" w:rsidRDefault="0099421A" w:rsidP="0099421A">
      <w:pPr>
        <w:pStyle w:val="ONUMA"/>
      </w:pPr>
      <w:r w:rsidRPr="0099421A">
        <w:rPr>
          <w:rFonts w:hint="cs"/>
          <w:rtl/>
        </w:rPr>
        <w:t xml:space="preserve">وإعداداً للمراجعة المقترحة، اجتمعت فرقة العمل المعنية بالتحول الرقمي عبر الإنترنت كل شهرين منذ آخر دورة للجنة المعايير وعقدت مناقشات على شبكة الويكي الخاصة بفرقة العمل. وشارك المكتب الأوروبي للملكية الفكرية في قيادة عملية المراجعة، مستفيداً من خبرته الواسعة في تبادل وثائق الأولوية الخاصة بالتصاميم الصناعية والعلامات التجارية. ويرد مزيد من التفاصيل بشأن عمل فرقة العمل منذ آخر دورة للجنة المعايير في الوثيقة </w:t>
      </w:r>
      <w:r w:rsidRPr="0099421A">
        <w:t>CWS/13/7</w:t>
      </w:r>
      <w:r w:rsidRPr="0099421A">
        <w:rPr>
          <w:rFonts w:hint="cs"/>
          <w:rtl/>
        </w:rPr>
        <w:t>.</w:t>
      </w:r>
    </w:p>
    <w:p w14:paraId="41503299" w14:textId="00AEE1A0" w:rsidR="0099421A" w:rsidRDefault="0099421A" w:rsidP="0099421A">
      <w:pPr>
        <w:pStyle w:val="ONUMA"/>
      </w:pPr>
      <w:r w:rsidRPr="0099421A">
        <w:rPr>
          <w:rFonts w:hint="cs"/>
          <w:rtl/>
        </w:rPr>
        <w:t xml:space="preserve">وتقترح فرقة العمل المعنية بالتحول الرقمي مشروع مراجعة لمعيار الويبو </w:t>
      </w:r>
      <w:r w:rsidRPr="0099421A">
        <w:t>ST.92</w:t>
      </w:r>
      <w:r w:rsidRPr="0099421A">
        <w:rPr>
          <w:rFonts w:hint="cs"/>
          <w:rtl/>
        </w:rPr>
        <w:t xml:space="preserve"> كي تنظر فيه لجنة المعايير وتوافق عليه. ويرد اقتراح تعديل معيار الويبو </w:t>
      </w:r>
      <w:r w:rsidRPr="0099421A">
        <w:t>ST.92</w:t>
      </w:r>
      <w:r w:rsidRPr="0099421A">
        <w:rPr>
          <w:rFonts w:hint="cs"/>
          <w:rtl/>
        </w:rPr>
        <w:t xml:space="preserve"> في المرفق الثاني من هذه الوثيقة، حيث يشير النص المشطوب إلى حذف ويشير النص المسطّر إلى إضافة. والمرفق الثالث من هذه الوثيقة هو مخطط </w:t>
      </w:r>
      <w:r w:rsidRPr="0099421A">
        <w:t>XML</w:t>
      </w:r>
      <w:r w:rsidRPr="0099421A">
        <w:rPr>
          <w:rFonts w:hint="cs"/>
          <w:rtl/>
        </w:rPr>
        <w:t xml:space="preserve"> المحدّث. أما المرفقات الرابع والخامس والسادس من هذه الوثيقة فهي نماذج </w:t>
      </w:r>
      <w:r w:rsidRPr="0099421A">
        <w:t>XML</w:t>
      </w:r>
      <w:r w:rsidRPr="0099421A">
        <w:rPr>
          <w:rFonts w:hint="cs"/>
          <w:rtl/>
        </w:rPr>
        <w:t xml:space="preserve"> للبراءات والتصاميم الصناعية والعلامات التجارية، على التوالي.</w:t>
      </w:r>
    </w:p>
    <w:p w14:paraId="6DB5C5EF" w14:textId="36C46570" w:rsidR="0099421A" w:rsidRDefault="0099421A" w:rsidP="0099421A">
      <w:pPr>
        <w:pStyle w:val="ONUMA"/>
      </w:pPr>
      <w:r w:rsidRPr="0099421A">
        <w:rPr>
          <w:rFonts w:hint="cs"/>
          <w:rtl/>
        </w:rPr>
        <w:t xml:space="preserve">ويمكن تلخيص التغييرات المقترح إدخالها على معيار الويبو </w:t>
      </w:r>
      <w:r w:rsidRPr="0099421A">
        <w:t>ST.92</w:t>
      </w:r>
      <w:r w:rsidRPr="0099421A">
        <w:rPr>
          <w:rFonts w:hint="cs"/>
          <w:rtl/>
        </w:rPr>
        <w:t xml:space="preserve"> والتي وافقت عليها فرقة العمل كما يلي:</w:t>
      </w:r>
    </w:p>
    <w:p w14:paraId="76E24B1C" w14:textId="06EE7E14" w:rsidR="0099421A" w:rsidRDefault="0099421A" w:rsidP="0099421A">
      <w:pPr>
        <w:pStyle w:val="ONUMA"/>
        <w:numPr>
          <w:ilvl w:val="1"/>
          <w:numId w:val="7"/>
        </w:numPr>
      </w:pPr>
      <w:r w:rsidRPr="0099421A">
        <w:rPr>
          <w:rFonts w:hint="cs"/>
          <w:rtl/>
        </w:rPr>
        <w:t>إضافة أوصاف وأمثلة لوثائق الأولوية الخاصة بالتصاميم الصناعية والعلامات التجارية؛</w:t>
      </w:r>
    </w:p>
    <w:p w14:paraId="6B42328D" w14:textId="01982F1D" w:rsidR="0099421A" w:rsidRDefault="0099421A" w:rsidP="0099421A">
      <w:pPr>
        <w:pStyle w:val="ONUMA"/>
        <w:numPr>
          <w:ilvl w:val="1"/>
          <w:numId w:val="7"/>
        </w:numPr>
      </w:pPr>
      <w:r w:rsidRPr="0099421A">
        <w:rPr>
          <w:rFonts w:hint="cs"/>
          <w:rtl/>
        </w:rPr>
        <w:t>وإدراج ملفات إجبارية وتكميلية للتصاميم الصناعية والعلامات التجارية؛</w:t>
      </w:r>
    </w:p>
    <w:p w14:paraId="0846ED5C" w14:textId="40F50B4A" w:rsidR="0099421A" w:rsidRDefault="0099421A" w:rsidP="0099421A">
      <w:pPr>
        <w:pStyle w:val="ONUMA"/>
        <w:numPr>
          <w:ilvl w:val="1"/>
          <w:numId w:val="7"/>
        </w:numPr>
      </w:pPr>
      <w:r w:rsidRPr="0099421A">
        <w:rPr>
          <w:rFonts w:hint="cs"/>
          <w:rtl/>
        </w:rPr>
        <w:t>وتعريف قواعد التسمية وتحديد الوثائق الخاصة بالتصاميم الصناعية والعلامات التجارية؛</w:t>
      </w:r>
    </w:p>
    <w:p w14:paraId="5DD77073" w14:textId="4626048E" w:rsidR="0099421A" w:rsidRDefault="0099421A" w:rsidP="0099421A">
      <w:pPr>
        <w:pStyle w:val="ONUMA"/>
        <w:numPr>
          <w:ilvl w:val="1"/>
          <w:numId w:val="7"/>
        </w:numPr>
      </w:pPr>
      <w:r w:rsidRPr="0099421A">
        <w:rPr>
          <w:rFonts w:hint="cs"/>
          <w:rtl/>
        </w:rPr>
        <w:t xml:space="preserve">ومراجعة المرفق الأول: "تعريف مخطط </w:t>
      </w:r>
      <w:r w:rsidRPr="0099421A">
        <w:t>XML</w:t>
      </w:r>
      <w:r w:rsidRPr="0099421A">
        <w:rPr>
          <w:rFonts w:hint="cs"/>
          <w:rtl/>
        </w:rPr>
        <w:t xml:space="preserve"> لملفات </w:t>
      </w:r>
      <w:r w:rsidRPr="0099421A">
        <w:t>XML</w:t>
      </w:r>
      <w:r w:rsidRPr="0099421A">
        <w:rPr>
          <w:rFonts w:hint="cs"/>
          <w:rtl/>
        </w:rPr>
        <w:t xml:space="preserve"> الخاصة بفهرس وثائق الأولوية"، ليشمل التصاميم الصناعية والعلامات التجارية؛</w:t>
      </w:r>
    </w:p>
    <w:p w14:paraId="307A0F7B" w14:textId="32E26B79" w:rsidR="0099421A" w:rsidRDefault="0099421A" w:rsidP="0099421A">
      <w:pPr>
        <w:pStyle w:val="ONUMA"/>
        <w:numPr>
          <w:ilvl w:val="1"/>
          <w:numId w:val="7"/>
        </w:numPr>
      </w:pPr>
      <w:r w:rsidRPr="0099421A">
        <w:rPr>
          <w:rFonts w:hint="cs"/>
          <w:rtl/>
        </w:rPr>
        <w:t>وإعادة تسمية ملحق المرفق الأول وعنوانه؛</w:t>
      </w:r>
    </w:p>
    <w:p w14:paraId="7293E9C2" w14:textId="4FFFD93B" w:rsidR="0099421A" w:rsidRDefault="0099421A" w:rsidP="0099421A">
      <w:pPr>
        <w:pStyle w:val="ONUMA"/>
        <w:numPr>
          <w:ilvl w:val="1"/>
          <w:numId w:val="7"/>
        </w:numPr>
      </w:pPr>
      <w:r w:rsidRPr="0099421A">
        <w:rPr>
          <w:rFonts w:hint="cs"/>
          <w:rtl/>
        </w:rPr>
        <w:t xml:space="preserve">وإضافة الملحق باء إلى المرفق الأول – مثال على نموذج </w:t>
      </w:r>
      <w:r w:rsidRPr="0099421A">
        <w:t>XML</w:t>
      </w:r>
      <w:r w:rsidRPr="0099421A">
        <w:rPr>
          <w:rFonts w:hint="cs"/>
          <w:rtl/>
        </w:rPr>
        <w:t xml:space="preserve"> لملف فهرس حزمة بيانات وثائق الأولوية (</w:t>
      </w:r>
      <w:r w:rsidRPr="0099421A">
        <w:t>PDDP</w:t>
      </w:r>
      <w:r w:rsidRPr="0099421A">
        <w:rPr>
          <w:rFonts w:hint="cs"/>
          <w:rtl/>
        </w:rPr>
        <w:t>) الخاصة بالتصاميم الصناعية؛</w:t>
      </w:r>
    </w:p>
    <w:p w14:paraId="142D28A8" w14:textId="61D9D613" w:rsidR="0099421A" w:rsidRDefault="0099421A" w:rsidP="0099421A">
      <w:pPr>
        <w:pStyle w:val="ONUMA"/>
        <w:numPr>
          <w:ilvl w:val="1"/>
          <w:numId w:val="7"/>
        </w:numPr>
      </w:pPr>
      <w:r w:rsidRPr="0099421A">
        <w:rPr>
          <w:rFonts w:hint="cs"/>
          <w:rtl/>
        </w:rPr>
        <w:t xml:space="preserve">وإضافة الملحق جيم إلى المرفق الأول – مثال على نموذج </w:t>
      </w:r>
      <w:r w:rsidRPr="0099421A">
        <w:t>XML</w:t>
      </w:r>
      <w:r w:rsidRPr="0099421A">
        <w:rPr>
          <w:rFonts w:hint="cs"/>
          <w:rtl/>
        </w:rPr>
        <w:t xml:space="preserve"> لملف فهرس حزمة بيانات وثائق الأولوية (</w:t>
      </w:r>
      <w:r w:rsidRPr="0099421A">
        <w:t>PDDP</w:t>
      </w:r>
      <w:r w:rsidRPr="0099421A">
        <w:rPr>
          <w:rFonts w:hint="cs"/>
          <w:rtl/>
        </w:rPr>
        <w:t>) الخاصة بالعلامات التجارية؛</w:t>
      </w:r>
    </w:p>
    <w:p w14:paraId="1053A6D6" w14:textId="08DA02C3" w:rsidR="0099421A" w:rsidRDefault="0099421A" w:rsidP="0099421A">
      <w:pPr>
        <w:pStyle w:val="ONUMA"/>
        <w:numPr>
          <w:ilvl w:val="1"/>
          <w:numId w:val="7"/>
        </w:numPr>
      </w:pPr>
      <w:r w:rsidRPr="0099421A">
        <w:rPr>
          <w:rFonts w:hint="cs"/>
          <w:rtl/>
        </w:rPr>
        <w:t>وإعادة تسمية ملحق المرفق الثاني وعنوانه؛</w:t>
      </w:r>
    </w:p>
    <w:p w14:paraId="61215EBE" w14:textId="4E1B2F29" w:rsidR="0099421A" w:rsidRDefault="0099421A" w:rsidP="0099421A">
      <w:pPr>
        <w:pStyle w:val="ONUMA"/>
        <w:numPr>
          <w:ilvl w:val="1"/>
          <w:numId w:val="7"/>
        </w:numPr>
      </w:pPr>
      <w:r w:rsidRPr="0099421A">
        <w:rPr>
          <w:rFonts w:hint="cs"/>
          <w:rtl/>
        </w:rPr>
        <w:t>وإضافة الملحق باء إلى المرفق الثاني – مثال على حزمة بيانات وثائق الأولوية (</w:t>
      </w:r>
      <w:r w:rsidRPr="0099421A">
        <w:t>PDDP</w:t>
      </w:r>
      <w:r w:rsidRPr="0099421A">
        <w:rPr>
          <w:rFonts w:hint="cs"/>
          <w:rtl/>
        </w:rPr>
        <w:t>) الخاصة بالتصاميم الصناعية في شكل جدول؛</w:t>
      </w:r>
    </w:p>
    <w:p w14:paraId="27B94A66" w14:textId="57AF51A6" w:rsidR="0099421A" w:rsidRDefault="0099421A" w:rsidP="0099421A">
      <w:pPr>
        <w:pStyle w:val="ONUMA"/>
        <w:numPr>
          <w:ilvl w:val="1"/>
          <w:numId w:val="7"/>
        </w:numPr>
      </w:pPr>
      <w:r w:rsidRPr="0099421A">
        <w:rPr>
          <w:rFonts w:hint="cs"/>
          <w:rtl/>
        </w:rPr>
        <w:t>وإضافة الملحق جيم إلى المرفق الثاني – مثال على حزمة بيانات وثائق الأولوية (</w:t>
      </w:r>
      <w:r w:rsidRPr="0099421A">
        <w:t>PDDP</w:t>
      </w:r>
      <w:r w:rsidRPr="0099421A">
        <w:rPr>
          <w:rFonts w:hint="cs"/>
          <w:rtl/>
        </w:rPr>
        <w:t>) الخاصة بالعلامات التجارية في شكل جدول؛</w:t>
      </w:r>
    </w:p>
    <w:p w14:paraId="536C01C1" w14:textId="4EE141FA" w:rsidR="0099421A" w:rsidRDefault="0099421A" w:rsidP="0099421A">
      <w:pPr>
        <w:pStyle w:val="ONUMA"/>
        <w:numPr>
          <w:ilvl w:val="1"/>
          <w:numId w:val="7"/>
        </w:numPr>
      </w:pPr>
      <w:r w:rsidRPr="0099421A">
        <w:rPr>
          <w:rFonts w:hint="cs"/>
          <w:rtl/>
        </w:rPr>
        <w:t>وإدخال تغييرات تحريرية وتصحيحات نحوية طفيفة.</w:t>
      </w:r>
    </w:p>
    <w:p w14:paraId="0FED3456" w14:textId="2B11DC42" w:rsidR="0099421A" w:rsidRDefault="0099421A" w:rsidP="0099421A">
      <w:pPr>
        <w:pStyle w:val="ONUMA"/>
      </w:pPr>
      <w:r w:rsidRPr="0099421A">
        <w:rPr>
          <w:rFonts w:hint="cs"/>
          <w:rtl/>
        </w:rPr>
        <w:t>وبالإضافة إلى التغييرات المبي</w:t>
      </w:r>
      <w:r>
        <w:rPr>
          <w:rFonts w:hint="cs"/>
          <w:rtl/>
        </w:rPr>
        <w:t>ّ</w:t>
      </w:r>
      <w:r w:rsidRPr="0099421A">
        <w:rPr>
          <w:rFonts w:hint="cs"/>
          <w:rtl/>
        </w:rPr>
        <w:t xml:space="preserve">نة في الفقرة 17 أعلاه، تقترح الأمانة والهيئة المشرفة على فرقة العمل إجراء المراجعات الإضافية التالية على معيار الويبو </w:t>
      </w:r>
      <w:r w:rsidRPr="0099421A">
        <w:t>ST.92</w:t>
      </w:r>
      <w:r w:rsidRPr="0099421A">
        <w:rPr>
          <w:rFonts w:hint="cs"/>
          <w:rtl/>
        </w:rPr>
        <w:t>:</w:t>
      </w:r>
    </w:p>
    <w:p w14:paraId="741FE8ED" w14:textId="2AED96F3" w:rsidR="0099421A" w:rsidRDefault="0099421A" w:rsidP="0099421A">
      <w:pPr>
        <w:pStyle w:val="ONUMA"/>
        <w:numPr>
          <w:ilvl w:val="1"/>
          <w:numId w:val="7"/>
        </w:numPr>
      </w:pPr>
      <w:r w:rsidRPr="0099421A">
        <w:rPr>
          <w:rFonts w:hint="cs"/>
          <w:rtl/>
        </w:rPr>
        <w:t xml:space="preserve">إزالة ملاحظات الإصدار واستبدالها بوثائق مدمجة ضمن تعريف مخطط </w:t>
      </w:r>
      <w:r w:rsidRPr="0099421A">
        <w:t>XML</w:t>
      </w:r>
      <w:r w:rsidRPr="0099421A">
        <w:rPr>
          <w:rFonts w:hint="cs"/>
          <w:rtl/>
        </w:rPr>
        <w:t xml:space="preserve"> في المرفق الأول من المعيار؛</w:t>
      </w:r>
    </w:p>
    <w:p w14:paraId="4013D294" w14:textId="02F75038" w:rsidR="0099421A" w:rsidRDefault="0099421A" w:rsidP="0099421A">
      <w:pPr>
        <w:pStyle w:val="ONUMA"/>
        <w:numPr>
          <w:ilvl w:val="1"/>
          <w:numId w:val="7"/>
        </w:numPr>
      </w:pPr>
      <w:r w:rsidRPr="0099421A">
        <w:rPr>
          <w:rFonts w:hint="cs"/>
          <w:rtl/>
        </w:rPr>
        <w:t xml:space="preserve">واستبدال مصطلح </w:t>
      </w:r>
      <w:r w:rsidR="008E413A">
        <w:rPr>
          <w:rFonts w:hint="cs"/>
          <w:rtl/>
        </w:rPr>
        <w:t>"</w:t>
      </w:r>
      <w:r w:rsidRPr="0099421A">
        <w:rPr>
          <w:rFonts w:hint="cs"/>
          <w:rtl/>
        </w:rPr>
        <w:t>التصميم الصناعي</w:t>
      </w:r>
      <w:r w:rsidR="008E413A">
        <w:rPr>
          <w:rFonts w:hint="cs"/>
          <w:rtl/>
        </w:rPr>
        <w:t>"</w:t>
      </w:r>
      <w:r w:rsidRPr="0099421A">
        <w:rPr>
          <w:rFonts w:hint="cs"/>
          <w:rtl/>
        </w:rPr>
        <w:t xml:space="preserve"> بمصطلح </w:t>
      </w:r>
      <w:r w:rsidR="008E413A">
        <w:rPr>
          <w:rFonts w:hint="cs"/>
          <w:rtl/>
        </w:rPr>
        <w:t>"</w:t>
      </w:r>
      <w:r w:rsidRPr="0099421A">
        <w:rPr>
          <w:rFonts w:hint="cs"/>
          <w:rtl/>
        </w:rPr>
        <w:t>التصميم</w:t>
      </w:r>
      <w:r w:rsidR="008E413A">
        <w:rPr>
          <w:rFonts w:hint="cs"/>
          <w:rtl/>
        </w:rPr>
        <w:t>"</w:t>
      </w:r>
      <w:r w:rsidRPr="0099421A">
        <w:rPr>
          <w:rFonts w:hint="cs"/>
          <w:rtl/>
        </w:rPr>
        <w:t xml:space="preserve"> في جميع أسماء المكونات المتعلقة بالتصاميم في المخطط، لضمان الاتساق مع معيار الويبو </w:t>
      </w:r>
      <w:r w:rsidRPr="0099421A">
        <w:t>ST.96</w:t>
      </w:r>
      <w:r w:rsidRPr="0099421A">
        <w:rPr>
          <w:rFonts w:hint="cs"/>
          <w:rtl/>
        </w:rPr>
        <w:t>؛</w:t>
      </w:r>
    </w:p>
    <w:p w14:paraId="2BF3A6AF" w14:textId="182D95DA" w:rsidR="008E413A" w:rsidRPr="008E413A" w:rsidRDefault="008E413A" w:rsidP="0099421A">
      <w:pPr>
        <w:pStyle w:val="ONUMA"/>
        <w:numPr>
          <w:ilvl w:val="1"/>
          <w:numId w:val="7"/>
        </w:numPr>
      </w:pPr>
      <w:r w:rsidRPr="008E413A">
        <w:rPr>
          <w:rFonts w:hint="cs"/>
          <w:rtl/>
        </w:rPr>
        <w:t>و</w:t>
      </w:r>
      <w:r w:rsidRPr="008E413A">
        <w:rPr>
          <w:rFonts w:eastAsia="SimSun" w:hint="cs"/>
          <w:rtl/>
          <w:lang w:eastAsia="zh-CN"/>
        </w:rPr>
        <w:t xml:space="preserve"> إعادة تسمية العنصر </w:t>
      </w:r>
      <w:r w:rsidRPr="008E413A">
        <w:rPr>
          <w:rFonts w:ascii="Courier New" w:eastAsia="SimSun" w:hAnsi="Courier New"/>
          <w:lang w:eastAsia="zh-CN"/>
        </w:rPr>
        <w:t>pde:IPTypeCategory</w:t>
      </w:r>
      <w:r w:rsidRPr="008E413A">
        <w:rPr>
          <w:rFonts w:eastAsia="SimSun" w:hint="cs"/>
          <w:rtl/>
          <w:lang w:eastAsia="zh-CN"/>
        </w:rPr>
        <w:t xml:space="preserve"> ليصبح </w:t>
      </w:r>
      <w:r w:rsidRPr="008E413A">
        <w:rPr>
          <w:rFonts w:ascii="Courier New" w:eastAsia="SimSun" w:hAnsi="Courier New"/>
          <w:lang w:eastAsia="zh-CN"/>
        </w:rPr>
        <w:t>pde:IPRightKindCategory</w:t>
      </w:r>
      <w:r w:rsidRPr="008E413A">
        <w:rPr>
          <w:rFonts w:ascii="Courier New" w:eastAsia="SimSun" w:hAnsi="Courier New" w:hint="cs"/>
          <w:rtl/>
          <w:lang w:eastAsia="zh-CN"/>
        </w:rPr>
        <w:t>،</w:t>
      </w:r>
      <w:r>
        <w:rPr>
          <w:rFonts w:ascii="Courier New" w:eastAsia="SimSun" w:hAnsi="Courier New" w:hint="cs"/>
          <w:rtl/>
          <w:lang w:eastAsia="zh-CN"/>
        </w:rPr>
        <w:t xml:space="preserve"> </w:t>
      </w:r>
      <w:r w:rsidRPr="008E413A">
        <w:rPr>
          <w:rFonts w:eastAsia="SimSun" w:hint="cs"/>
          <w:rtl/>
          <w:lang w:eastAsia="zh-CN"/>
        </w:rPr>
        <w:t xml:space="preserve">بما يتماشى مع المصطلحات المستخدمة في معيار الويبو </w:t>
      </w:r>
      <w:r w:rsidRPr="008E413A">
        <w:rPr>
          <w:rFonts w:eastAsia="SimSun"/>
          <w:lang w:eastAsia="zh-CN"/>
        </w:rPr>
        <w:t>ST.96</w:t>
      </w:r>
      <w:r w:rsidRPr="008E413A">
        <w:rPr>
          <w:rFonts w:eastAsia="SimSun" w:hint="cs"/>
          <w:rtl/>
          <w:lang w:eastAsia="zh-CN"/>
        </w:rPr>
        <w:t>؛</w:t>
      </w:r>
    </w:p>
    <w:p w14:paraId="4BD07BE3" w14:textId="77175C7E" w:rsidR="008E413A" w:rsidRPr="008E413A" w:rsidRDefault="008E413A" w:rsidP="0099421A">
      <w:pPr>
        <w:pStyle w:val="ONUMA"/>
        <w:numPr>
          <w:ilvl w:val="1"/>
          <w:numId w:val="7"/>
        </w:numPr>
      </w:pPr>
      <w:r w:rsidRPr="008E413A">
        <w:rPr>
          <w:rFonts w:eastAsia="SimSun" w:hint="cs"/>
          <w:rtl/>
          <w:lang w:eastAsia="zh-CN"/>
        </w:rPr>
        <w:t xml:space="preserve">واستخدام عنصري </w:t>
      </w:r>
      <w:r w:rsidRPr="008E413A">
        <w:rPr>
          <w:rFonts w:ascii="Courier New" w:eastAsia="SimSun" w:hAnsi="Courier New"/>
          <w:lang w:eastAsia="zh-CN"/>
        </w:rPr>
        <w:t>dgn:AllDesignsIndicator</w:t>
      </w:r>
      <w:r w:rsidRPr="008E413A">
        <w:rPr>
          <w:rFonts w:eastAsia="SimSun" w:hint="cs"/>
          <w:rtl/>
          <w:lang w:eastAsia="zh-CN"/>
        </w:rPr>
        <w:t xml:space="preserve"> و </w:t>
      </w:r>
      <w:r w:rsidRPr="008E413A">
        <w:rPr>
          <w:rFonts w:ascii="Courier New" w:eastAsia="SimSun" w:hAnsi="Courier New"/>
          <w:lang w:eastAsia="zh-CN"/>
        </w:rPr>
        <w:t>dgn:DesignIdentifierBag</w:t>
      </w:r>
      <w:r w:rsidRPr="008E413A">
        <w:rPr>
          <w:rFonts w:eastAsia="SimSun" w:hint="cs"/>
          <w:rtl/>
          <w:lang w:eastAsia="zh-CN"/>
        </w:rPr>
        <w:t xml:space="preserve"> من نطاق أسماء التصاميم الذي يتيحه معيار</w:t>
      </w:r>
      <w:r w:rsidR="00F90A01">
        <w:rPr>
          <w:rFonts w:eastAsia="SimSun" w:hint="cs"/>
          <w:rtl/>
          <w:lang w:eastAsia="zh-CN"/>
        </w:rPr>
        <w:t xml:space="preserve"> الويبو</w:t>
      </w:r>
      <w:r w:rsidRPr="008E413A">
        <w:rPr>
          <w:rFonts w:eastAsia="SimSun" w:hint="cs"/>
          <w:rtl/>
          <w:lang w:eastAsia="zh-CN"/>
        </w:rPr>
        <w:t xml:space="preserve"> </w:t>
      </w:r>
      <w:r w:rsidRPr="008E413A">
        <w:rPr>
          <w:rFonts w:eastAsia="SimSun"/>
          <w:lang w:eastAsia="zh-CN"/>
        </w:rPr>
        <w:t>ST.96</w:t>
      </w:r>
      <w:r w:rsidRPr="008E413A">
        <w:rPr>
          <w:rFonts w:eastAsia="SimSun" w:hint="cs"/>
          <w:rtl/>
          <w:lang w:eastAsia="zh-CN"/>
        </w:rPr>
        <w:t>؛</w:t>
      </w:r>
    </w:p>
    <w:p w14:paraId="00E4D64F" w14:textId="728D8734" w:rsidR="008E413A" w:rsidRDefault="008E413A" w:rsidP="008E413A">
      <w:pPr>
        <w:pStyle w:val="ONUMA"/>
        <w:numPr>
          <w:ilvl w:val="1"/>
          <w:numId w:val="7"/>
        </w:numPr>
      </w:pPr>
      <w:r w:rsidRPr="008E413A">
        <w:rPr>
          <w:rFonts w:hint="cs"/>
          <w:rtl/>
        </w:rPr>
        <w:t xml:space="preserve">وتحسين وتوضيح أوصاف العديد من المكونات ضمن تعريف مخطط </w:t>
      </w:r>
      <w:r w:rsidRPr="008E413A">
        <w:t>XML</w:t>
      </w:r>
      <w:r w:rsidRPr="008E413A">
        <w:rPr>
          <w:rFonts w:hint="cs"/>
          <w:rtl/>
        </w:rPr>
        <w:t>؛</w:t>
      </w:r>
    </w:p>
    <w:p w14:paraId="5FA1EDD0" w14:textId="3DFDEDFD" w:rsidR="008E413A" w:rsidRPr="008E413A" w:rsidRDefault="0045001C" w:rsidP="008E413A">
      <w:pPr>
        <w:pStyle w:val="ONUMA"/>
        <w:numPr>
          <w:ilvl w:val="1"/>
          <w:numId w:val="7"/>
        </w:numPr>
      </w:pPr>
      <w:r>
        <w:rPr>
          <w:rFonts w:eastAsia="SimSun" w:hint="cs"/>
          <w:rtl/>
          <w:lang w:eastAsia="zh-CN"/>
        </w:rPr>
        <w:t>و</w:t>
      </w:r>
      <w:r w:rsidRPr="0045001C">
        <w:rPr>
          <w:rFonts w:eastAsia="SimSun"/>
          <w:rtl/>
          <w:lang w:eastAsia="zh-CN"/>
        </w:rPr>
        <w:t xml:space="preserve">إضافة </w:t>
      </w:r>
      <w:r w:rsidRPr="0045001C">
        <w:rPr>
          <w:rFonts w:ascii="Courier New" w:eastAsia="SimSun" w:hAnsi="Courier New"/>
          <w:lang w:eastAsia="zh-CN"/>
        </w:rPr>
        <w:t>ArchiveFormatCategoryType</w:t>
      </w:r>
      <w:r w:rsidRPr="0045001C">
        <w:rPr>
          <w:rFonts w:eastAsia="SimSun"/>
          <w:rtl/>
          <w:lang w:eastAsia="zh-CN"/>
        </w:rPr>
        <w:t xml:space="preserve"> تحت نطاق الأسماء </w:t>
      </w:r>
      <w:r>
        <w:rPr>
          <w:rFonts w:eastAsia="SimSun" w:hint="cs"/>
          <w:rtl/>
          <w:lang w:eastAsia="zh-CN"/>
        </w:rPr>
        <w:t>"</w:t>
      </w:r>
      <w:r w:rsidRPr="0045001C">
        <w:rPr>
          <w:rFonts w:eastAsia="SimSun"/>
          <w:lang w:eastAsia="zh-CN"/>
        </w:rPr>
        <w:t>pde</w:t>
      </w:r>
      <w:r>
        <w:rPr>
          <w:rFonts w:eastAsia="SimSun" w:hint="cs"/>
          <w:rtl/>
          <w:lang w:eastAsia="zh-CN"/>
        </w:rPr>
        <w:t>"</w:t>
      </w:r>
      <w:r w:rsidRPr="0045001C">
        <w:rPr>
          <w:rFonts w:eastAsia="SimSun"/>
          <w:rtl/>
          <w:lang w:eastAsia="zh-CN"/>
        </w:rPr>
        <w:t xml:space="preserve"> بقيمتين تعداديتين هما ’</w:t>
      </w:r>
      <w:r w:rsidRPr="0045001C">
        <w:rPr>
          <w:rFonts w:eastAsia="SimSun"/>
          <w:lang w:eastAsia="zh-CN"/>
        </w:rPr>
        <w:t>ZIP</w:t>
      </w:r>
      <w:r>
        <w:rPr>
          <w:rFonts w:eastAsia="SimSun" w:hint="cs"/>
          <w:rtl/>
          <w:lang w:eastAsia="zh-CN"/>
        </w:rPr>
        <w:t>‘</w:t>
      </w:r>
      <w:r w:rsidRPr="0045001C">
        <w:rPr>
          <w:rFonts w:eastAsia="SimSun"/>
          <w:rtl/>
          <w:lang w:eastAsia="zh-CN"/>
        </w:rPr>
        <w:t xml:space="preserve"> و’</w:t>
      </w:r>
      <w:r w:rsidRPr="0045001C">
        <w:rPr>
          <w:rFonts w:eastAsia="SimSun"/>
          <w:lang w:eastAsia="zh-CN"/>
        </w:rPr>
        <w:t>TAR</w:t>
      </w:r>
      <w:r>
        <w:rPr>
          <w:rFonts w:eastAsia="SimSun" w:hint="cs"/>
          <w:rtl/>
          <w:lang w:eastAsia="zh-CN"/>
        </w:rPr>
        <w:t>‘</w:t>
      </w:r>
      <w:r w:rsidR="008E413A" w:rsidRPr="008E413A">
        <w:rPr>
          <w:rFonts w:eastAsia="SimSun" w:hint="cs"/>
          <w:rtl/>
          <w:lang w:eastAsia="zh-CN"/>
        </w:rPr>
        <w:t>؛</w:t>
      </w:r>
    </w:p>
    <w:p w14:paraId="44A8E609" w14:textId="519FE909" w:rsidR="008E413A" w:rsidRPr="008E413A" w:rsidRDefault="008E413A" w:rsidP="008E413A">
      <w:pPr>
        <w:pStyle w:val="ONUMA"/>
        <w:numPr>
          <w:ilvl w:val="1"/>
          <w:numId w:val="7"/>
        </w:numPr>
      </w:pPr>
      <w:r w:rsidRPr="008E413A">
        <w:rPr>
          <w:rFonts w:eastAsia="SimSun" w:hint="cs"/>
          <w:rtl/>
          <w:lang w:eastAsia="zh-CN"/>
        </w:rPr>
        <w:t xml:space="preserve">واستبدال النوع </w:t>
      </w:r>
      <w:r w:rsidRPr="008E413A">
        <w:rPr>
          <w:rFonts w:ascii="Courier New" w:hAnsi="Courier New"/>
        </w:rPr>
        <w:t>pde:DocumentFormatCategoryType</w:t>
      </w:r>
      <w:r w:rsidRPr="008E413A">
        <w:rPr>
          <w:rFonts w:hint="cs"/>
          <w:rtl/>
        </w:rPr>
        <w:t xml:space="preserve"> </w:t>
      </w:r>
      <w:r w:rsidRPr="008E413A">
        <w:rPr>
          <w:rFonts w:eastAsia="SimSun" w:hint="cs"/>
          <w:rtl/>
          <w:lang w:eastAsia="zh-CN"/>
        </w:rPr>
        <w:t xml:space="preserve">بالنوع الجديد </w:t>
      </w:r>
      <w:r w:rsidRPr="008E413A">
        <w:rPr>
          <w:rFonts w:ascii="Courier New" w:eastAsia="SimSun" w:hAnsi="Courier New"/>
          <w:lang w:eastAsia="zh-CN"/>
        </w:rPr>
        <w:t>pde:DocumentFileFormatCormatCategoryType</w:t>
      </w:r>
      <w:r w:rsidRPr="008E413A">
        <w:rPr>
          <w:rFonts w:ascii="Courier New" w:eastAsia="SimSun" w:hAnsi="Courier New" w:hint="cs"/>
          <w:rtl/>
          <w:lang w:eastAsia="zh-CN"/>
        </w:rPr>
        <w:t>،</w:t>
      </w:r>
      <w:r w:rsidRPr="008E413A">
        <w:rPr>
          <w:rFonts w:eastAsia="SimSun" w:hint="cs"/>
          <w:rtl/>
          <w:lang w:eastAsia="zh-CN"/>
        </w:rPr>
        <w:t xml:space="preserve"> الذي تم تعريفه على أنه اتحاد الأنواع التالية:</w:t>
      </w:r>
    </w:p>
    <w:p w14:paraId="70600301" w14:textId="77777777" w:rsidR="008E413A" w:rsidRPr="008E413A" w:rsidRDefault="008E413A" w:rsidP="008E413A">
      <w:pPr>
        <w:numPr>
          <w:ilvl w:val="0"/>
          <w:numId w:val="33"/>
        </w:numPr>
        <w:spacing w:after="220"/>
        <w:rPr>
          <w:rFonts w:ascii="Courier New" w:hAnsi="Courier New" w:cs="Arial"/>
          <w:szCs w:val="20"/>
          <w:rtl/>
        </w:rPr>
      </w:pPr>
      <w:r w:rsidRPr="008E413A">
        <w:rPr>
          <w:rFonts w:ascii="Courier New" w:hAnsi="Courier New" w:cs="Arial"/>
          <w:szCs w:val="20"/>
        </w:rPr>
        <w:t>com:DocumentFormatCategoryType</w:t>
      </w:r>
    </w:p>
    <w:p w14:paraId="2E603D7E" w14:textId="77777777" w:rsidR="008E413A" w:rsidRPr="008E413A" w:rsidRDefault="008E413A" w:rsidP="008E413A">
      <w:pPr>
        <w:numPr>
          <w:ilvl w:val="0"/>
          <w:numId w:val="33"/>
        </w:numPr>
        <w:spacing w:after="220"/>
        <w:rPr>
          <w:rFonts w:ascii="Courier New" w:hAnsi="Courier New" w:cs="Arial"/>
          <w:szCs w:val="20"/>
          <w:rtl/>
        </w:rPr>
      </w:pPr>
      <w:r w:rsidRPr="008E413A">
        <w:rPr>
          <w:rFonts w:ascii="Courier New" w:hAnsi="Courier New" w:cs="Arial"/>
          <w:szCs w:val="20"/>
        </w:rPr>
        <w:t>com:ThreeDModelFormatCategoryType</w:t>
      </w:r>
    </w:p>
    <w:p w14:paraId="3D23D5A1" w14:textId="77777777" w:rsidR="008E413A" w:rsidRPr="008E413A" w:rsidRDefault="008E413A" w:rsidP="008E413A">
      <w:pPr>
        <w:numPr>
          <w:ilvl w:val="0"/>
          <w:numId w:val="33"/>
        </w:numPr>
        <w:spacing w:after="220"/>
        <w:rPr>
          <w:rFonts w:ascii="Courier New" w:hAnsi="Courier New" w:cs="Arial"/>
          <w:szCs w:val="20"/>
          <w:rtl/>
        </w:rPr>
      </w:pPr>
      <w:r w:rsidRPr="008E413A">
        <w:rPr>
          <w:rFonts w:ascii="Courier New" w:hAnsi="Courier New" w:cs="Arial"/>
          <w:szCs w:val="20"/>
        </w:rPr>
        <w:t>dgn:ViewFileFormatCategoryType</w:t>
      </w:r>
    </w:p>
    <w:p w14:paraId="22C74693" w14:textId="77777777" w:rsidR="008E413A" w:rsidRPr="008E413A" w:rsidRDefault="008E413A" w:rsidP="008E413A">
      <w:pPr>
        <w:numPr>
          <w:ilvl w:val="0"/>
          <w:numId w:val="33"/>
        </w:numPr>
        <w:spacing w:after="220"/>
        <w:rPr>
          <w:rFonts w:ascii="Courier New" w:hAnsi="Courier New" w:cs="Arial"/>
          <w:szCs w:val="20"/>
          <w:rtl/>
        </w:rPr>
      </w:pPr>
      <w:r w:rsidRPr="008E413A">
        <w:rPr>
          <w:rFonts w:ascii="Courier New" w:hAnsi="Courier New" w:cs="Arial"/>
          <w:szCs w:val="20"/>
        </w:rPr>
        <w:t>tmk:MarkMultimediaFileFormatCategoryType</w:t>
      </w:r>
    </w:p>
    <w:p w14:paraId="51EB3B03" w14:textId="77777777" w:rsidR="008E413A" w:rsidRDefault="008E413A" w:rsidP="008E413A">
      <w:pPr>
        <w:numPr>
          <w:ilvl w:val="0"/>
          <w:numId w:val="33"/>
        </w:numPr>
        <w:spacing w:after="220"/>
        <w:rPr>
          <w:rFonts w:ascii="Courier New" w:hAnsi="Courier New" w:cs="Arial"/>
          <w:szCs w:val="20"/>
        </w:rPr>
      </w:pPr>
      <w:r w:rsidRPr="008E413A">
        <w:rPr>
          <w:rFonts w:ascii="Courier New" w:hAnsi="Courier New" w:cs="Arial"/>
          <w:szCs w:val="20"/>
        </w:rPr>
        <w:t>tmk:SoundFileFormatFileCategoryType</w:t>
      </w:r>
    </w:p>
    <w:p w14:paraId="0AAE75B2" w14:textId="6EC1994D" w:rsidR="0045001C" w:rsidRPr="008E413A" w:rsidRDefault="0045001C" w:rsidP="0045001C">
      <w:pPr>
        <w:numPr>
          <w:ilvl w:val="0"/>
          <w:numId w:val="33"/>
        </w:numPr>
        <w:spacing w:after="220"/>
        <w:rPr>
          <w:rFonts w:ascii="Courier New" w:hAnsi="Courier New" w:cs="Arial"/>
          <w:szCs w:val="20"/>
          <w:rtl/>
        </w:rPr>
      </w:pPr>
      <w:r w:rsidRPr="0045001C">
        <w:rPr>
          <w:rFonts w:ascii="Courier New" w:hAnsi="Courier New" w:cs="Arial"/>
          <w:szCs w:val="20"/>
        </w:rPr>
        <w:t>pde:ArchiveFormatCategoryType</w:t>
      </w:r>
    </w:p>
    <w:p w14:paraId="73460835" w14:textId="4AC5F3D0" w:rsidR="008E413A" w:rsidRPr="002664D9" w:rsidRDefault="002664D9" w:rsidP="008E413A">
      <w:pPr>
        <w:pStyle w:val="ONUMA"/>
        <w:numPr>
          <w:ilvl w:val="1"/>
          <w:numId w:val="7"/>
        </w:numPr>
      </w:pPr>
      <w:r w:rsidRPr="002664D9">
        <w:rPr>
          <w:rFonts w:eastAsia="SimSun" w:hint="cs"/>
          <w:rtl/>
          <w:lang w:eastAsia="zh-CN"/>
        </w:rPr>
        <w:t xml:space="preserve">وتضمين المكونات المفقودة في بنيتي </w:t>
      </w:r>
      <w:r w:rsidRPr="002664D9">
        <w:rPr>
          <w:rFonts w:ascii="Courier New" w:eastAsia="SimSun" w:hAnsi="Courier New"/>
          <w:lang w:eastAsia="zh-CN"/>
        </w:rPr>
        <w:t>DesignSupplementaryDocumentCocumentCategory</w:t>
      </w:r>
      <w:r>
        <w:rPr>
          <w:rFonts w:eastAsia="SimSun" w:hint="cs"/>
          <w:rtl/>
          <w:lang w:eastAsia="zh-CN"/>
        </w:rPr>
        <w:t xml:space="preserve"> </w:t>
      </w:r>
      <w:r w:rsidRPr="002664D9">
        <w:rPr>
          <w:rFonts w:eastAsia="SimSun" w:hint="cs"/>
          <w:rtl/>
          <w:lang w:eastAsia="zh-CN"/>
        </w:rPr>
        <w:t>و</w:t>
      </w:r>
      <w:r w:rsidRPr="002664D9">
        <w:rPr>
          <w:rFonts w:ascii="Courier New" w:eastAsia="SimSun" w:hAnsi="Courier New"/>
          <w:lang w:eastAsia="zh-CN"/>
        </w:rPr>
        <w:t>TrademarkSupplementaryDocumentCategory</w:t>
      </w:r>
      <w:r w:rsidRPr="002664D9">
        <w:rPr>
          <w:rFonts w:eastAsia="SimSun" w:hint="cs"/>
          <w:rtl/>
          <w:lang w:eastAsia="zh-CN"/>
        </w:rPr>
        <w:t>؛</w:t>
      </w:r>
    </w:p>
    <w:p w14:paraId="6CCB298A" w14:textId="272750D3" w:rsidR="002664D9" w:rsidRPr="002664D9" w:rsidRDefault="002664D9" w:rsidP="008E413A">
      <w:pPr>
        <w:pStyle w:val="ONUMA"/>
        <w:numPr>
          <w:ilvl w:val="1"/>
          <w:numId w:val="7"/>
        </w:numPr>
      </w:pPr>
      <w:r w:rsidRPr="002664D9">
        <w:rPr>
          <w:rFonts w:eastAsia="SimSun" w:hint="cs"/>
          <w:rtl/>
          <w:lang w:eastAsia="zh-CN"/>
        </w:rPr>
        <w:t xml:space="preserve">واستبدال </w:t>
      </w:r>
      <w:r w:rsidRPr="002664D9">
        <w:rPr>
          <w:rFonts w:ascii="Courier New" w:eastAsia="SimSun" w:hAnsi="Courier New"/>
          <w:lang w:eastAsia="zh-CN"/>
        </w:rPr>
        <w:t>pde:ApplicationFilingDate</w:t>
      </w:r>
      <w:r w:rsidRPr="002664D9">
        <w:rPr>
          <w:rFonts w:eastAsia="SimSun" w:hint="cs"/>
          <w:rtl/>
          <w:lang w:eastAsia="zh-CN"/>
        </w:rPr>
        <w:t xml:space="preserve"> بـ </w:t>
      </w:r>
      <w:r w:rsidRPr="002664D9">
        <w:rPr>
          <w:rFonts w:ascii="Courier New" w:eastAsia="SimSun" w:hAnsi="Courier New"/>
          <w:lang w:eastAsia="zh-CN"/>
        </w:rPr>
        <w:t>com:ApplicationDate</w:t>
      </w:r>
      <w:r w:rsidRPr="002664D9">
        <w:rPr>
          <w:rFonts w:eastAsia="SimSun" w:hint="cs"/>
          <w:rtl/>
          <w:lang w:eastAsia="zh-CN"/>
        </w:rPr>
        <w:t>؛</w:t>
      </w:r>
    </w:p>
    <w:p w14:paraId="3AC2F130" w14:textId="19253BD1" w:rsidR="002664D9" w:rsidRPr="002664D9" w:rsidRDefault="002664D9" w:rsidP="008E413A">
      <w:pPr>
        <w:pStyle w:val="ONUMA"/>
        <w:numPr>
          <w:ilvl w:val="1"/>
          <w:numId w:val="7"/>
        </w:numPr>
      </w:pPr>
      <w:r w:rsidRPr="002664D9">
        <w:rPr>
          <w:rFonts w:eastAsia="SimSun" w:hint="cs"/>
          <w:rtl/>
          <w:lang w:eastAsia="zh-CN"/>
        </w:rPr>
        <w:t xml:space="preserve">واستبدال </w:t>
      </w:r>
      <w:r w:rsidRPr="002664D9">
        <w:rPr>
          <w:rFonts w:ascii="Courier New" w:eastAsia="SimSun" w:hAnsi="Courier New"/>
          <w:lang w:eastAsia="zh-CN"/>
        </w:rPr>
        <w:t>pde:ApplicationNumber</w:t>
      </w:r>
      <w:r w:rsidRPr="002664D9">
        <w:rPr>
          <w:rFonts w:eastAsia="SimSun" w:hint="cs"/>
          <w:rtl/>
          <w:lang w:eastAsia="zh-CN"/>
        </w:rPr>
        <w:t xml:space="preserve"> بـ </w:t>
      </w:r>
      <w:r w:rsidRPr="002664D9">
        <w:rPr>
          <w:rFonts w:ascii="Courier New" w:eastAsia="SimSun" w:hAnsi="Courier New"/>
          <w:lang w:eastAsia="zh-CN"/>
        </w:rPr>
        <w:t>com:IPOfficeCode</w:t>
      </w:r>
      <w:r w:rsidRPr="002664D9">
        <w:rPr>
          <w:rFonts w:eastAsia="SimSun" w:hint="cs"/>
          <w:rtl/>
          <w:lang w:eastAsia="zh-CN"/>
        </w:rPr>
        <w:t xml:space="preserve"> و</w:t>
      </w:r>
      <w:r w:rsidRPr="002664D9">
        <w:rPr>
          <w:rFonts w:ascii="Courier New" w:eastAsia="SimSun" w:hAnsi="Courier New"/>
          <w:lang w:eastAsia="zh-CN"/>
        </w:rPr>
        <w:t>com:ApplicationNumber</w:t>
      </w:r>
      <w:r w:rsidRPr="002664D9">
        <w:rPr>
          <w:rFonts w:eastAsia="SimSun" w:hint="cs"/>
          <w:rtl/>
          <w:lang w:eastAsia="zh-CN"/>
        </w:rPr>
        <w:t>؛</w:t>
      </w:r>
    </w:p>
    <w:p w14:paraId="45C18123" w14:textId="0E20ADC7" w:rsidR="002664D9" w:rsidRDefault="002664D9" w:rsidP="002664D9">
      <w:pPr>
        <w:pStyle w:val="ONUMA"/>
        <w:numPr>
          <w:ilvl w:val="1"/>
          <w:numId w:val="7"/>
        </w:numPr>
      </w:pPr>
      <w:r w:rsidRPr="002664D9">
        <w:rPr>
          <w:rFonts w:hint="cs"/>
          <w:rtl/>
        </w:rPr>
        <w:t>وإضافة "تصوير التصميم الصناعي" و"تصوير العلامة التجارية" إلى قائمة فئات الوثائق، بدلاً من "ملفات الوسائط أو</w:t>
      </w:r>
      <w:r>
        <w:rPr>
          <w:rFonts w:hint="eastAsia"/>
          <w:rtl/>
        </w:rPr>
        <w:t> </w:t>
      </w:r>
      <w:r w:rsidRPr="002664D9">
        <w:rPr>
          <w:rFonts w:hint="cs"/>
          <w:rtl/>
        </w:rPr>
        <w:t>روابط ملفات الوسائط" و"ملفات الصور الثنائية الأبعاد/الثلاثية الأبعاد"؛</w:t>
      </w:r>
    </w:p>
    <w:p w14:paraId="148D6ACE" w14:textId="5FA087AE" w:rsidR="002664D9" w:rsidRDefault="002664D9" w:rsidP="002664D9">
      <w:pPr>
        <w:pStyle w:val="ONUMA"/>
        <w:numPr>
          <w:ilvl w:val="1"/>
          <w:numId w:val="7"/>
        </w:numPr>
      </w:pPr>
      <w:r w:rsidRPr="002664D9">
        <w:rPr>
          <w:rFonts w:hint="cs"/>
          <w:rtl/>
        </w:rPr>
        <w:t xml:space="preserve">وإدراج جميع التغييرات المذكورة أعلاه في أمثلة نماذج </w:t>
      </w:r>
      <w:r w:rsidRPr="002664D9">
        <w:t>XML</w:t>
      </w:r>
      <w:r w:rsidRPr="002664D9">
        <w:rPr>
          <w:rFonts w:hint="cs"/>
          <w:rtl/>
        </w:rPr>
        <w:t xml:space="preserve"> الخاصة بالبراءات والتصاميم والعلامات التجارية، كما هو مبيّن في الملاحق ألف وباء وجيم من المرفق الأول.</w:t>
      </w:r>
    </w:p>
    <w:p w14:paraId="21709C14" w14:textId="77777777" w:rsidR="002664D9" w:rsidRPr="002664D9" w:rsidRDefault="002664D9" w:rsidP="002664D9">
      <w:pPr>
        <w:pStyle w:val="Heading2"/>
        <w:spacing w:before="0" w:after="220"/>
        <w:rPr>
          <w:b/>
          <w:iCs w:val="0"/>
          <w:sz w:val="24"/>
          <w:szCs w:val="24"/>
          <w:rtl/>
          <w:lang w:eastAsia="en-US"/>
        </w:rPr>
      </w:pPr>
      <w:r w:rsidRPr="002664D9">
        <w:rPr>
          <w:rFonts w:hint="cs"/>
          <w:b/>
          <w:iCs w:val="0"/>
          <w:sz w:val="24"/>
          <w:szCs w:val="24"/>
          <w:rtl/>
          <w:lang w:eastAsia="en-US"/>
        </w:rPr>
        <w:t>الإصدار</w:t>
      </w:r>
    </w:p>
    <w:p w14:paraId="4208EF31" w14:textId="2166FE5A" w:rsidR="002664D9" w:rsidRDefault="002664D9" w:rsidP="002664D9">
      <w:pPr>
        <w:pStyle w:val="ONUMA"/>
      </w:pPr>
      <w:r w:rsidRPr="002664D9">
        <w:rPr>
          <w:rFonts w:hint="cs"/>
          <w:rtl/>
        </w:rPr>
        <w:t xml:space="preserve">تُقترح المراجعة الجديدة لمعيار الويبو </w:t>
      </w:r>
      <w:r w:rsidRPr="002664D9">
        <w:t>ST.92</w:t>
      </w:r>
      <w:r w:rsidRPr="002664D9">
        <w:rPr>
          <w:rFonts w:hint="cs"/>
          <w:rtl/>
        </w:rPr>
        <w:t xml:space="preserve"> باعتبارها الإصدار 2.0. ويُعزى ذلك إلى التغييرات التي أدخلت على المرفق الأول </w:t>
      </w:r>
      <w:r>
        <w:rPr>
          <w:rFonts w:hint="cs"/>
          <w:rtl/>
        </w:rPr>
        <w:t>"</w:t>
      </w:r>
      <w:r w:rsidRPr="002664D9">
        <w:rPr>
          <w:rFonts w:hint="cs"/>
          <w:rtl/>
        </w:rPr>
        <w:t xml:space="preserve">تعريف مخطط </w:t>
      </w:r>
      <w:r w:rsidRPr="002664D9">
        <w:t>XML</w:t>
      </w:r>
      <w:r w:rsidRPr="002664D9">
        <w:rPr>
          <w:rFonts w:hint="cs"/>
          <w:rtl/>
        </w:rPr>
        <w:t xml:space="preserve">  لملفات </w:t>
      </w:r>
      <w:r w:rsidRPr="002664D9">
        <w:t>XML</w:t>
      </w:r>
      <w:r w:rsidRPr="002664D9">
        <w:rPr>
          <w:rFonts w:hint="cs"/>
          <w:rtl/>
        </w:rPr>
        <w:t xml:space="preserve"> الخاصة بفهرس وثائق الأولوية</w:t>
      </w:r>
      <w:r>
        <w:rPr>
          <w:rFonts w:hint="cs"/>
          <w:rtl/>
        </w:rPr>
        <w:t>"</w:t>
      </w:r>
      <w:r w:rsidRPr="002664D9">
        <w:rPr>
          <w:rFonts w:hint="cs"/>
          <w:rtl/>
        </w:rPr>
        <w:t>، والتي لا تُعتبر متوافقة مع الإصدار 1.0، وبالتالي يُعد هذا التحديث بمثابة تحديث رئيسي.</w:t>
      </w:r>
    </w:p>
    <w:p w14:paraId="1DCC5421" w14:textId="21578557" w:rsidR="002664D9" w:rsidRDefault="002664D9" w:rsidP="002664D9">
      <w:pPr>
        <w:pStyle w:val="Heading2"/>
        <w:spacing w:before="0" w:after="220"/>
        <w:rPr>
          <w:b/>
          <w:iCs w:val="0"/>
          <w:sz w:val="24"/>
          <w:szCs w:val="24"/>
          <w:rtl/>
          <w:lang w:eastAsia="en-US"/>
        </w:rPr>
      </w:pPr>
      <w:r w:rsidRPr="002664D9">
        <w:rPr>
          <w:rFonts w:hint="cs"/>
          <w:b/>
          <w:iCs w:val="0"/>
          <w:sz w:val="24"/>
          <w:szCs w:val="24"/>
          <w:rtl/>
          <w:lang w:eastAsia="en-US"/>
        </w:rPr>
        <w:t xml:space="preserve">تنفيذ معيار الويبو </w:t>
      </w:r>
      <w:r w:rsidRPr="002664D9">
        <w:rPr>
          <w:b/>
          <w:iCs w:val="0"/>
          <w:sz w:val="24"/>
          <w:szCs w:val="24"/>
          <w:lang w:eastAsia="en-US"/>
        </w:rPr>
        <w:t>ST.92</w:t>
      </w:r>
    </w:p>
    <w:p w14:paraId="205AB33C" w14:textId="49844AF5" w:rsidR="002664D9" w:rsidRDefault="002664D9" w:rsidP="002664D9">
      <w:pPr>
        <w:pStyle w:val="ONUMA"/>
      </w:pPr>
      <w:r w:rsidRPr="002664D9">
        <w:rPr>
          <w:rFonts w:hint="cs"/>
          <w:rtl/>
        </w:rPr>
        <w:t xml:space="preserve">بعد الموافقة على معيار الويبو المقترح </w:t>
      </w:r>
      <w:r w:rsidRPr="002664D9">
        <w:t>ST.92</w:t>
      </w:r>
      <w:r w:rsidRPr="002664D9">
        <w:rPr>
          <w:rFonts w:hint="cs"/>
          <w:rtl/>
        </w:rPr>
        <w:t xml:space="preserve">، يُشجَّع كل مكتب من مكاتب الملكية الفكرية على وضع خطة تنفيذية. ولضمان انتقال سلس ومنسق، يوصي كل من الهيئة المشرفة على فرقة العمل والمكتب الدولي باتباع استراتيجية تنفيذ تدريجية خلال </w:t>
      </w:r>
      <w:r w:rsidR="006217B4">
        <w:rPr>
          <w:rFonts w:hint="cs"/>
          <w:rtl/>
        </w:rPr>
        <w:t>"</w:t>
      </w:r>
      <w:r w:rsidRPr="002664D9">
        <w:rPr>
          <w:rFonts w:hint="cs"/>
          <w:rtl/>
        </w:rPr>
        <w:t>فترة الأفول</w:t>
      </w:r>
      <w:r w:rsidR="006217B4">
        <w:rPr>
          <w:rFonts w:hint="cs"/>
          <w:rtl/>
        </w:rPr>
        <w:t>"</w:t>
      </w:r>
      <w:r w:rsidRPr="002664D9">
        <w:rPr>
          <w:rFonts w:hint="cs"/>
          <w:rtl/>
        </w:rPr>
        <w:t xml:space="preserve"> المحدّدة. ويوفر هذا النهج المرونة، ويمكّن كل مكتب من مكاتب الملكية الفكرية من تنفيذ المعيار بوتيرة تتناسب مع قدراته التشغيلية وأولوياته.</w:t>
      </w:r>
    </w:p>
    <w:p w14:paraId="5297995A" w14:textId="50501806" w:rsidR="002664D9" w:rsidRDefault="002664D9" w:rsidP="002664D9">
      <w:pPr>
        <w:pStyle w:val="ONUMA"/>
      </w:pPr>
      <w:r w:rsidRPr="002664D9">
        <w:rPr>
          <w:rFonts w:hint="cs"/>
          <w:rtl/>
        </w:rPr>
        <w:t xml:space="preserve">وبعد استعراض فرقة العمل المعنية بالتحول الرقمي للتعليقات التي جمعتها مكاتب الملكية الفكرية من خلال الاستقصاء الخاص بخطة تنفيذ معيار الويبو </w:t>
      </w:r>
      <w:r w:rsidRPr="002664D9">
        <w:t>ST.92</w:t>
      </w:r>
      <w:r w:rsidRPr="002664D9">
        <w:rPr>
          <w:rFonts w:hint="cs"/>
          <w:rtl/>
        </w:rPr>
        <w:t xml:space="preserve"> ومناقشة المسألة في اجتماعها المعقود في 4 سبتمبر 2025، تقترح فرقة العمل </w:t>
      </w:r>
      <w:r>
        <w:rPr>
          <w:rFonts w:hint="cs"/>
          <w:rtl/>
        </w:rPr>
        <w:t>"</w:t>
      </w:r>
      <w:r w:rsidRPr="002664D9">
        <w:rPr>
          <w:rFonts w:hint="cs"/>
          <w:rtl/>
        </w:rPr>
        <w:t>تاريخ أفول</w:t>
      </w:r>
      <w:r>
        <w:rPr>
          <w:rFonts w:hint="cs"/>
          <w:rtl/>
        </w:rPr>
        <w:t>"</w:t>
      </w:r>
      <w:r w:rsidRPr="002664D9">
        <w:rPr>
          <w:rFonts w:hint="cs"/>
          <w:rtl/>
        </w:rPr>
        <w:t xml:space="preserve"> جديداً وهو 30 يونيو 2028.</w:t>
      </w:r>
    </w:p>
    <w:p w14:paraId="11B9EE68" w14:textId="5A495BE8" w:rsidR="002664D9" w:rsidRDefault="002664D9" w:rsidP="002664D9">
      <w:pPr>
        <w:pStyle w:val="ONUMA"/>
      </w:pPr>
      <w:r w:rsidRPr="002664D9">
        <w:rPr>
          <w:rFonts w:hint="cs"/>
          <w:rtl/>
        </w:rPr>
        <w:t>ويعتزم المكتب الدولي تحديث خدمة الويبو للنفاذ الرقمي (</w:t>
      </w:r>
      <w:r w:rsidRPr="002664D9">
        <w:t>DAS</w:t>
      </w:r>
      <w:r w:rsidRPr="002664D9">
        <w:rPr>
          <w:rFonts w:hint="cs"/>
          <w:rtl/>
        </w:rPr>
        <w:t xml:space="preserve">) بحيث تقبل وتوفر وثائق الأولوية التي تتوافق مع معيار الويبو </w:t>
      </w:r>
      <w:r w:rsidRPr="002664D9">
        <w:t>ST.92</w:t>
      </w:r>
      <w:r w:rsidRPr="002664D9">
        <w:rPr>
          <w:rFonts w:hint="cs"/>
          <w:rtl/>
        </w:rPr>
        <w:t>. ومن المتوقع أن يستغرق هذا التحديث نحو ستة أشهر. وستمكّن خدمة الويبو للنفاذ الرقمي (</w:t>
      </w:r>
      <w:r w:rsidRPr="002664D9">
        <w:t>DAS</w:t>
      </w:r>
      <w:r w:rsidRPr="002664D9">
        <w:rPr>
          <w:rFonts w:hint="cs"/>
          <w:rtl/>
        </w:rPr>
        <w:t xml:space="preserve">)، بعد تحديثها، من دعم وثائق الأولوية بكل من النسق الحالي ونسق معيار الويبو </w:t>
      </w:r>
      <w:r w:rsidRPr="002664D9">
        <w:t>ST.92</w:t>
      </w:r>
      <w:r w:rsidRPr="002664D9">
        <w:rPr>
          <w:rFonts w:hint="cs"/>
          <w:rtl/>
        </w:rPr>
        <w:t xml:space="preserve"> حتى نهاية الفترة الانتقالية المتفق عليها. واعتباراً من تاريخ الأفول المتفق عليه، لن تقبل خدمة الويبو للنفاذ الرقمي (</w:t>
      </w:r>
      <w:r w:rsidRPr="002664D9">
        <w:t>DAS</w:t>
      </w:r>
      <w:r w:rsidRPr="002664D9">
        <w:rPr>
          <w:rFonts w:hint="cs"/>
          <w:rtl/>
        </w:rPr>
        <w:t xml:space="preserve">) ولن توفر سوى وثائق الأولوية التي تمتثل لمعيار الويبو </w:t>
      </w:r>
      <w:r w:rsidRPr="002664D9">
        <w:t>ST.92</w:t>
      </w:r>
      <w:r w:rsidRPr="002664D9">
        <w:rPr>
          <w:rFonts w:hint="cs"/>
          <w:rtl/>
        </w:rPr>
        <w:t>. وستُطرح التفاصيل التقنية الخاصة بتنفيذ المعيار المقترح في خدمة الويبو للنفاذ الرقمي (</w:t>
      </w:r>
      <w:r w:rsidRPr="002664D9">
        <w:t>DAS</w:t>
      </w:r>
      <w:r w:rsidRPr="002664D9">
        <w:rPr>
          <w:rFonts w:hint="cs"/>
          <w:rtl/>
        </w:rPr>
        <w:t>) للمناقشة على حدة بين المكاتب المشاركة في تلك الخدمة.</w:t>
      </w:r>
    </w:p>
    <w:p w14:paraId="44DBDE73" w14:textId="77777777" w:rsidR="002664D9" w:rsidRPr="002664D9" w:rsidRDefault="002664D9" w:rsidP="002664D9">
      <w:pPr>
        <w:pStyle w:val="Heading2"/>
        <w:spacing w:before="0" w:after="220"/>
        <w:rPr>
          <w:b/>
          <w:iCs w:val="0"/>
          <w:sz w:val="24"/>
          <w:szCs w:val="24"/>
          <w:rtl/>
          <w:lang w:eastAsia="en-US"/>
        </w:rPr>
      </w:pPr>
      <w:r w:rsidRPr="002664D9">
        <w:rPr>
          <w:rFonts w:hint="cs"/>
          <w:b/>
          <w:iCs w:val="0"/>
          <w:sz w:val="24"/>
          <w:szCs w:val="24"/>
          <w:rtl/>
          <w:lang w:eastAsia="en-US"/>
        </w:rPr>
        <w:t>اقتراح مراجعة المهمة رقم 65</w:t>
      </w:r>
    </w:p>
    <w:p w14:paraId="7EA783C6" w14:textId="6909E1E9" w:rsidR="002664D9" w:rsidRDefault="002664D9" w:rsidP="002664D9">
      <w:pPr>
        <w:pStyle w:val="ONUMA"/>
      </w:pPr>
      <w:r w:rsidRPr="002664D9">
        <w:rPr>
          <w:rFonts w:hint="cs"/>
          <w:rtl/>
        </w:rPr>
        <w:t xml:space="preserve">بعد موافقة لجنة المعايير على التعديلات المقترحة على معيار الويبو </w:t>
      </w:r>
      <w:r w:rsidRPr="002664D9">
        <w:t>ST.92</w:t>
      </w:r>
      <w:r w:rsidRPr="002664D9">
        <w:rPr>
          <w:rFonts w:hint="cs"/>
          <w:rtl/>
        </w:rPr>
        <w:t xml:space="preserve">، ستُعتبر المهمة رقم 65 مكتملة تماماً. وستواصل فرقة العمل مناقشة المعيار المراجَع والتعاون بشأن تنفيذه. وعلاوة على ذلك، عند تنفيذ المعيار المراجَع، قد تطلب مكاتب الملكية الفكرية إدخال تحسينات على معيار الويبو </w:t>
      </w:r>
      <w:r w:rsidRPr="002664D9">
        <w:t>ST.92</w:t>
      </w:r>
      <w:r w:rsidRPr="002664D9">
        <w:rPr>
          <w:rFonts w:hint="cs"/>
          <w:rtl/>
        </w:rPr>
        <w:t>. وبناء على ذلك، تقترح فرقة العمل تعديل وصف المهمة رقم 65 لتصبح كما يلي:</w:t>
      </w:r>
    </w:p>
    <w:p w14:paraId="36AC757E" w14:textId="02BA653F" w:rsidR="00C62D1F" w:rsidRDefault="006217B4" w:rsidP="002664D9">
      <w:pPr>
        <w:pStyle w:val="BodyText"/>
        <w:ind w:left="-5" w:firstLine="720"/>
        <w:rPr>
          <w:i/>
          <w:iCs/>
          <w:rtl/>
          <w:lang w:eastAsia="en-US"/>
        </w:rPr>
      </w:pPr>
      <w:r>
        <w:rPr>
          <w:rFonts w:hint="cs"/>
          <w:i/>
          <w:iCs/>
          <w:rtl/>
          <w:lang w:eastAsia="en-US"/>
        </w:rPr>
        <w:t>"</w:t>
      </w:r>
      <w:r w:rsidR="002664D9" w:rsidRPr="002664D9">
        <w:rPr>
          <w:rFonts w:hint="cs"/>
          <w:i/>
          <w:iCs/>
          <w:rtl/>
          <w:lang w:eastAsia="en-US"/>
        </w:rPr>
        <w:t xml:space="preserve">ضمان إدخال التعديلات والتحديثات اللازمة على معيار الويبو </w:t>
      </w:r>
      <w:r w:rsidR="002664D9" w:rsidRPr="002664D9">
        <w:rPr>
          <w:i/>
          <w:iCs/>
          <w:lang w:eastAsia="en-US"/>
        </w:rPr>
        <w:t>ST.92</w:t>
      </w:r>
      <w:r w:rsidR="002664D9" w:rsidRPr="002664D9">
        <w:rPr>
          <w:rFonts w:hint="cs"/>
          <w:i/>
          <w:iCs/>
          <w:rtl/>
          <w:lang w:eastAsia="en-US"/>
        </w:rPr>
        <w:t xml:space="preserve"> ودعم مكاتب الملكية الفكرية في تنفيذها للمعيار قبل 1 يوليو 2028</w:t>
      </w:r>
      <w:r>
        <w:rPr>
          <w:rFonts w:hint="cs"/>
          <w:i/>
          <w:iCs/>
          <w:rtl/>
          <w:lang w:eastAsia="en-US"/>
        </w:rPr>
        <w:t>."</w:t>
      </w:r>
    </w:p>
    <w:p w14:paraId="4CEA8BF7" w14:textId="6F79411E" w:rsidR="006217B4" w:rsidRDefault="006217B4" w:rsidP="006217B4">
      <w:pPr>
        <w:pStyle w:val="ONUMA"/>
        <w:ind w:left="5472"/>
        <w:rPr>
          <w:i/>
          <w:iCs/>
        </w:rPr>
      </w:pPr>
      <w:r w:rsidRPr="006217B4">
        <w:rPr>
          <w:rFonts w:hint="cs"/>
          <w:i/>
          <w:iCs/>
          <w:rtl/>
        </w:rPr>
        <w:t>إن لجنة المعايير مدعوة إلى:</w:t>
      </w:r>
    </w:p>
    <w:p w14:paraId="4DD91A98" w14:textId="005767D0" w:rsidR="006217B4" w:rsidRDefault="006217B4" w:rsidP="00C62D1F">
      <w:pPr>
        <w:pStyle w:val="ONUMA"/>
        <w:numPr>
          <w:ilvl w:val="1"/>
          <w:numId w:val="7"/>
        </w:numPr>
        <w:spacing w:after="120"/>
        <w:ind w:left="5486" w:firstLine="634"/>
        <w:rPr>
          <w:i/>
          <w:iCs/>
        </w:rPr>
      </w:pPr>
      <w:r w:rsidRPr="006217B4">
        <w:rPr>
          <w:rFonts w:hint="cs"/>
          <w:i/>
          <w:iCs/>
          <w:rtl/>
        </w:rPr>
        <w:t>الإحاطة علماً بمضمون هذه الوثيقة ومرفقاتها؛</w:t>
      </w:r>
    </w:p>
    <w:p w14:paraId="217A9A10" w14:textId="581602C2" w:rsidR="006217B4" w:rsidRDefault="006217B4" w:rsidP="00C62D1F">
      <w:pPr>
        <w:pStyle w:val="ONUMA"/>
        <w:numPr>
          <w:ilvl w:val="1"/>
          <w:numId w:val="7"/>
        </w:numPr>
        <w:spacing w:after="120"/>
        <w:ind w:left="5486" w:firstLine="634"/>
        <w:rPr>
          <w:i/>
          <w:iCs/>
        </w:rPr>
      </w:pPr>
      <w:r w:rsidRPr="006217B4">
        <w:rPr>
          <w:rFonts w:hint="cs"/>
          <w:i/>
          <w:iCs/>
          <w:rtl/>
        </w:rPr>
        <w:t xml:space="preserve">والإحاطة علماً بنتائج الاستقصاء بشأن خطة تنفيذ معيار الويبو </w:t>
      </w:r>
      <w:r w:rsidRPr="006217B4">
        <w:rPr>
          <w:i/>
          <w:iCs/>
        </w:rPr>
        <w:t>ST.92</w:t>
      </w:r>
      <w:r w:rsidRPr="006217B4">
        <w:rPr>
          <w:rFonts w:hint="cs"/>
          <w:i/>
          <w:iCs/>
          <w:rtl/>
        </w:rPr>
        <w:t>، على النحو المبيّن أعلاه في الفقرات من 7 إلى 13 والمفصّل في المرفق الأول من هذا الوثيقة؛</w:t>
      </w:r>
    </w:p>
    <w:p w14:paraId="5BC2E95A" w14:textId="2ABC92AE" w:rsidR="006217B4" w:rsidRDefault="006217B4" w:rsidP="00C62D1F">
      <w:pPr>
        <w:pStyle w:val="ONUMA"/>
        <w:numPr>
          <w:ilvl w:val="1"/>
          <w:numId w:val="7"/>
        </w:numPr>
        <w:spacing w:after="120"/>
        <w:ind w:left="5486" w:firstLine="634"/>
        <w:rPr>
          <w:i/>
          <w:iCs/>
        </w:rPr>
      </w:pPr>
      <w:r w:rsidRPr="006217B4">
        <w:rPr>
          <w:rFonts w:hint="cs"/>
          <w:i/>
          <w:iCs/>
          <w:rtl/>
        </w:rPr>
        <w:t xml:space="preserve">والنظر في اقتراح مراجعة معيار الويبو </w:t>
      </w:r>
      <w:r w:rsidRPr="006217B4">
        <w:rPr>
          <w:i/>
          <w:iCs/>
        </w:rPr>
        <w:t>ST.92</w:t>
      </w:r>
      <w:r w:rsidRPr="006217B4">
        <w:rPr>
          <w:rFonts w:hint="cs"/>
          <w:i/>
          <w:iCs/>
          <w:rtl/>
        </w:rPr>
        <w:t xml:space="preserve"> على النحو المبيّن أعلاه في الفقرات من 14 إلى 18 والمفصّل في المرفق الثاني من هذه الوثيقة، والموافقة عليه؛</w:t>
      </w:r>
    </w:p>
    <w:p w14:paraId="75265B65" w14:textId="4A2F2CEA" w:rsidR="006217B4" w:rsidRDefault="006217B4" w:rsidP="00C62D1F">
      <w:pPr>
        <w:pStyle w:val="ONUMA"/>
        <w:numPr>
          <w:ilvl w:val="1"/>
          <w:numId w:val="7"/>
        </w:numPr>
        <w:spacing w:after="120"/>
        <w:ind w:left="5486" w:firstLine="634"/>
        <w:rPr>
          <w:i/>
          <w:iCs/>
        </w:rPr>
      </w:pPr>
      <w:r w:rsidRPr="006217B4">
        <w:rPr>
          <w:rFonts w:hint="cs"/>
          <w:i/>
          <w:iCs/>
          <w:rtl/>
        </w:rPr>
        <w:t xml:space="preserve">والموافقة على رقم الإصدار الجديد باعتباره الإصدار 2.0 لمعيار الويبو </w:t>
      </w:r>
      <w:r w:rsidRPr="006217B4">
        <w:rPr>
          <w:i/>
          <w:iCs/>
        </w:rPr>
        <w:t>ST.92</w:t>
      </w:r>
      <w:r w:rsidRPr="006217B4">
        <w:rPr>
          <w:rFonts w:hint="cs"/>
          <w:i/>
          <w:iCs/>
          <w:rtl/>
        </w:rPr>
        <w:t>، على النحو المبيّن في الفقرة 19 أعلاه؛</w:t>
      </w:r>
    </w:p>
    <w:p w14:paraId="44899FA4" w14:textId="1D026E3A" w:rsidR="006217B4" w:rsidRDefault="006217B4" w:rsidP="00C62D1F">
      <w:pPr>
        <w:pStyle w:val="ONUMA"/>
        <w:numPr>
          <w:ilvl w:val="1"/>
          <w:numId w:val="7"/>
        </w:numPr>
        <w:spacing w:after="120"/>
        <w:ind w:left="5486" w:firstLine="634"/>
        <w:rPr>
          <w:i/>
          <w:iCs/>
        </w:rPr>
      </w:pPr>
      <w:r w:rsidRPr="006217B4">
        <w:rPr>
          <w:rFonts w:hint="cs"/>
          <w:i/>
          <w:iCs/>
          <w:rtl/>
        </w:rPr>
        <w:t xml:space="preserve">والإحاطة علماً بتحليل خطة تنفيذ معيار الويبو </w:t>
      </w:r>
      <w:r w:rsidRPr="006217B4">
        <w:rPr>
          <w:i/>
          <w:iCs/>
        </w:rPr>
        <w:t>ST.92</w:t>
      </w:r>
      <w:r w:rsidRPr="006217B4">
        <w:rPr>
          <w:rFonts w:hint="cs"/>
          <w:i/>
          <w:iCs/>
          <w:rtl/>
        </w:rPr>
        <w:t>، على النحو المبيّن في الفقرات من 20 إلى 22 أعلاه؛</w:t>
      </w:r>
    </w:p>
    <w:p w14:paraId="7261CAE1" w14:textId="1C091E75" w:rsidR="006217B4" w:rsidRDefault="006217B4" w:rsidP="00C62D1F">
      <w:pPr>
        <w:pStyle w:val="ONUMA"/>
        <w:numPr>
          <w:ilvl w:val="1"/>
          <w:numId w:val="7"/>
        </w:numPr>
        <w:spacing w:after="120"/>
        <w:ind w:left="5486" w:firstLine="634"/>
        <w:rPr>
          <w:i/>
          <w:iCs/>
        </w:rPr>
      </w:pPr>
      <w:r w:rsidRPr="006217B4">
        <w:rPr>
          <w:rFonts w:hint="cs"/>
          <w:i/>
          <w:iCs/>
          <w:rtl/>
        </w:rPr>
        <w:t>والنظر في تاريخ الأفول المحدّد في الفقرة 21 أعلاه، والموافقة عليه؛</w:t>
      </w:r>
    </w:p>
    <w:p w14:paraId="6335BFEE" w14:textId="0A5E1F16" w:rsidR="006217B4" w:rsidRDefault="006217B4" w:rsidP="006217B4">
      <w:pPr>
        <w:pStyle w:val="ONUMA"/>
        <w:numPr>
          <w:ilvl w:val="1"/>
          <w:numId w:val="7"/>
        </w:numPr>
        <w:ind w:left="5485" w:firstLine="630"/>
        <w:rPr>
          <w:i/>
          <w:iCs/>
        </w:rPr>
      </w:pPr>
      <w:r w:rsidRPr="006217B4">
        <w:rPr>
          <w:rFonts w:hint="cs"/>
          <w:i/>
          <w:iCs/>
          <w:rtl/>
        </w:rPr>
        <w:t>والنظر في الوصف الجديد المقترح للمهمة رقم 65 والمبيّن في الفقرة 23 أعلاه، والموافقة عليه.</w:t>
      </w:r>
    </w:p>
    <w:p w14:paraId="4D956820" w14:textId="4A54FD6E" w:rsidR="006217B4" w:rsidRPr="006217B4" w:rsidRDefault="00C62D1F" w:rsidP="00C62D1F">
      <w:pPr>
        <w:pStyle w:val="Endofdocument-Annex"/>
        <w:rPr>
          <w:lang w:eastAsia="en-US"/>
        </w:rPr>
      </w:pPr>
      <w:r w:rsidRPr="00C62D1F">
        <w:rPr>
          <w:rFonts w:hint="cs"/>
          <w:rtl/>
        </w:rPr>
        <w:t>[يلي ذلك المرفق الأول]</w:t>
      </w:r>
    </w:p>
    <w:sectPr w:rsidR="006217B4" w:rsidRPr="006217B4"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C156" w14:textId="77777777" w:rsidR="00325BAE" w:rsidRDefault="00325BAE">
      <w:r>
        <w:separator/>
      </w:r>
    </w:p>
  </w:endnote>
  <w:endnote w:type="continuationSeparator" w:id="0">
    <w:p w14:paraId="5D270517" w14:textId="77777777" w:rsidR="00325BAE" w:rsidRDefault="00325BAE" w:rsidP="003B38C1">
      <w:r>
        <w:separator/>
      </w:r>
    </w:p>
    <w:p w14:paraId="3CFB19C0" w14:textId="77777777" w:rsidR="00325BAE" w:rsidRPr="003B38C1" w:rsidRDefault="00325BAE" w:rsidP="003B38C1">
      <w:pPr>
        <w:spacing w:after="60"/>
        <w:rPr>
          <w:sz w:val="17"/>
        </w:rPr>
      </w:pPr>
      <w:r>
        <w:rPr>
          <w:sz w:val="17"/>
        </w:rPr>
        <w:t>[Endnote continued from previous page]</w:t>
      </w:r>
    </w:p>
  </w:endnote>
  <w:endnote w:type="continuationNotice" w:id="1">
    <w:p w14:paraId="0D335C2A" w14:textId="77777777" w:rsidR="00325BAE" w:rsidRPr="003B38C1" w:rsidRDefault="00325B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1695" w14:textId="77777777" w:rsidR="00325BAE" w:rsidRDefault="00325BAE">
      <w:r>
        <w:separator/>
      </w:r>
    </w:p>
  </w:footnote>
  <w:footnote w:type="continuationSeparator" w:id="0">
    <w:p w14:paraId="5710545B" w14:textId="77777777" w:rsidR="00325BAE" w:rsidRDefault="00325BAE" w:rsidP="008B60B2">
      <w:r>
        <w:separator/>
      </w:r>
    </w:p>
    <w:p w14:paraId="2881041F" w14:textId="77777777" w:rsidR="00325BAE" w:rsidRPr="00ED77FB" w:rsidRDefault="00325BAE" w:rsidP="008B60B2">
      <w:pPr>
        <w:spacing w:after="60"/>
        <w:rPr>
          <w:sz w:val="17"/>
          <w:szCs w:val="17"/>
        </w:rPr>
      </w:pPr>
      <w:r w:rsidRPr="00ED77FB">
        <w:rPr>
          <w:sz w:val="17"/>
          <w:szCs w:val="17"/>
        </w:rPr>
        <w:t>[Footnote continued from previous page]</w:t>
      </w:r>
    </w:p>
  </w:footnote>
  <w:footnote w:type="continuationNotice" w:id="1">
    <w:p w14:paraId="1035D8C3" w14:textId="77777777" w:rsidR="00325BAE" w:rsidRPr="00ED77FB" w:rsidRDefault="00325B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80E6" w14:textId="1415F857" w:rsidR="00D07C78" w:rsidRPr="002326AB" w:rsidRDefault="00FE5D75" w:rsidP="007969D1">
    <w:pPr>
      <w:bidi w:val="0"/>
      <w:rPr>
        <w:caps/>
      </w:rPr>
    </w:pPr>
    <w:r>
      <w:rPr>
        <w:caps/>
      </w:rPr>
      <w:t>CWS</w:t>
    </w:r>
    <w:r w:rsidR="00250149">
      <w:rPr>
        <w:caps/>
      </w:rPr>
      <w:t>/</w:t>
    </w:r>
    <w:r w:rsidR="00E15F75">
      <w:rPr>
        <w:caps/>
      </w:rPr>
      <w:t>1</w:t>
    </w:r>
    <w:r w:rsidR="003368CB">
      <w:rPr>
        <w:caps/>
      </w:rPr>
      <w:t>3</w:t>
    </w:r>
    <w:r w:rsidR="00250149">
      <w:rPr>
        <w:caps/>
      </w:rPr>
      <w:t>/</w:t>
    </w:r>
    <w:r w:rsidR="007F4F53">
      <w:rPr>
        <w:caps/>
      </w:rPr>
      <w:t>20</w:t>
    </w:r>
    <w:r w:rsidR="00F90A01">
      <w:rPr>
        <w:caps/>
      </w:rPr>
      <w:t xml:space="preserve"> </w:t>
    </w:r>
    <w:r w:rsidR="00F90A01">
      <w:rPr>
        <w:lang w:bidi="ar-DZ"/>
      </w:rPr>
      <w:t>Rev.</w:t>
    </w:r>
  </w:p>
  <w:p w14:paraId="3D6CD537"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133C7AC5" w14:textId="77777777" w:rsidR="00D07C78" w:rsidRDefault="00D07C78" w:rsidP="00210D5F">
    <w:pPr>
      <w:bidi w:val="0"/>
    </w:pPr>
  </w:p>
  <w:p w14:paraId="123E9E9A"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9D40E2"/>
    <w:multiLevelType w:val="hybridMultilevel"/>
    <w:tmpl w:val="6C162328"/>
    <w:lvl w:ilvl="0" w:tplc="1C7C2A0C">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20061B"/>
    <w:multiLevelType w:val="multilevel"/>
    <w:tmpl w:val="7B34027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717898"/>
    <w:multiLevelType w:val="multilevel"/>
    <w:tmpl w:val="356E26A6"/>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8"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6"/>
  </w:num>
  <w:num w:numId="3" w16cid:durableId="610935826">
    <w:abstractNumId w:val="0"/>
  </w:num>
  <w:num w:numId="4" w16cid:durableId="831139084">
    <w:abstractNumId w:val="19"/>
  </w:num>
  <w:num w:numId="5" w16cid:durableId="1808082453">
    <w:abstractNumId w:val="1"/>
  </w:num>
  <w:num w:numId="6" w16cid:durableId="2058821704">
    <w:abstractNumId w:val="8"/>
  </w:num>
  <w:num w:numId="7" w16cid:durableId="719669768">
    <w:abstractNumId w:val="23"/>
  </w:num>
  <w:num w:numId="8" w16cid:durableId="436217556">
    <w:abstractNumId w:val="12"/>
  </w:num>
  <w:num w:numId="9" w16cid:durableId="1591036600">
    <w:abstractNumId w:val="13"/>
  </w:num>
  <w:num w:numId="10" w16cid:durableId="1183013736">
    <w:abstractNumId w:val="17"/>
  </w:num>
  <w:num w:numId="11" w16cid:durableId="1208254078">
    <w:abstractNumId w:val="22"/>
  </w:num>
  <w:num w:numId="12" w16cid:durableId="1535313221">
    <w:abstractNumId w:val="18"/>
  </w:num>
  <w:num w:numId="13" w16cid:durableId="1775402230">
    <w:abstractNumId w:val="24"/>
  </w:num>
  <w:num w:numId="14" w16cid:durableId="605386166">
    <w:abstractNumId w:val="6"/>
  </w:num>
  <w:num w:numId="15" w16cid:durableId="913050154">
    <w:abstractNumId w:val="11"/>
  </w:num>
  <w:num w:numId="16" w16cid:durableId="1867328089">
    <w:abstractNumId w:val="2"/>
  </w:num>
  <w:num w:numId="17" w16cid:durableId="1880973570">
    <w:abstractNumId w:val="14"/>
  </w:num>
  <w:num w:numId="18" w16cid:durableId="1983188684">
    <w:abstractNumId w:val="20"/>
  </w:num>
  <w:num w:numId="19" w16cid:durableId="1285038826">
    <w:abstractNumId w:val="7"/>
  </w:num>
  <w:num w:numId="20" w16cid:durableId="398984857">
    <w:abstractNumId w:val="25"/>
  </w:num>
  <w:num w:numId="21" w16cid:durableId="855265340">
    <w:abstractNumId w:val="9"/>
  </w:num>
  <w:num w:numId="22" w16cid:durableId="1793552887">
    <w:abstractNumId w:val="26"/>
  </w:num>
  <w:num w:numId="23" w16cid:durableId="1644579125">
    <w:abstractNumId w:val="15"/>
  </w:num>
  <w:num w:numId="24" w16cid:durableId="1029574285">
    <w:abstractNumId w:val="21"/>
  </w:num>
  <w:num w:numId="25" w16cid:durableId="1259025004">
    <w:abstractNumId w:val="29"/>
  </w:num>
  <w:num w:numId="26" w16cid:durableId="1763722631">
    <w:abstractNumId w:val="3"/>
  </w:num>
  <w:num w:numId="27" w16cid:durableId="506360306">
    <w:abstractNumId w:val="10"/>
  </w:num>
  <w:num w:numId="28" w16cid:durableId="499587443">
    <w:abstractNumId w:val="28"/>
  </w:num>
  <w:num w:numId="29" w16cid:durableId="1784225043">
    <w:abstractNumId w:val="30"/>
  </w:num>
  <w:num w:numId="30" w16cid:durableId="2008094065">
    <w:abstractNumId w:val="23"/>
  </w:num>
  <w:num w:numId="31" w16cid:durableId="1121068270">
    <w:abstractNumId w:val="23"/>
  </w:num>
  <w:num w:numId="32" w16cid:durableId="2022198761">
    <w:abstractNumId w:val="5"/>
  </w:num>
  <w:num w:numId="33" w16cid:durableId="818814004">
    <w:abstractNumId w:val="27"/>
  </w:num>
  <w:num w:numId="34" w16cid:durableId="1298562975">
    <w:abstractNumId w:val="23"/>
  </w:num>
  <w:num w:numId="35" w16cid:durableId="199512951">
    <w:abstractNumId w:val="23"/>
  </w:num>
  <w:num w:numId="36" w16cid:durableId="877665314">
    <w:abstractNumId w:val="23"/>
  </w:num>
  <w:num w:numId="37" w16cid:durableId="1853714188">
    <w:abstractNumId w:val="23"/>
  </w:num>
  <w:num w:numId="38" w16cid:durableId="1960603052">
    <w:abstractNumId w:val="23"/>
  </w:num>
  <w:num w:numId="39" w16cid:durableId="835994449">
    <w:abstractNumId w:val="23"/>
  </w:num>
  <w:num w:numId="40" w16cid:durableId="2011176973">
    <w:abstractNumId w:val="23"/>
  </w:num>
  <w:num w:numId="41" w16cid:durableId="113603372">
    <w:abstractNumId w:val="23"/>
  </w:num>
  <w:num w:numId="42" w16cid:durableId="1034234534">
    <w:abstractNumId w:val="23"/>
  </w:num>
  <w:num w:numId="43" w16cid:durableId="1435904620">
    <w:abstractNumId w:val="23"/>
  </w:num>
  <w:num w:numId="44" w16cid:durableId="4988087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25"/>
    <w:rsid w:val="00041A0A"/>
    <w:rsid w:val="00043CAA"/>
    <w:rsid w:val="00056816"/>
    <w:rsid w:val="000632C7"/>
    <w:rsid w:val="00075432"/>
    <w:rsid w:val="000910E5"/>
    <w:rsid w:val="000968ED"/>
    <w:rsid w:val="000A3D97"/>
    <w:rsid w:val="000B5B36"/>
    <w:rsid w:val="000D3DAB"/>
    <w:rsid w:val="000D42A9"/>
    <w:rsid w:val="000F5E56"/>
    <w:rsid w:val="001362EE"/>
    <w:rsid w:val="001406E1"/>
    <w:rsid w:val="00140F22"/>
    <w:rsid w:val="00155D8A"/>
    <w:rsid w:val="001647D5"/>
    <w:rsid w:val="00167832"/>
    <w:rsid w:val="00176FD1"/>
    <w:rsid w:val="001832A6"/>
    <w:rsid w:val="0019592A"/>
    <w:rsid w:val="001D4107"/>
    <w:rsid w:val="001F34B8"/>
    <w:rsid w:val="00203D24"/>
    <w:rsid w:val="00210D5F"/>
    <w:rsid w:val="0021217E"/>
    <w:rsid w:val="002326AB"/>
    <w:rsid w:val="00243430"/>
    <w:rsid w:val="00250149"/>
    <w:rsid w:val="00262607"/>
    <w:rsid w:val="002634C4"/>
    <w:rsid w:val="00265354"/>
    <w:rsid w:val="002664D9"/>
    <w:rsid w:val="00273181"/>
    <w:rsid w:val="002879FE"/>
    <w:rsid w:val="002928D3"/>
    <w:rsid w:val="00294303"/>
    <w:rsid w:val="002A7B3A"/>
    <w:rsid w:val="002E64B0"/>
    <w:rsid w:val="002F1FE6"/>
    <w:rsid w:val="002F4E68"/>
    <w:rsid w:val="00303282"/>
    <w:rsid w:val="00312F7F"/>
    <w:rsid w:val="00321316"/>
    <w:rsid w:val="00321EB3"/>
    <w:rsid w:val="00325BAE"/>
    <w:rsid w:val="00327E12"/>
    <w:rsid w:val="003368CB"/>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001C"/>
    <w:rsid w:val="0045246E"/>
    <w:rsid w:val="00452F85"/>
    <w:rsid w:val="00461B51"/>
    <w:rsid w:val="004647DA"/>
    <w:rsid w:val="00474062"/>
    <w:rsid w:val="00477D6B"/>
    <w:rsid w:val="0048522D"/>
    <w:rsid w:val="004D29A8"/>
    <w:rsid w:val="004F2DEB"/>
    <w:rsid w:val="005019FF"/>
    <w:rsid w:val="0050470A"/>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217B4"/>
    <w:rsid w:val="00646050"/>
    <w:rsid w:val="006713CA"/>
    <w:rsid w:val="00676C5C"/>
    <w:rsid w:val="006A516B"/>
    <w:rsid w:val="006B5C12"/>
    <w:rsid w:val="006D27D2"/>
    <w:rsid w:val="006D7AAB"/>
    <w:rsid w:val="006D7C7A"/>
    <w:rsid w:val="006E279C"/>
    <w:rsid w:val="006F641A"/>
    <w:rsid w:val="0070778E"/>
    <w:rsid w:val="00720EFD"/>
    <w:rsid w:val="00750C1A"/>
    <w:rsid w:val="00756869"/>
    <w:rsid w:val="007854AF"/>
    <w:rsid w:val="0079149A"/>
    <w:rsid w:val="00793A7C"/>
    <w:rsid w:val="007969D1"/>
    <w:rsid w:val="007A0E2A"/>
    <w:rsid w:val="007A398A"/>
    <w:rsid w:val="007C4902"/>
    <w:rsid w:val="007D1613"/>
    <w:rsid w:val="007E4889"/>
    <w:rsid w:val="007E4C0E"/>
    <w:rsid w:val="007F4F53"/>
    <w:rsid w:val="00820911"/>
    <w:rsid w:val="008243C0"/>
    <w:rsid w:val="008A134B"/>
    <w:rsid w:val="008A5C4D"/>
    <w:rsid w:val="008B2CC1"/>
    <w:rsid w:val="008B60B2"/>
    <w:rsid w:val="008D1B10"/>
    <w:rsid w:val="008E413A"/>
    <w:rsid w:val="0090731E"/>
    <w:rsid w:val="00916EE2"/>
    <w:rsid w:val="0093527D"/>
    <w:rsid w:val="0094554E"/>
    <w:rsid w:val="00947238"/>
    <w:rsid w:val="009476FE"/>
    <w:rsid w:val="00956CFB"/>
    <w:rsid w:val="009615BB"/>
    <w:rsid w:val="00966A22"/>
    <w:rsid w:val="0096722F"/>
    <w:rsid w:val="00980843"/>
    <w:rsid w:val="0099406E"/>
    <w:rsid w:val="0099421A"/>
    <w:rsid w:val="009B0855"/>
    <w:rsid w:val="009B48A1"/>
    <w:rsid w:val="009B51CF"/>
    <w:rsid w:val="009E1721"/>
    <w:rsid w:val="009E2791"/>
    <w:rsid w:val="009E3F6F"/>
    <w:rsid w:val="009F499F"/>
    <w:rsid w:val="00A33241"/>
    <w:rsid w:val="00A37342"/>
    <w:rsid w:val="00A410A9"/>
    <w:rsid w:val="00A42DAF"/>
    <w:rsid w:val="00A448AB"/>
    <w:rsid w:val="00A45BD8"/>
    <w:rsid w:val="00A71BFF"/>
    <w:rsid w:val="00A8492F"/>
    <w:rsid w:val="00A869B7"/>
    <w:rsid w:val="00A90F0A"/>
    <w:rsid w:val="00AA589B"/>
    <w:rsid w:val="00AC205C"/>
    <w:rsid w:val="00AC20E9"/>
    <w:rsid w:val="00AD30FC"/>
    <w:rsid w:val="00AD5F3C"/>
    <w:rsid w:val="00AF0A6B"/>
    <w:rsid w:val="00B05A69"/>
    <w:rsid w:val="00B26A4F"/>
    <w:rsid w:val="00B32725"/>
    <w:rsid w:val="00B42CA9"/>
    <w:rsid w:val="00B51FF7"/>
    <w:rsid w:val="00B75281"/>
    <w:rsid w:val="00B86A18"/>
    <w:rsid w:val="00B92F1F"/>
    <w:rsid w:val="00B953D5"/>
    <w:rsid w:val="00B9734B"/>
    <w:rsid w:val="00BA30E2"/>
    <w:rsid w:val="00BB781F"/>
    <w:rsid w:val="00BC6536"/>
    <w:rsid w:val="00C11BFE"/>
    <w:rsid w:val="00C3436A"/>
    <w:rsid w:val="00C35EE8"/>
    <w:rsid w:val="00C40F61"/>
    <w:rsid w:val="00C5068F"/>
    <w:rsid w:val="00C60E4B"/>
    <w:rsid w:val="00C62D1F"/>
    <w:rsid w:val="00C73194"/>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A7581"/>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0BFF"/>
    <w:rsid w:val="00F043DE"/>
    <w:rsid w:val="00F10E7C"/>
    <w:rsid w:val="00F1217E"/>
    <w:rsid w:val="00F248CE"/>
    <w:rsid w:val="00F66152"/>
    <w:rsid w:val="00F76CB4"/>
    <w:rsid w:val="00F90A01"/>
    <w:rsid w:val="00F90C07"/>
    <w:rsid w:val="00F9165B"/>
    <w:rsid w:val="00FA17DA"/>
    <w:rsid w:val="00FA6CAF"/>
    <w:rsid w:val="00FC482F"/>
    <w:rsid w:val="00FD0B86"/>
    <w:rsid w:val="00FE5D75"/>
    <w:rsid w:val="00FF5B0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0D2FC"/>
  <w15:docId w15:val="{3C711BA7-FF44-4D15-B06C-DEF84008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9615BB"/>
    <w:rPr>
      <w:color w:val="0000FF" w:themeColor="hyperlink"/>
      <w:u w:val="single"/>
    </w:rPr>
  </w:style>
  <w:style w:type="character" w:styleId="UnresolvedMention">
    <w:name w:val="Unresolved Mention"/>
    <w:basedOn w:val="DefaultParagraphFont"/>
    <w:uiPriority w:val="99"/>
    <w:semiHidden/>
    <w:unhideWhenUsed/>
    <w:rsid w:val="00961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documents/d/cws/docs-en-circulars-files-cws-19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2008</Words>
  <Characters>11451</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CWS/13/20 Rev. (Arabic) </vt:lpstr>
      <vt:lpstr>اللجنة المعنية بمعايير الويبو</vt:lpstr>
      <vt:lpstr>    الدورة الثالثة عشرة</vt:lpstr>
      <vt:lpstr>    جنيف، من 10 إلى 14 نوفمبر 2025</vt:lpstr>
      <vt:lpstr>اقتراح بشأن مراجعة معيار الويبو ST.92</vt:lpstr>
      <vt:lpstr>    ملخص</vt:lpstr>
      <vt:lpstr>    الخلفية</vt:lpstr>
      <vt:lpstr>    نتائج الاستقصاء بشأن خطة تنفيذ معيار الويبو ST.92</vt:lpstr>
      <vt:lpstr>    اقتراح بشأن مراجعة معيار الويبو ST.92</vt:lpstr>
      <vt:lpstr>    الإصدار</vt:lpstr>
      <vt:lpstr>    تنفيذ معيار الويبو ST.92</vt:lpstr>
      <vt:lpstr>    اقتراح مراجعة المهمة رقم 65</vt:lpstr>
    </vt:vector>
  </TitlesOfParts>
  <Company>WIPO</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CWS/13/20 Rev. (Arabic) </dc:title>
  <dc:subject>اقتراح بشأن مراجعة معيار الويبو ST.92</dc:subject>
  <dc:creator>WIPO</dc:creator>
  <cp:keywords>WIPO CWS Thirteenth Session, Revision Proposal, WIPO Standard ST.92 </cp:keywords>
  <cp:lastModifiedBy>Author</cp:lastModifiedBy>
  <cp:revision>6</cp:revision>
  <cp:lastPrinted>2025-10-28T13:53:00Z</cp:lastPrinted>
  <dcterms:created xsi:type="dcterms:W3CDTF">2025-10-28T13:32:00Z</dcterms:created>
  <dcterms:modified xsi:type="dcterms:W3CDTF">2025-10-30T13:07:00Z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