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6B7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33852B3" wp14:editId="52C9866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BB1C68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35F53ED" w14:textId="30816AEF"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3D017D">
        <w:rPr>
          <w:rFonts w:ascii="Arial Black" w:hAnsi="Arial Black"/>
          <w:caps/>
          <w:sz w:val="15"/>
          <w:szCs w:val="15"/>
        </w:rPr>
        <w:t>18</w:t>
      </w:r>
    </w:p>
    <w:p w14:paraId="6B237E91" w14:textId="23093589"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3D017D">
        <w:rPr>
          <w:rFonts w:asciiTheme="minorHAnsi" w:hAnsiTheme="minorHAnsi" w:cstheme="minorHAnsi" w:hint="cs"/>
          <w:b/>
          <w:bCs/>
          <w:caps/>
          <w:sz w:val="15"/>
          <w:szCs w:val="15"/>
          <w:rtl/>
        </w:rPr>
        <w:t>بالإنكل</w:t>
      </w:r>
      <w:r w:rsidR="008D2B1D">
        <w:rPr>
          <w:rFonts w:asciiTheme="minorHAnsi" w:hAnsiTheme="minorHAnsi" w:cstheme="minorHAnsi" w:hint="cs"/>
          <w:b/>
          <w:bCs/>
          <w:caps/>
          <w:sz w:val="15"/>
          <w:szCs w:val="15"/>
          <w:rtl/>
        </w:rPr>
        <w:t>يز</w:t>
      </w:r>
      <w:r w:rsidR="00BB167A">
        <w:rPr>
          <w:rFonts w:asciiTheme="minorHAnsi" w:hAnsiTheme="minorHAnsi" w:cstheme="minorHAnsi" w:hint="cs"/>
          <w:b/>
          <w:bCs/>
          <w:caps/>
          <w:sz w:val="15"/>
          <w:szCs w:val="15"/>
          <w:rtl/>
        </w:rPr>
        <w:t>ية</w:t>
      </w:r>
    </w:p>
    <w:p w14:paraId="4BBB67DA" w14:textId="1A21E466"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C55B86">
        <w:rPr>
          <w:rFonts w:asciiTheme="minorHAnsi" w:hAnsiTheme="minorHAnsi" w:cstheme="minorHAnsi" w:hint="cs"/>
          <w:b/>
          <w:bCs/>
          <w:caps/>
          <w:sz w:val="15"/>
          <w:szCs w:val="15"/>
          <w:rtl/>
        </w:rPr>
        <w:t>9 سبتمبر 2025</w:t>
      </w:r>
    </w:p>
    <w:bookmarkEnd w:id="2"/>
    <w:p w14:paraId="6F8BF4AD"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73692EC"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33AF4E2A"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67566058" w14:textId="28832BF4" w:rsidR="008B2CC1" w:rsidRPr="00262607" w:rsidRDefault="00C55B86" w:rsidP="00262607">
      <w:pPr>
        <w:spacing w:after="360"/>
        <w:outlineLvl w:val="0"/>
        <w:rPr>
          <w:rFonts w:asciiTheme="minorHAnsi" w:hAnsiTheme="minorHAnsi" w:cstheme="minorHAnsi"/>
          <w:caps/>
          <w:sz w:val="24"/>
          <w:szCs w:val="24"/>
        </w:rPr>
      </w:pPr>
      <w:bookmarkStart w:id="3" w:name="TitleOfDoc"/>
      <w:r w:rsidRPr="00C55B86">
        <w:rPr>
          <w:rFonts w:asciiTheme="minorHAnsi" w:hAnsiTheme="minorHAnsi"/>
          <w:caps/>
          <w:sz w:val="24"/>
          <w:szCs w:val="24"/>
          <w:rtl/>
        </w:rPr>
        <w:t>اقتراح بشأن مراجعة معيار الويب</w:t>
      </w:r>
      <w:r w:rsidR="0086407B">
        <w:rPr>
          <w:rFonts w:asciiTheme="minorHAnsi" w:hAnsiTheme="minorHAnsi" w:hint="cs"/>
          <w:caps/>
          <w:sz w:val="24"/>
          <w:szCs w:val="24"/>
          <w:rtl/>
        </w:rPr>
        <w:t xml:space="preserve">و </w:t>
      </w:r>
      <w:r w:rsidR="0086407B" w:rsidRPr="00C55B86">
        <w:rPr>
          <w:rFonts w:asciiTheme="minorHAnsi" w:hAnsiTheme="minorHAnsi" w:cstheme="minorHAnsi"/>
          <w:caps/>
          <w:sz w:val="24"/>
          <w:szCs w:val="24"/>
        </w:rPr>
        <w:t>ST.60</w:t>
      </w:r>
    </w:p>
    <w:bookmarkEnd w:id="3"/>
    <w:p w14:paraId="77BB0DEC" w14:textId="6B3561FF" w:rsidR="007969D1" w:rsidRPr="00D32D75" w:rsidRDefault="00C56E47" w:rsidP="00D32D75">
      <w:pPr>
        <w:pStyle w:val="BodyText"/>
        <w:spacing w:after="720"/>
        <w:rPr>
          <w:i/>
          <w:iCs/>
          <w:rtl/>
        </w:rPr>
      </w:pPr>
      <w:r w:rsidRPr="00C56E47">
        <w:rPr>
          <w:i/>
          <w:iCs/>
          <w:rtl/>
        </w:rPr>
        <w:t>وثيقة من إعداد المكتب الدولي</w:t>
      </w:r>
    </w:p>
    <w:p w14:paraId="2D2E18FE" w14:textId="77777777" w:rsidR="00C55B86" w:rsidRPr="000F64E8" w:rsidRDefault="00C55B86" w:rsidP="000F64E8">
      <w:pPr>
        <w:pStyle w:val="Heading2"/>
        <w:rPr>
          <w:rtl/>
        </w:rPr>
      </w:pPr>
      <w:r w:rsidRPr="000F64E8">
        <w:rPr>
          <w:rFonts w:hint="cs"/>
          <w:rtl/>
        </w:rPr>
        <w:t>ملخص</w:t>
      </w:r>
    </w:p>
    <w:p w14:paraId="5C81875D" w14:textId="2694E906" w:rsidR="00C55B86" w:rsidRPr="00C55B86" w:rsidRDefault="00C55B86" w:rsidP="000F64E8">
      <w:pPr>
        <w:pStyle w:val="ONUMA"/>
        <w:rPr>
          <w:rtl/>
        </w:rPr>
      </w:pPr>
      <w:r w:rsidRPr="00C55B86">
        <w:rPr>
          <w:rFonts w:hint="cs"/>
          <w:rtl/>
        </w:rPr>
        <w:t xml:space="preserve">تبعاً للتعديلات المدخلة على لائحة مدريد، يقترح المكتب الدولي تنقيح معيار الويبو </w:t>
      </w:r>
      <w:r w:rsidRPr="00C55B86">
        <w:t>ST.60</w:t>
      </w:r>
      <w:r w:rsidRPr="00C55B86">
        <w:rPr>
          <w:rFonts w:hint="cs"/>
          <w:rtl/>
        </w:rPr>
        <w:t xml:space="preserve"> من أجل ضمان أن توفر المنشورات في إطار نظام مدريد بيانات ببليوغرافية واضحة ومتسقة</w:t>
      </w:r>
      <w:r w:rsidR="004A6C62">
        <w:rPr>
          <w:rFonts w:hint="cs"/>
          <w:rtl/>
        </w:rPr>
        <w:t xml:space="preserve">. </w:t>
      </w:r>
      <w:r w:rsidRPr="00C55B86">
        <w:rPr>
          <w:rFonts w:hint="cs"/>
          <w:rtl/>
        </w:rPr>
        <w:t>وإضافة إلى ذلك، يقترح المكتب الدولي إدخال تعديلات أخرى من أجل تحسين الحصول على المعلومات المتعلقة بالعلامات التجارية والمحتوى الببليوغرافي.</w:t>
      </w:r>
    </w:p>
    <w:p w14:paraId="7032D260" w14:textId="77777777" w:rsidR="00C55B86" w:rsidRPr="00C55B86" w:rsidRDefault="00C55B86" w:rsidP="000F64E8">
      <w:pPr>
        <w:pStyle w:val="Heading2"/>
        <w:rPr>
          <w:rtl/>
        </w:rPr>
      </w:pPr>
      <w:r w:rsidRPr="00C55B86">
        <w:rPr>
          <w:rFonts w:hint="cs"/>
          <w:rtl/>
        </w:rPr>
        <w:t>معلومات أساسية</w:t>
      </w:r>
    </w:p>
    <w:p w14:paraId="68BD93AD" w14:textId="06AB19F9" w:rsidR="00C55B86" w:rsidRPr="00C55B86" w:rsidRDefault="00C55B86" w:rsidP="000F64E8">
      <w:pPr>
        <w:pStyle w:val="ONUMA"/>
        <w:rPr>
          <w:rtl/>
        </w:rPr>
      </w:pPr>
      <w:r w:rsidRPr="00C55B86">
        <w:rPr>
          <w:rFonts w:hint="cs"/>
          <w:rtl/>
        </w:rPr>
        <w:t xml:space="preserve">يقدّم معيار الويبو </w:t>
      </w:r>
      <w:r w:rsidRPr="00C55B86">
        <w:t>ST.60</w:t>
      </w:r>
      <w:r w:rsidRPr="00C55B86">
        <w:rPr>
          <w:rFonts w:hint="cs"/>
          <w:rtl/>
        </w:rPr>
        <w:t xml:space="preserve"> قائمة برموز الأرقام المتفق عليها دولياً لتحديد البيانات التي تحدد البيانات الببليوغرافية للعلامات التجارية</w:t>
      </w:r>
      <w:r w:rsidR="004A6C62">
        <w:rPr>
          <w:rFonts w:hint="cs"/>
          <w:rtl/>
        </w:rPr>
        <w:t xml:space="preserve">. </w:t>
      </w:r>
      <w:r w:rsidRPr="00C55B86">
        <w:rPr>
          <w:rFonts w:hint="cs"/>
          <w:rtl/>
        </w:rPr>
        <w:t xml:space="preserve">وقد حُدث المعيار لآخر مرة في الدورة السابعة عشرة للجنة المعنية بمعايير الويبو (لجنة المعايير) (انظر(ي) الفقرات من 168 إلى 170 من الوثيقة </w:t>
      </w:r>
      <w:hyperlink r:id="rId12">
        <w:r w:rsidRPr="00C55B86">
          <w:rPr>
            <w:color w:val="0000FF"/>
            <w:u w:val="single"/>
          </w:rPr>
          <w:t>CWS/7/29</w:t>
        </w:r>
      </w:hyperlink>
      <w:r w:rsidR="00616A14">
        <w:rPr>
          <w:rFonts w:hint="cs"/>
          <w:rtl/>
        </w:rPr>
        <w:t>)</w:t>
      </w:r>
      <w:r w:rsidRPr="00C55B86">
        <w:t>.</w:t>
      </w:r>
    </w:p>
    <w:p w14:paraId="4BD735C7" w14:textId="2509008D" w:rsidR="00C55B86" w:rsidRPr="00C55B86" w:rsidRDefault="00C55B86" w:rsidP="000F64E8">
      <w:pPr>
        <w:pStyle w:val="ONUMA"/>
        <w:rPr>
          <w:rtl/>
        </w:rPr>
      </w:pPr>
      <w:r w:rsidRPr="00C55B86">
        <w:rPr>
          <w:rFonts w:hint="cs"/>
          <w:rtl/>
        </w:rPr>
        <w:t>وقد اعتمدت جمعية اتحاد مدريد، في دورتها الخامسة والخمسين، تعديلات على القاعدة 9 من اللائحة، من بين أمور أخرى</w:t>
      </w:r>
      <w:r w:rsidR="004A6C62">
        <w:rPr>
          <w:rFonts w:hint="cs"/>
          <w:rtl/>
        </w:rPr>
        <w:t xml:space="preserve">. </w:t>
      </w:r>
      <w:r w:rsidRPr="00C55B86">
        <w:rPr>
          <w:rFonts w:hint="cs"/>
          <w:rtl/>
        </w:rPr>
        <w:t xml:space="preserve">ودخلت هذه التعديلات حيز النفاذ في فبراير 2023، وألغت الشرط الضيق المتمثل في أن يتضمن الطلب الدولي نسخة من العلامة التجارية ضمن </w:t>
      </w:r>
      <w:r w:rsidR="00D617FF">
        <w:rPr>
          <w:rFonts w:hint="cs"/>
          <w:rtl/>
        </w:rPr>
        <w:t>الخانة</w:t>
      </w:r>
      <w:r w:rsidRPr="00C55B86">
        <w:rPr>
          <w:rFonts w:hint="cs"/>
          <w:rtl/>
        </w:rPr>
        <w:t xml:space="preserve"> </w:t>
      </w:r>
      <w:r w:rsidR="00D617FF">
        <w:rPr>
          <w:rFonts w:hint="cs"/>
          <w:rtl/>
        </w:rPr>
        <w:t xml:space="preserve">المحددة </w:t>
      </w:r>
      <w:r w:rsidRPr="00C55B86">
        <w:rPr>
          <w:rFonts w:hint="cs"/>
          <w:rtl/>
        </w:rPr>
        <w:t>في الاستمارة الرسمية</w:t>
      </w:r>
      <w:r w:rsidR="004A6C62">
        <w:rPr>
          <w:rFonts w:hint="cs"/>
          <w:rtl/>
        </w:rPr>
        <w:t xml:space="preserve">. </w:t>
      </w:r>
      <w:r w:rsidRPr="00C55B86">
        <w:rPr>
          <w:rFonts w:hint="cs"/>
          <w:rtl/>
        </w:rPr>
        <w:t>وقد استُعيض عن هذا الشرط بشرط أوسع يقتضي إدراج تمثيل للعلامة التجارية المعطاة وفقاً للتعليمات الإدارية</w:t>
      </w:r>
      <w:r w:rsidR="004A6C62">
        <w:rPr>
          <w:rFonts w:hint="cs"/>
          <w:rtl/>
        </w:rPr>
        <w:t xml:space="preserve">. </w:t>
      </w:r>
      <w:r w:rsidRPr="00C55B86">
        <w:rPr>
          <w:rFonts w:hint="cs"/>
          <w:rtl/>
        </w:rPr>
        <w:t>وبموجب هذه التعليمات، يمكن الآن تمثيل العلامة التجارية من خلال استنساخ بياني أو فوتوغرافي، أو استنساخ رقمي، أو تسجيل صوتي، أو تسجيل متحرك، أو تسجيل رقمي متعدد الوسائط</w:t>
      </w:r>
      <w:r w:rsidR="004A6C62">
        <w:rPr>
          <w:rFonts w:hint="cs"/>
          <w:rtl/>
        </w:rPr>
        <w:t xml:space="preserve">. </w:t>
      </w:r>
    </w:p>
    <w:p w14:paraId="1A36FCA5" w14:textId="7AC372AC" w:rsidR="00C55B86" w:rsidRPr="00C55B86" w:rsidRDefault="00C55B86" w:rsidP="000F64E8">
      <w:pPr>
        <w:pStyle w:val="ONUMA"/>
        <w:rPr>
          <w:rtl/>
        </w:rPr>
      </w:pPr>
      <w:r w:rsidRPr="00C55B86">
        <w:rPr>
          <w:rFonts w:hint="cs"/>
          <w:rtl/>
        </w:rPr>
        <w:t>وقد كانت التعديلات مدفوعة بالمدخلات الواردة من العديد من أعضاء نظام مدريد والمنظمات المستخدمة له</w:t>
      </w:r>
      <w:r w:rsidR="004A6C62">
        <w:rPr>
          <w:rFonts w:hint="cs"/>
          <w:rtl/>
        </w:rPr>
        <w:t xml:space="preserve">. </w:t>
      </w:r>
      <w:r w:rsidRPr="00C55B86">
        <w:rPr>
          <w:rFonts w:hint="cs"/>
          <w:rtl/>
        </w:rPr>
        <w:t>وفي العديد من البلدان الأعضاء، لم يعد تمثيل العلامة التجارية مقتصراً على الاستنساخ البياني أو الفوترغرافي الذي يجب إدراجه أو إلحاقه بالطلب</w:t>
      </w:r>
      <w:r w:rsidR="004A6C62">
        <w:rPr>
          <w:rFonts w:hint="cs"/>
          <w:rtl/>
        </w:rPr>
        <w:t xml:space="preserve">. </w:t>
      </w:r>
      <w:r w:rsidRPr="00C55B86">
        <w:rPr>
          <w:rFonts w:hint="cs"/>
          <w:rtl/>
        </w:rPr>
        <w:t>ويقبل معظم الأعضاء الآن الطلبات المصحوبة بتمثيل بياني رقمي للعلامة التجارية</w:t>
      </w:r>
      <w:r w:rsidR="004A6C62">
        <w:rPr>
          <w:rFonts w:hint="cs"/>
          <w:rtl/>
        </w:rPr>
        <w:t xml:space="preserve">. </w:t>
      </w:r>
      <w:r w:rsidRPr="00C55B86">
        <w:rPr>
          <w:rFonts w:hint="cs"/>
          <w:rtl/>
        </w:rPr>
        <w:t>وعلاوة على ذلك، يقبل بعضها وسائل أخرى لتمثيل العلامات التجارية، مثل التسجيلات الصوتية أو المتحركة أو الرقمية متعددة الوسائط</w:t>
      </w:r>
      <w:r w:rsidR="004A6C62">
        <w:rPr>
          <w:rFonts w:hint="cs"/>
          <w:rtl/>
        </w:rPr>
        <w:t xml:space="preserve">. </w:t>
      </w:r>
      <w:r w:rsidRPr="00C55B86">
        <w:rPr>
          <w:rFonts w:hint="cs"/>
          <w:rtl/>
        </w:rPr>
        <w:t>وقد انعكس هذا التطور في المصطلحات المستخدمة في القوانين السارية للعديد من الدول الأعضاء في نظام مدريد، والتي تشير الآن إلى "تمثيل" العلامة التجارية بحيث تشمل وسائل التمثيل البيانية وغير البيانية.</w:t>
      </w:r>
    </w:p>
    <w:p w14:paraId="4A870841" w14:textId="4C94C3BA" w:rsidR="00C55B86" w:rsidRPr="00C55B86" w:rsidRDefault="00C55B86" w:rsidP="000F64E8">
      <w:pPr>
        <w:pStyle w:val="ONUMA"/>
        <w:rPr>
          <w:rtl/>
        </w:rPr>
      </w:pPr>
      <w:r w:rsidRPr="00C55B86">
        <w:rPr>
          <w:rFonts w:hint="cs"/>
          <w:rtl/>
        </w:rPr>
        <w:lastRenderedPageBreak/>
        <w:t xml:space="preserve">وإضافة إلى ذلك، عند الاقتضاء، تُدرج الإشارات إلى تدوين إخطارات الرفض المؤقت بموجب القاعدة 17 من اللائحة في شهادة التجديد باستخدام الأوصاف المقابلة </w:t>
      </w:r>
      <w:r w:rsidR="002F62FD">
        <w:rPr>
          <w:rFonts w:hint="cs"/>
          <w:rtl/>
        </w:rPr>
        <w:t>ل</w:t>
      </w:r>
      <w:r w:rsidRPr="00C55B86">
        <w:rPr>
          <w:rFonts w:hint="cs"/>
          <w:rtl/>
        </w:rPr>
        <w:t>لرمزي</w:t>
      </w:r>
      <w:r w:rsidR="002F62FD">
        <w:rPr>
          <w:rFonts w:hint="cs"/>
          <w:rtl/>
        </w:rPr>
        <w:t>ن</w:t>
      </w:r>
      <w:r w:rsidRPr="00C55B86">
        <w:rPr>
          <w:rFonts w:hint="cs"/>
          <w:rtl/>
        </w:rPr>
        <w:t xml:space="preserve"> 861 و862</w:t>
      </w:r>
      <w:r w:rsidR="004A6C62">
        <w:rPr>
          <w:rFonts w:hint="cs"/>
          <w:rtl/>
        </w:rPr>
        <w:t xml:space="preserve">. </w:t>
      </w:r>
      <w:r w:rsidRPr="00C55B86">
        <w:rPr>
          <w:rFonts w:hint="cs"/>
          <w:rtl/>
        </w:rPr>
        <w:t>ومع ذلك، نظراً إلى أنه لا يُنص بوضوح في هذه التعاريف على أن الرفض مؤقت، فإن أصحاب التسجيلات كثيراً ما يشتكون من أن التعاريف الحالية مضللة لأنها قد تعني أن الرفض هو القرار النهائي لدى الأطراف المتعاقدة المعينة</w:t>
      </w:r>
      <w:r w:rsidR="004A6C62">
        <w:rPr>
          <w:rFonts w:hint="cs"/>
          <w:rtl/>
        </w:rPr>
        <w:t xml:space="preserve">. </w:t>
      </w:r>
    </w:p>
    <w:p w14:paraId="395475F0" w14:textId="77777777" w:rsidR="00C55B86" w:rsidRPr="00C55B86" w:rsidRDefault="00C55B86" w:rsidP="000F64E8">
      <w:pPr>
        <w:pStyle w:val="ONUMA"/>
        <w:rPr>
          <w:rtl/>
        </w:rPr>
      </w:pPr>
      <w:r w:rsidRPr="00C55B86">
        <w:rPr>
          <w:rFonts w:hint="cs"/>
          <w:rtl/>
        </w:rPr>
        <w:t xml:space="preserve">وأخيراً، في سياق استعراض معيار الويبو </w:t>
      </w:r>
      <w:r w:rsidRPr="00C55B86">
        <w:t>ST.60</w:t>
      </w:r>
      <w:r w:rsidRPr="00C55B86">
        <w:rPr>
          <w:rFonts w:hint="cs"/>
          <w:rtl/>
        </w:rPr>
        <w:t>، حدّد المكتب الدولي أن إدراج عنوانين فرعيين جديدين في إطار السلسلة 500 من شأنه أن يحسّن فهم المعلومات التي تغطيها المجموعة من خلال تجميع هذه المعلومات.</w:t>
      </w:r>
    </w:p>
    <w:p w14:paraId="783D473C" w14:textId="77777777" w:rsidR="00C55B86" w:rsidRPr="00C55B86" w:rsidRDefault="00C55B86" w:rsidP="000F64E8">
      <w:pPr>
        <w:pStyle w:val="Heading2"/>
        <w:rPr>
          <w:rtl/>
        </w:rPr>
      </w:pPr>
      <w:r w:rsidRPr="00C55B86">
        <w:rPr>
          <w:rFonts w:hint="cs"/>
          <w:rtl/>
        </w:rPr>
        <w:t>المسائل العالقة</w:t>
      </w:r>
    </w:p>
    <w:p w14:paraId="61E2BAD6" w14:textId="77777777" w:rsidR="00C55B86" w:rsidRPr="00C55B86" w:rsidRDefault="00C55B86" w:rsidP="000F64E8">
      <w:pPr>
        <w:pStyle w:val="ONUMA"/>
        <w:rPr>
          <w:rtl/>
        </w:rPr>
      </w:pPr>
      <w:r w:rsidRPr="00C55B86">
        <w:rPr>
          <w:rFonts w:hint="cs"/>
          <w:rtl/>
        </w:rPr>
        <w:t xml:space="preserve">في إطار جهدٍ متواصل لتحسين النفاذ إلى المعلومات المتعلقة بالعلامات التجارية المنشورة في </w:t>
      </w:r>
      <w:r w:rsidRPr="00C55B86">
        <w:rPr>
          <w:rFonts w:hint="cs"/>
          <w:i/>
          <w:iCs/>
          <w:rtl/>
        </w:rPr>
        <w:t>جريدة الويبو للعلامات الدولية</w:t>
      </w:r>
      <w:r w:rsidRPr="00C55B86">
        <w:rPr>
          <w:vertAlign w:val="superscript"/>
        </w:rPr>
        <w:footnoteReference w:id="2"/>
      </w:r>
      <w:r w:rsidRPr="00C55B86">
        <w:rPr>
          <w:rFonts w:hint="cs"/>
          <w:rtl/>
        </w:rPr>
        <w:t xml:space="preserve"> (المُشار إليها فيما يلي باسم "جريدة الويبو") وفي قاعدة بيانات مرصد مدريد،</w:t>
      </w:r>
      <w:r w:rsidRPr="00C55B86">
        <w:rPr>
          <w:vertAlign w:val="superscript"/>
        </w:rPr>
        <w:footnoteReference w:id="3"/>
      </w:r>
      <w:r w:rsidRPr="00C55B86">
        <w:rPr>
          <w:rFonts w:hint="cs"/>
          <w:rtl/>
        </w:rPr>
        <w:t xml:space="preserve"> حدَّد المكتبُ الدولي القضايا المُعلَّقة التالية:</w:t>
      </w:r>
    </w:p>
    <w:p w14:paraId="52268F43" w14:textId="128D3974" w:rsidR="00C55B86" w:rsidRPr="00C55B86" w:rsidRDefault="00C55B86" w:rsidP="000F64E8">
      <w:pPr>
        <w:pStyle w:val="BodyText"/>
        <w:ind w:left="566"/>
        <w:rPr>
          <w:rtl/>
        </w:rPr>
      </w:pPr>
      <w:r w:rsidRPr="00C55B86">
        <w:rPr>
          <w:rFonts w:hint="cs"/>
          <w:rtl/>
        </w:rPr>
        <w:t>(أ) ينبغي الاستعاضة عن مصطلح "استنساخ العلامة" بمصطلح "تمثيل العلامة" من أجل تحديث المصطلحات ومواءمتها مع المصطلحات المستخدمة في اللائحة وفي قوانين العديد من البلدان الأعضاء في الويبو</w:t>
      </w:r>
      <w:r w:rsidR="004A6C62">
        <w:rPr>
          <w:rFonts w:hint="cs"/>
          <w:rtl/>
        </w:rPr>
        <w:t xml:space="preserve">. </w:t>
      </w:r>
      <w:r w:rsidRPr="00C55B86">
        <w:rPr>
          <w:rFonts w:hint="cs"/>
          <w:rtl/>
        </w:rPr>
        <w:t xml:space="preserve">ويمكن للتعديل المقترح إدخاله على معيار الويبو </w:t>
      </w:r>
      <w:r w:rsidRPr="00C55B86">
        <w:t>ST.60</w:t>
      </w:r>
      <w:r w:rsidRPr="00C55B86">
        <w:rPr>
          <w:rFonts w:hint="cs"/>
          <w:rtl/>
        </w:rPr>
        <w:t xml:space="preserve"> للاستعاضة عن كلمة "استنساخ" بالمصطلح الأوسع "تمثيل" أن يعكس ببساطة حقيقة أن العلامات التجارية يمكن تمثيلها بعدة وسائل، وذلك على النحو المنصوص عليه في القوانين السارية في كل دولة عضو، ودون الإضرار بالأعضاء الذين لا يزال يُشترط لديهم تقديم تمثيل بياني أو فوتوغرافي للعلامة التجارية.</w:t>
      </w:r>
    </w:p>
    <w:p w14:paraId="2C52F048" w14:textId="6062A770" w:rsidR="00C55B86" w:rsidRPr="00C55B86" w:rsidRDefault="00C55B86" w:rsidP="000F64E8">
      <w:pPr>
        <w:pStyle w:val="BodyText"/>
        <w:ind w:left="566"/>
        <w:rPr>
          <w:rFonts w:eastAsia="Arial"/>
          <w:rtl/>
        </w:rPr>
      </w:pPr>
      <w:r w:rsidRPr="00C55B86">
        <w:rPr>
          <w:rFonts w:hint="cs"/>
          <w:rtl/>
        </w:rPr>
        <w:t xml:space="preserve">(ب) تغطي السلسلة 800 في معيار الويبو </w:t>
      </w:r>
      <w:r w:rsidRPr="00C55B86">
        <w:t>ST.60</w:t>
      </w:r>
      <w:r w:rsidRPr="00C55B86">
        <w:rPr>
          <w:rFonts w:hint="cs"/>
          <w:rtl/>
        </w:rPr>
        <w:t xml:space="preserve"> رموزاً مختلفة فيما يخص بعض البيانات المتعلقة بالتسجيل الدولي للعلامات التجارية بموجب اتفاق مدريد بشأن التسجيل الدولي للعلامات وبروتوكول ذلك الاتفاق</w:t>
      </w:r>
      <w:r w:rsidR="004A6C62">
        <w:rPr>
          <w:rFonts w:hint="cs"/>
          <w:rtl/>
        </w:rPr>
        <w:t xml:space="preserve">. </w:t>
      </w:r>
      <w:r w:rsidRPr="00C55B86">
        <w:rPr>
          <w:rFonts w:hint="cs"/>
          <w:rtl/>
        </w:rPr>
        <w:t>وبغية توضيح التعاريف الخاصة ب</w:t>
      </w:r>
      <w:r w:rsidR="00FE6520">
        <w:rPr>
          <w:rFonts w:hint="cs"/>
          <w:rtl/>
        </w:rPr>
        <w:t>ال</w:t>
      </w:r>
      <w:r w:rsidRPr="00C55B86">
        <w:rPr>
          <w:rFonts w:hint="cs"/>
          <w:rtl/>
        </w:rPr>
        <w:t>رمزي</w:t>
      </w:r>
      <w:r w:rsidR="00FE6520">
        <w:rPr>
          <w:rFonts w:hint="cs"/>
          <w:rtl/>
        </w:rPr>
        <w:t>ن</w:t>
      </w:r>
      <w:r w:rsidRPr="00C55B86">
        <w:rPr>
          <w:rFonts w:hint="cs"/>
          <w:rtl/>
        </w:rPr>
        <w:t xml:space="preserve"> 861 و862، "رفض كلي للحماية" و"رفض جزئي </w:t>
      </w:r>
      <w:r w:rsidR="00FE6520">
        <w:rPr>
          <w:rFonts w:hint="cs"/>
          <w:rtl/>
        </w:rPr>
        <w:t>ل</w:t>
      </w:r>
      <w:r w:rsidRPr="00C55B86">
        <w:rPr>
          <w:rFonts w:hint="cs"/>
          <w:rtl/>
        </w:rPr>
        <w:t xml:space="preserve">لحماية" على التوالي، يقترح المكتب الدولي تعديل التعاريف بإضافة كلمة "مؤقت" </w:t>
      </w:r>
      <w:r w:rsidR="00FE6520">
        <w:rPr>
          <w:rFonts w:hint="cs"/>
          <w:rtl/>
        </w:rPr>
        <w:t xml:space="preserve">قبل </w:t>
      </w:r>
      <w:r w:rsidRPr="00C55B86">
        <w:rPr>
          <w:rFonts w:hint="cs"/>
          <w:rtl/>
        </w:rPr>
        <w:t>كلمة "</w:t>
      </w:r>
      <w:r w:rsidR="00FE6520">
        <w:rPr>
          <w:rFonts w:hint="cs"/>
          <w:rtl/>
        </w:rPr>
        <w:t>للحماية</w:t>
      </w:r>
      <w:r w:rsidRPr="00C55B86">
        <w:rPr>
          <w:rFonts w:hint="cs"/>
          <w:rtl/>
        </w:rPr>
        <w:t>"</w:t>
      </w:r>
      <w:r w:rsidR="004A6C62">
        <w:rPr>
          <w:rFonts w:hint="cs"/>
          <w:rtl/>
        </w:rPr>
        <w:t xml:space="preserve">. </w:t>
      </w:r>
      <w:r w:rsidRPr="00C55B86">
        <w:rPr>
          <w:rFonts w:hint="cs"/>
          <w:rtl/>
        </w:rPr>
        <w:t>ويُستخدم الرمزان 861 و862 لنشر إخطارات الرفض المؤقت التي ترسلها مكاتب الأطراف المتعاقدة المعينة بموجب نظام مدريد</w:t>
      </w:r>
      <w:r w:rsidR="004A6C62">
        <w:rPr>
          <w:rFonts w:hint="cs"/>
          <w:rtl/>
        </w:rPr>
        <w:t xml:space="preserve">. </w:t>
      </w:r>
      <w:r w:rsidRPr="00C55B86">
        <w:rPr>
          <w:rFonts w:hint="cs"/>
          <w:rtl/>
        </w:rPr>
        <w:t>وتُرسل هذه الإخطارات بموجب القاعدة 17 من اللائحة، بعنوان "رفض مؤقت"، وقد تكون إما كلية أو جزئية، بناءً على ما إذا كان الرفض يؤثر على بعض السلع والخدمات التي تم تعيين الطرف المتعاقد بشأنها، أو كل</w:t>
      </w:r>
      <w:r w:rsidR="007D78E9">
        <w:rPr>
          <w:rFonts w:hint="cs"/>
          <w:rtl/>
        </w:rPr>
        <w:t xml:space="preserve"> هذه السلع والخدمات</w:t>
      </w:r>
      <w:r w:rsidR="004A6C62">
        <w:rPr>
          <w:rFonts w:hint="cs"/>
          <w:rtl/>
        </w:rPr>
        <w:t xml:space="preserve">. </w:t>
      </w:r>
      <w:r w:rsidRPr="00C55B86">
        <w:rPr>
          <w:rFonts w:hint="cs"/>
          <w:rtl/>
        </w:rPr>
        <w:t>وتتوافق هذه الإشعارات مع ما يُسمى "أول إجراء للمكتب"، وهو أول خطاب يقوم المكتب من خلاله بإبلاغ صاحب الحق بأنه لن يتسنى له منح الحماية للعلامة التجارية استناداً إلى الأسباب المحددة في القانون الساري أو إلى اعتراض مقدم من طرف ثالث</w:t>
      </w:r>
      <w:r w:rsidR="004A6C62">
        <w:rPr>
          <w:rFonts w:hint="cs"/>
          <w:rtl/>
        </w:rPr>
        <w:t xml:space="preserve">. </w:t>
      </w:r>
      <w:r w:rsidRPr="00C55B86">
        <w:rPr>
          <w:rFonts w:hint="cs"/>
          <w:rtl/>
        </w:rPr>
        <w:t>والرفض مؤقت لأنه يجب منح صاحب الحق الفرصة للرد أو طلب الاستعراض أو تقديم استئناف في غضون فترة لا تقل عن شهرين</w:t>
      </w:r>
      <w:r w:rsidR="004A6C62">
        <w:rPr>
          <w:rFonts w:hint="cs"/>
          <w:rtl/>
        </w:rPr>
        <w:t xml:space="preserve">. </w:t>
      </w:r>
      <w:r w:rsidRPr="00C55B86">
        <w:rPr>
          <w:rFonts w:hint="cs"/>
          <w:rtl/>
        </w:rPr>
        <w:t>ويهدف اقتراح إدخال كلمة "مؤقت" إلى توضيح أن هذه التعديلات تتعلق بالإخطارات بموجب القاعدة المذكورة أعلاه وإلى تجنب اللبس المحتمل مع الخطاب التالي للقرار النهائي الذي اتخذه المكتب، والذي يُرسل بموجب القاعدة 18</w:t>
      </w:r>
      <w:r w:rsidRPr="00C55B86">
        <w:rPr>
          <w:rFonts w:hint="cs"/>
          <w:i/>
          <w:iCs/>
          <w:rtl/>
        </w:rPr>
        <w:t>(ثالثاً)</w:t>
      </w:r>
      <w:r w:rsidRPr="00C55B86">
        <w:rPr>
          <w:rFonts w:hint="cs"/>
          <w:rtl/>
        </w:rPr>
        <w:t xml:space="preserve"> من اللائحة </w:t>
      </w:r>
      <w:r w:rsidR="007D78E9">
        <w:rPr>
          <w:rFonts w:hint="cs"/>
          <w:rtl/>
        </w:rPr>
        <w:t>ويُنشر</w:t>
      </w:r>
      <w:r w:rsidRPr="00C55B86">
        <w:rPr>
          <w:rFonts w:hint="cs"/>
          <w:rtl/>
        </w:rPr>
        <w:t xml:space="preserve"> </w:t>
      </w:r>
      <w:r w:rsidR="007D78E9">
        <w:rPr>
          <w:rFonts w:hint="cs"/>
          <w:rtl/>
        </w:rPr>
        <w:t xml:space="preserve">في إطار </w:t>
      </w:r>
      <w:r w:rsidRPr="00C55B86">
        <w:rPr>
          <w:rFonts w:hint="cs"/>
          <w:rtl/>
        </w:rPr>
        <w:t>السلسلة 890</w:t>
      </w:r>
      <w:r w:rsidRPr="00C55B86">
        <w:rPr>
          <w:rFonts w:hint="cs"/>
          <w:i/>
          <w:iCs/>
          <w:rtl/>
        </w:rPr>
        <w:t>.</w:t>
      </w:r>
    </w:p>
    <w:p w14:paraId="04D8C610" w14:textId="418285DE" w:rsidR="00C55B86" w:rsidRPr="00C55B86" w:rsidRDefault="00C55B86" w:rsidP="000F64E8">
      <w:pPr>
        <w:pStyle w:val="BodyText"/>
        <w:ind w:left="566"/>
        <w:rPr>
          <w:rtl/>
        </w:rPr>
      </w:pPr>
      <w:r w:rsidRPr="00C55B86">
        <w:rPr>
          <w:rFonts w:hint="cs"/>
          <w:rtl/>
        </w:rPr>
        <w:t>(ج) وسيُضاف عنوانان فرعيان إلى السلسلة 500</w:t>
      </w:r>
      <w:r w:rsidR="004A6C62">
        <w:rPr>
          <w:rFonts w:hint="cs"/>
          <w:rtl/>
        </w:rPr>
        <w:t xml:space="preserve">. </w:t>
      </w:r>
      <w:r w:rsidRPr="00C55B86">
        <w:rPr>
          <w:rFonts w:hint="cs"/>
          <w:rtl/>
        </w:rPr>
        <w:t>ويجب أن يغطي العنوان الفرعي الجديد "تمثيل العلامة" الرموز من 540 إلى 546</w:t>
      </w:r>
      <w:r w:rsidR="004A6C62">
        <w:rPr>
          <w:rFonts w:hint="cs"/>
          <w:rtl/>
        </w:rPr>
        <w:t xml:space="preserve">. </w:t>
      </w:r>
      <w:r w:rsidRPr="00C55B86">
        <w:rPr>
          <w:rFonts w:hint="cs"/>
          <w:rtl/>
        </w:rPr>
        <w:t>ويجب أن يغطي العنوان الفرعي الجديد "إشارات إلى نوع العلامة والمعلومات الأخرى المتعلقة بالعلامة" الرموز من 550 إلى 594</w:t>
      </w:r>
      <w:r w:rsidR="004A6C62">
        <w:rPr>
          <w:rFonts w:hint="cs"/>
          <w:rtl/>
        </w:rPr>
        <w:t xml:space="preserve">. </w:t>
      </w:r>
      <w:r w:rsidRPr="00C55B86">
        <w:rPr>
          <w:rFonts w:hint="cs"/>
          <w:rtl/>
        </w:rPr>
        <w:t xml:space="preserve">وتغطي السلسلة 500 في معيار الويبو </w:t>
      </w:r>
      <w:r w:rsidRPr="00C55B86">
        <w:t>ST.60</w:t>
      </w:r>
      <w:r w:rsidRPr="00C55B86">
        <w:rPr>
          <w:rFonts w:hint="cs"/>
          <w:rtl/>
        </w:rPr>
        <w:t xml:space="preserve"> العديد من الرموز المتعلقة بمعلومات العلامات التجارية</w:t>
      </w:r>
      <w:r w:rsidR="004A6C62">
        <w:rPr>
          <w:rFonts w:hint="cs"/>
          <w:rtl/>
        </w:rPr>
        <w:t xml:space="preserve">. </w:t>
      </w:r>
      <w:r w:rsidRPr="00C55B86">
        <w:rPr>
          <w:rFonts w:hint="cs"/>
          <w:rtl/>
        </w:rPr>
        <w:t>وتُنظم هذه الرموز ضمن عناوين فرعية توفّر معلومات عامة حول نوع البيانات الموجودة في كل مجموعة رموز</w:t>
      </w:r>
      <w:r w:rsidR="004A6C62">
        <w:rPr>
          <w:rFonts w:hint="cs"/>
          <w:rtl/>
        </w:rPr>
        <w:t xml:space="preserve">. </w:t>
      </w:r>
      <w:r w:rsidRPr="00C55B86">
        <w:rPr>
          <w:rFonts w:hint="cs"/>
          <w:rtl/>
        </w:rPr>
        <w:t>وتغطي الرموز من 540 إلى 546 على وجه التحديد تمثيل العلامة</w:t>
      </w:r>
      <w:r w:rsidR="004A6C62">
        <w:rPr>
          <w:rFonts w:hint="cs"/>
          <w:rtl/>
        </w:rPr>
        <w:t xml:space="preserve">. </w:t>
      </w:r>
      <w:r w:rsidRPr="00C55B86">
        <w:rPr>
          <w:rFonts w:hint="cs"/>
          <w:rtl/>
        </w:rPr>
        <w:t>وفي الوقت نفسه، تغطي الرموز من 550 إلى 594 معلومات نوع العلامة التجارية وغير ذلك من التفاصيل المهمة المتعلقة بالعلامة التجارية، مثل ترجمة عناصر الكلمات، والأوصاف التفصيلية للعلامة، ومطالبات اللون، ومختلف المؤشرات الأخرى</w:t>
      </w:r>
      <w:r w:rsidR="004A6C62">
        <w:rPr>
          <w:rFonts w:hint="cs"/>
          <w:rtl/>
        </w:rPr>
        <w:t xml:space="preserve">. </w:t>
      </w:r>
      <w:r w:rsidRPr="00C55B86">
        <w:rPr>
          <w:rFonts w:hint="cs"/>
          <w:rtl/>
        </w:rPr>
        <w:t>ونظراً إلى الأغراض المميّزة التي يخدمها هذان النطاقان من الرموز، إذ يركز أحدهما على طريقة تمثيل العلامة التجارية بصرياً أو بطريقة أخرى، ويتناول الآخر المعلومات الوصفية وسائر المعلومات ذات الصلة، فلابد من إضافة عنوانين فرعيين جديدين لتوفير معلومات أكثر وضوحاً.</w:t>
      </w:r>
    </w:p>
    <w:p w14:paraId="0B33075E" w14:textId="70C1D1C7" w:rsidR="00C55B86" w:rsidRPr="00C55B86" w:rsidRDefault="00C55B86" w:rsidP="000F64E8">
      <w:pPr>
        <w:pStyle w:val="Heading2"/>
        <w:rPr>
          <w:rtl/>
        </w:rPr>
      </w:pPr>
      <w:r w:rsidRPr="00C55B86">
        <w:rPr>
          <w:rFonts w:hint="cs"/>
          <w:rtl/>
        </w:rPr>
        <w:t xml:space="preserve">اقتراح </w:t>
      </w:r>
      <w:r w:rsidR="00045274">
        <w:rPr>
          <w:rFonts w:hint="cs"/>
          <w:rtl/>
        </w:rPr>
        <w:t>لل</w:t>
      </w:r>
      <w:r w:rsidRPr="00C55B86">
        <w:rPr>
          <w:rFonts w:hint="cs"/>
          <w:rtl/>
        </w:rPr>
        <w:t>تنقيح</w:t>
      </w:r>
    </w:p>
    <w:p w14:paraId="3FAE536D" w14:textId="4B2D2D69" w:rsidR="00C55B86" w:rsidRPr="00C55B86" w:rsidRDefault="00C55B86" w:rsidP="000F64E8">
      <w:pPr>
        <w:pStyle w:val="ONUMA"/>
        <w:rPr>
          <w:rtl/>
        </w:rPr>
      </w:pPr>
      <w:r w:rsidRPr="00C55B86">
        <w:rPr>
          <w:rFonts w:hint="cs"/>
          <w:rtl/>
        </w:rPr>
        <w:t xml:space="preserve">بناءً على ما سبق، سيعد المكتب الدولي اقتراحاً لتنقيح معيار الويبو </w:t>
      </w:r>
      <w:r w:rsidRPr="00C55B86">
        <w:t>ST.60</w:t>
      </w:r>
      <w:r w:rsidRPr="00C55B86">
        <w:rPr>
          <w:rFonts w:hint="cs"/>
          <w:rtl/>
        </w:rPr>
        <w:t xml:space="preserve"> لكي تنظر فيه لجنة المعايير</w:t>
      </w:r>
      <w:r w:rsidR="004A6C62">
        <w:rPr>
          <w:rFonts w:hint="cs"/>
          <w:rtl/>
        </w:rPr>
        <w:t xml:space="preserve">. </w:t>
      </w:r>
      <w:r w:rsidRPr="00C55B86">
        <w:rPr>
          <w:rFonts w:hint="cs"/>
          <w:rtl/>
        </w:rPr>
        <w:t>ويُشار إلى التغييرات المقترحة بأسلوب تتبع التغييرات أدناه حيث يشير النص المشطوب إلى الحذف ويشير النص المسطر إلى الإدراج</w:t>
      </w:r>
      <w:r w:rsidR="004A6C62">
        <w:rPr>
          <w:rFonts w:hint="cs"/>
          <w:rtl/>
        </w:rPr>
        <w:t xml:space="preserve">. </w:t>
      </w:r>
      <w:r w:rsidRPr="00C55B86">
        <w:rPr>
          <w:rFonts w:hint="cs"/>
          <w:rtl/>
        </w:rPr>
        <w:t xml:space="preserve">وتُقترح التنقيحات التالية: </w:t>
      </w:r>
    </w:p>
    <w:p w14:paraId="1DC351DE" w14:textId="338FF87C" w:rsidR="00C55B86" w:rsidRPr="00C55B86" w:rsidRDefault="00C55B86" w:rsidP="00DD657D">
      <w:pPr>
        <w:pStyle w:val="BodyText"/>
        <w:numPr>
          <w:ilvl w:val="0"/>
          <w:numId w:val="32"/>
        </w:numPr>
        <w:ind w:left="1133" w:hanging="567"/>
        <w:rPr>
          <w:rtl/>
        </w:rPr>
      </w:pPr>
      <w:r w:rsidRPr="00C55B86">
        <w:rPr>
          <w:rFonts w:hint="cs"/>
          <w:rtl/>
        </w:rPr>
        <w:t xml:space="preserve">سيصبح التعريف الجديد للرموز (540) و(541) و(546) على النحو التالي: </w:t>
      </w:r>
    </w:p>
    <w:p w14:paraId="6928803F" w14:textId="77777777" w:rsidR="00C55B86" w:rsidRPr="00C55B86" w:rsidRDefault="00C55B86" w:rsidP="00DD657D">
      <w:pPr>
        <w:pStyle w:val="BodyText"/>
        <w:ind w:left="1133"/>
        <w:rPr>
          <w:rtl/>
        </w:rPr>
      </w:pPr>
      <w:r w:rsidRPr="00C55B86">
        <w:rPr>
          <w:rFonts w:hint="cs"/>
          <w:rtl/>
        </w:rPr>
        <w:t>(540) "</w:t>
      </w:r>
      <w:r w:rsidRPr="00C55B86">
        <w:rPr>
          <w:rFonts w:hint="cs"/>
          <w:strike/>
          <w:rtl/>
        </w:rPr>
        <w:t>استنساخ</w:t>
      </w:r>
      <w:r w:rsidRPr="00C55B86">
        <w:rPr>
          <w:rFonts w:hint="cs"/>
          <w:rtl/>
        </w:rPr>
        <w:t xml:space="preserve"> </w:t>
      </w:r>
      <w:r w:rsidRPr="00C55B86">
        <w:rPr>
          <w:rFonts w:hint="cs"/>
          <w:u w:val="single"/>
          <w:rtl/>
        </w:rPr>
        <w:t>تمثيل</w:t>
      </w:r>
      <w:r w:rsidRPr="00C55B86">
        <w:rPr>
          <w:rFonts w:hint="cs"/>
          <w:rtl/>
        </w:rPr>
        <w:t xml:space="preserve"> العلامة التجارية." </w:t>
      </w:r>
    </w:p>
    <w:p w14:paraId="51CCDF7B" w14:textId="77777777" w:rsidR="00C55B86" w:rsidRPr="00C55B86" w:rsidRDefault="00C55B86" w:rsidP="00DD657D">
      <w:pPr>
        <w:pStyle w:val="BodyText"/>
        <w:ind w:left="1133"/>
        <w:rPr>
          <w:rtl/>
        </w:rPr>
      </w:pPr>
      <w:r w:rsidRPr="00C55B86">
        <w:rPr>
          <w:rFonts w:hint="cs"/>
          <w:rtl/>
        </w:rPr>
        <w:t>(541) "</w:t>
      </w:r>
      <w:r w:rsidRPr="00C55B86">
        <w:rPr>
          <w:rFonts w:hint="cs"/>
          <w:strike/>
          <w:rtl/>
        </w:rPr>
        <w:t>استنساخ</w:t>
      </w:r>
      <w:r w:rsidRPr="00C55B86">
        <w:rPr>
          <w:rFonts w:hint="cs"/>
          <w:rtl/>
        </w:rPr>
        <w:t xml:space="preserve"> </w:t>
      </w:r>
      <w:r w:rsidRPr="00C55B86">
        <w:rPr>
          <w:rFonts w:hint="cs"/>
          <w:u w:val="single"/>
          <w:rtl/>
        </w:rPr>
        <w:t xml:space="preserve">تمثيل </w:t>
      </w:r>
      <w:r w:rsidRPr="00C55B86">
        <w:rPr>
          <w:rFonts w:hint="cs"/>
          <w:rtl/>
        </w:rPr>
        <w:t xml:space="preserve">العلامة في حال تمثيل العلامة بأحرف معيارية" </w:t>
      </w:r>
    </w:p>
    <w:p w14:paraId="3BA64F6B" w14:textId="77777777" w:rsidR="00C55B86" w:rsidRPr="00C55B86" w:rsidRDefault="00C55B86" w:rsidP="00DD657D">
      <w:pPr>
        <w:pStyle w:val="BodyText"/>
        <w:ind w:left="1133"/>
        <w:rPr>
          <w:rtl/>
        </w:rPr>
      </w:pPr>
      <w:r w:rsidRPr="00C55B86">
        <w:rPr>
          <w:rFonts w:hint="cs"/>
          <w:rtl/>
        </w:rPr>
        <w:t>(546) "</w:t>
      </w:r>
      <w:r w:rsidRPr="00C55B86">
        <w:rPr>
          <w:rFonts w:hint="cs"/>
          <w:strike/>
          <w:rtl/>
        </w:rPr>
        <w:t>استنساخ</w:t>
      </w:r>
      <w:r w:rsidRPr="00C55B86">
        <w:rPr>
          <w:rFonts w:hint="cs"/>
          <w:rtl/>
        </w:rPr>
        <w:t xml:space="preserve"> </w:t>
      </w:r>
      <w:r w:rsidRPr="00C55B86">
        <w:rPr>
          <w:rFonts w:hint="cs"/>
          <w:u w:val="single"/>
          <w:rtl/>
        </w:rPr>
        <w:t xml:space="preserve">تمثيل </w:t>
      </w:r>
      <w:r w:rsidRPr="00C55B86">
        <w:rPr>
          <w:rFonts w:hint="cs"/>
          <w:rtl/>
        </w:rPr>
        <w:t xml:space="preserve">العلامة في حال تمثيل العلامة بأحرف غير معيارية" </w:t>
      </w:r>
    </w:p>
    <w:p w14:paraId="76419EA0" w14:textId="4941F3A6" w:rsidR="00C55B86" w:rsidRPr="00C55B86" w:rsidRDefault="00C55B86" w:rsidP="00DD657D">
      <w:pPr>
        <w:pStyle w:val="BodyText"/>
        <w:numPr>
          <w:ilvl w:val="0"/>
          <w:numId w:val="32"/>
        </w:numPr>
        <w:ind w:left="1133" w:hanging="567"/>
        <w:rPr>
          <w:rtl/>
        </w:rPr>
      </w:pPr>
      <w:r w:rsidRPr="00C55B86">
        <w:rPr>
          <w:rFonts w:hint="cs"/>
          <w:rtl/>
        </w:rPr>
        <w:t xml:space="preserve">سيصبح التعريف الجديد للرمزين (861) و(862) على النحو التالي: </w:t>
      </w:r>
    </w:p>
    <w:p w14:paraId="4E6F4966" w14:textId="77777777" w:rsidR="00C55B86" w:rsidRPr="00C55B86" w:rsidRDefault="00C55B86" w:rsidP="00DD657D">
      <w:pPr>
        <w:pStyle w:val="BodyText"/>
        <w:ind w:left="1133"/>
        <w:rPr>
          <w:rtl/>
        </w:rPr>
      </w:pPr>
      <w:r w:rsidRPr="00C55B86">
        <w:rPr>
          <w:rFonts w:hint="cs"/>
          <w:rtl/>
        </w:rPr>
        <w:t xml:space="preserve">(861) "رفض كلي </w:t>
      </w:r>
      <w:r w:rsidRPr="00C55B86">
        <w:rPr>
          <w:rFonts w:hint="cs"/>
          <w:u w:val="single"/>
          <w:rtl/>
        </w:rPr>
        <w:t xml:space="preserve">مؤقت </w:t>
      </w:r>
      <w:r w:rsidRPr="00C55B86">
        <w:rPr>
          <w:rFonts w:hint="cs"/>
          <w:rtl/>
        </w:rPr>
        <w:t xml:space="preserve">للحماية". </w:t>
      </w:r>
    </w:p>
    <w:p w14:paraId="1E5FAFD7" w14:textId="77777777" w:rsidR="00C55B86" w:rsidRPr="00C55B86" w:rsidRDefault="00C55B86" w:rsidP="00DD657D">
      <w:pPr>
        <w:pStyle w:val="BodyText"/>
        <w:ind w:left="1133"/>
        <w:rPr>
          <w:rtl/>
        </w:rPr>
      </w:pPr>
      <w:r w:rsidRPr="00C55B86">
        <w:rPr>
          <w:rFonts w:hint="cs"/>
          <w:rtl/>
        </w:rPr>
        <w:t xml:space="preserve">(862) "رفض جزئي </w:t>
      </w:r>
      <w:r w:rsidRPr="00C55B86">
        <w:rPr>
          <w:rFonts w:hint="cs"/>
          <w:u w:val="single"/>
          <w:rtl/>
        </w:rPr>
        <w:t>مؤقت</w:t>
      </w:r>
      <w:r w:rsidRPr="00C55B86">
        <w:rPr>
          <w:rFonts w:hint="cs"/>
          <w:rtl/>
        </w:rPr>
        <w:t xml:space="preserve"> للحماية" </w:t>
      </w:r>
    </w:p>
    <w:p w14:paraId="57E98027" w14:textId="2E522EB5" w:rsidR="00C55B86" w:rsidRPr="00C55B86" w:rsidRDefault="00C55B86" w:rsidP="00DD657D">
      <w:pPr>
        <w:pStyle w:val="BodyText"/>
        <w:numPr>
          <w:ilvl w:val="0"/>
          <w:numId w:val="32"/>
        </w:numPr>
        <w:ind w:left="1133" w:hanging="567"/>
        <w:rPr>
          <w:rtl/>
        </w:rPr>
      </w:pPr>
      <w:r w:rsidRPr="00C55B86">
        <w:rPr>
          <w:rFonts w:hint="cs"/>
          <w:rtl/>
        </w:rPr>
        <w:t>العنوانان الفرعيان الجديدان ضمن السلسلة 500 سيكونان كالتالي:</w:t>
      </w:r>
    </w:p>
    <w:p w14:paraId="03B68866" w14:textId="77777777" w:rsidR="00DD657D" w:rsidRDefault="00C55B86" w:rsidP="00045274">
      <w:pPr>
        <w:pStyle w:val="BodyText"/>
        <w:numPr>
          <w:ilvl w:val="0"/>
          <w:numId w:val="34"/>
        </w:numPr>
        <w:ind w:left="1417" w:hanging="284"/>
        <w:rPr>
          <w:u w:val="single"/>
        </w:rPr>
      </w:pPr>
      <w:r w:rsidRPr="00C55B86">
        <w:rPr>
          <w:rFonts w:hint="cs"/>
          <w:u w:val="single"/>
          <w:rtl/>
        </w:rPr>
        <w:t>تمثيل العلامات (يشمل الرموز من 540 إلى 546)</w:t>
      </w:r>
    </w:p>
    <w:p w14:paraId="248EA091" w14:textId="3575CFED" w:rsidR="00C55B86" w:rsidRPr="00DD657D" w:rsidRDefault="00C55B86" w:rsidP="00045274">
      <w:pPr>
        <w:pStyle w:val="BodyText"/>
        <w:numPr>
          <w:ilvl w:val="0"/>
          <w:numId w:val="34"/>
        </w:numPr>
        <w:ind w:left="1417" w:hanging="284"/>
        <w:rPr>
          <w:u w:val="single"/>
          <w:rtl/>
        </w:rPr>
      </w:pPr>
      <w:r w:rsidRPr="00DD657D">
        <w:rPr>
          <w:rFonts w:hint="cs"/>
          <w:u w:val="single"/>
          <w:rtl/>
        </w:rPr>
        <w:t>إشارات إلى نوع العلامة والمعلومات الأخرى المتعلقة بالعلامة (يشمل الرموز من 550 إلى 594)</w:t>
      </w:r>
    </w:p>
    <w:p w14:paraId="78344417" w14:textId="77777777" w:rsidR="00C55B86" w:rsidRPr="00C55B86" w:rsidRDefault="00C55B86" w:rsidP="00DD657D">
      <w:pPr>
        <w:pStyle w:val="ONUMA"/>
        <w:rPr>
          <w:rtl/>
        </w:rPr>
      </w:pPr>
      <w:r w:rsidRPr="00C55B86">
        <w:rPr>
          <w:rFonts w:hint="cs"/>
          <w:rtl/>
        </w:rPr>
        <w:t xml:space="preserve">وإضافة إلى ذلك، ينبغي تحديث الملحق 2 بمعيار الويبو </w:t>
      </w:r>
      <w:r w:rsidRPr="00C55B86">
        <w:t>ST.60</w:t>
      </w:r>
      <w:r w:rsidRPr="00C55B86">
        <w:rPr>
          <w:rFonts w:hint="cs"/>
          <w:rtl/>
        </w:rPr>
        <w:t>، ليشمل الصفين الجديدين التاليين:</w:t>
      </w:r>
    </w:p>
    <w:tbl>
      <w:tblPr>
        <w:tblStyle w:val="TableGrid"/>
        <w:bidiVisual/>
        <w:tblW w:w="0" w:type="auto"/>
        <w:tblLook w:val="04A0" w:firstRow="1" w:lastRow="0" w:firstColumn="1" w:lastColumn="0" w:noHBand="0" w:noVBand="1"/>
      </w:tblPr>
      <w:tblGrid>
        <w:gridCol w:w="1869"/>
        <w:gridCol w:w="1869"/>
        <w:gridCol w:w="1869"/>
        <w:gridCol w:w="1869"/>
        <w:gridCol w:w="1869"/>
      </w:tblGrid>
      <w:tr w:rsidR="00C55B86" w:rsidRPr="00DD657D" w14:paraId="77E1A951" w14:textId="77777777" w:rsidTr="00070A7F">
        <w:tc>
          <w:tcPr>
            <w:tcW w:w="1869" w:type="dxa"/>
          </w:tcPr>
          <w:p w14:paraId="08250DFC" w14:textId="77777777" w:rsidR="00C55B86" w:rsidRPr="00DD657D" w:rsidRDefault="00C55B86" w:rsidP="00DD657D">
            <w:pPr>
              <w:pStyle w:val="BodyText"/>
              <w:rPr>
                <w:b/>
                <w:bCs/>
                <w:rtl/>
              </w:rPr>
            </w:pPr>
            <w:r w:rsidRPr="00DD657D">
              <w:rPr>
                <w:rFonts w:hint="cs"/>
                <w:b/>
                <w:bCs/>
                <w:rtl/>
              </w:rPr>
              <w:t>رمز تحديد البيانات</w:t>
            </w:r>
          </w:p>
        </w:tc>
        <w:tc>
          <w:tcPr>
            <w:tcW w:w="1869" w:type="dxa"/>
          </w:tcPr>
          <w:p w14:paraId="1096381E" w14:textId="77777777" w:rsidR="00C55B86" w:rsidRPr="00DD657D" w:rsidRDefault="00C55B86" w:rsidP="00DD657D">
            <w:pPr>
              <w:pStyle w:val="BodyText"/>
              <w:rPr>
                <w:b/>
                <w:bCs/>
                <w:rtl/>
              </w:rPr>
            </w:pPr>
            <w:r w:rsidRPr="00DD657D">
              <w:rPr>
                <w:rFonts w:hint="cs"/>
                <w:b/>
                <w:bCs/>
                <w:rtl/>
              </w:rPr>
              <w:t>التعريف السابق للرمز</w:t>
            </w:r>
          </w:p>
        </w:tc>
        <w:tc>
          <w:tcPr>
            <w:tcW w:w="1869" w:type="dxa"/>
          </w:tcPr>
          <w:p w14:paraId="6DF399E2" w14:textId="77777777" w:rsidR="00C55B86" w:rsidRPr="00DD657D" w:rsidRDefault="00C55B86" w:rsidP="00DD657D">
            <w:pPr>
              <w:pStyle w:val="BodyText"/>
              <w:rPr>
                <w:b/>
                <w:bCs/>
                <w:rtl/>
              </w:rPr>
            </w:pPr>
            <w:r w:rsidRPr="00DD657D">
              <w:rPr>
                <w:rFonts w:hint="cs"/>
                <w:b/>
                <w:bCs/>
                <w:rtl/>
              </w:rPr>
              <w:t>الملاحظة (الملاحظات) الوجيهة السابقة</w:t>
            </w:r>
          </w:p>
        </w:tc>
        <w:tc>
          <w:tcPr>
            <w:tcW w:w="1869" w:type="dxa"/>
          </w:tcPr>
          <w:p w14:paraId="35635BC7" w14:textId="77777777" w:rsidR="00C55B86" w:rsidRPr="00DD657D" w:rsidRDefault="00C55B86" w:rsidP="00DD657D">
            <w:pPr>
              <w:pStyle w:val="BodyText"/>
              <w:rPr>
                <w:b/>
                <w:bCs/>
                <w:rtl/>
              </w:rPr>
            </w:pPr>
            <w:r w:rsidRPr="00DD657D">
              <w:rPr>
                <w:rFonts w:hint="cs"/>
                <w:b/>
                <w:bCs/>
                <w:rtl/>
              </w:rPr>
              <w:t>تاريخ الحذف أو التعديل</w:t>
            </w:r>
          </w:p>
        </w:tc>
        <w:tc>
          <w:tcPr>
            <w:tcW w:w="1869" w:type="dxa"/>
          </w:tcPr>
          <w:p w14:paraId="3FC4B1B1" w14:textId="77777777" w:rsidR="00C55B86" w:rsidRPr="00DD657D" w:rsidRDefault="00C55B86" w:rsidP="00DD657D">
            <w:pPr>
              <w:pStyle w:val="BodyText"/>
              <w:rPr>
                <w:b/>
                <w:bCs/>
                <w:rtl/>
              </w:rPr>
            </w:pPr>
            <w:r w:rsidRPr="00DD657D">
              <w:rPr>
                <w:rFonts w:hint="cs"/>
                <w:b/>
                <w:bCs/>
                <w:rtl/>
              </w:rPr>
              <w:t>نوع التعديل</w:t>
            </w:r>
          </w:p>
        </w:tc>
      </w:tr>
      <w:tr w:rsidR="00C55B86" w:rsidRPr="00C55B86" w14:paraId="3F49942F" w14:textId="77777777" w:rsidTr="00070A7F">
        <w:tc>
          <w:tcPr>
            <w:tcW w:w="1869" w:type="dxa"/>
          </w:tcPr>
          <w:p w14:paraId="27297659" w14:textId="77777777" w:rsidR="00C55B86" w:rsidRPr="00C55B86" w:rsidRDefault="00C55B86" w:rsidP="00DD657D">
            <w:pPr>
              <w:pStyle w:val="BodyText"/>
              <w:rPr>
                <w:rtl/>
              </w:rPr>
            </w:pPr>
            <w:r w:rsidRPr="00C55B86">
              <w:rPr>
                <w:rFonts w:hint="cs"/>
                <w:rtl/>
              </w:rPr>
              <w:t>(540) و(541) و(546)</w:t>
            </w:r>
          </w:p>
        </w:tc>
        <w:tc>
          <w:tcPr>
            <w:tcW w:w="1869" w:type="dxa"/>
          </w:tcPr>
          <w:p w14:paraId="7CADF9CA" w14:textId="77777777" w:rsidR="00C55B86" w:rsidRPr="00C55B86" w:rsidRDefault="00C55B86" w:rsidP="00DD657D">
            <w:pPr>
              <w:pStyle w:val="BodyText"/>
              <w:rPr>
                <w:rtl/>
              </w:rPr>
            </w:pPr>
            <w:r w:rsidRPr="00C55B86">
              <w:rPr>
                <w:rFonts w:hint="cs"/>
                <w:rtl/>
              </w:rPr>
              <w:t>"استنساخ العلامة …"</w:t>
            </w:r>
          </w:p>
        </w:tc>
        <w:tc>
          <w:tcPr>
            <w:tcW w:w="1869" w:type="dxa"/>
          </w:tcPr>
          <w:p w14:paraId="3954A2D5" w14:textId="77777777" w:rsidR="00C55B86" w:rsidRPr="00C55B86" w:rsidRDefault="00C55B86" w:rsidP="00DD657D">
            <w:pPr>
              <w:pStyle w:val="BodyText"/>
              <w:rPr>
                <w:rtl/>
              </w:rPr>
            </w:pPr>
            <w:r w:rsidRPr="00C55B86">
              <w:rPr>
                <w:rFonts w:hint="cs"/>
                <w:rtl/>
              </w:rPr>
              <w:t>"تمثيل العلامة …"</w:t>
            </w:r>
          </w:p>
        </w:tc>
        <w:tc>
          <w:tcPr>
            <w:tcW w:w="1869" w:type="dxa"/>
          </w:tcPr>
          <w:p w14:paraId="7EF7A74F" w14:textId="77777777" w:rsidR="00C55B86" w:rsidRPr="00C55B86" w:rsidRDefault="00C55B86" w:rsidP="00DD657D">
            <w:pPr>
              <w:pStyle w:val="BodyText"/>
              <w:rPr>
                <w:rtl/>
              </w:rPr>
            </w:pPr>
            <w:r w:rsidRPr="00C55B86">
              <w:rPr>
                <w:rFonts w:hint="cs"/>
                <w:rtl/>
              </w:rPr>
              <w:t>نوفمبر 2025، من قبل لجنة المعايير في دورتها الثالثة عشرة</w:t>
            </w:r>
          </w:p>
        </w:tc>
        <w:tc>
          <w:tcPr>
            <w:tcW w:w="1869" w:type="dxa"/>
          </w:tcPr>
          <w:p w14:paraId="7DDA6B0C" w14:textId="77777777" w:rsidR="00C55B86" w:rsidRPr="00C55B86" w:rsidRDefault="00C55B86" w:rsidP="00DD657D">
            <w:pPr>
              <w:pStyle w:val="BodyText"/>
              <w:rPr>
                <w:rtl/>
              </w:rPr>
            </w:pPr>
            <w:r w:rsidRPr="00C55B86">
              <w:rPr>
                <w:rFonts w:hint="cs"/>
                <w:rtl/>
              </w:rPr>
              <w:t>الوصف المحدث</w:t>
            </w:r>
          </w:p>
        </w:tc>
      </w:tr>
      <w:tr w:rsidR="00C55B86" w:rsidRPr="00C55B86" w14:paraId="5E55DC06" w14:textId="77777777" w:rsidTr="00070A7F">
        <w:tc>
          <w:tcPr>
            <w:tcW w:w="1869" w:type="dxa"/>
          </w:tcPr>
          <w:p w14:paraId="04C6AD6A" w14:textId="77777777" w:rsidR="00C55B86" w:rsidRPr="00C55B86" w:rsidRDefault="00C55B86" w:rsidP="00DD657D">
            <w:pPr>
              <w:pStyle w:val="BodyText"/>
              <w:rPr>
                <w:rtl/>
              </w:rPr>
            </w:pPr>
            <w:r w:rsidRPr="00C55B86">
              <w:rPr>
                <w:rFonts w:hint="cs"/>
                <w:rtl/>
              </w:rPr>
              <w:t>(861) و(862)</w:t>
            </w:r>
          </w:p>
        </w:tc>
        <w:tc>
          <w:tcPr>
            <w:tcW w:w="1869" w:type="dxa"/>
          </w:tcPr>
          <w:p w14:paraId="54F762EB" w14:textId="77777777" w:rsidR="00C55B86" w:rsidRPr="00C55B86" w:rsidRDefault="00C55B86" w:rsidP="00DD657D">
            <w:pPr>
              <w:pStyle w:val="BodyText"/>
              <w:rPr>
                <w:rtl/>
              </w:rPr>
            </w:pPr>
            <w:r w:rsidRPr="00C55B86">
              <w:rPr>
                <w:rFonts w:hint="cs"/>
                <w:rtl/>
              </w:rPr>
              <w:t>"رفض كلي..."</w:t>
            </w:r>
          </w:p>
        </w:tc>
        <w:tc>
          <w:tcPr>
            <w:tcW w:w="1869" w:type="dxa"/>
          </w:tcPr>
          <w:p w14:paraId="319AC00B" w14:textId="77777777" w:rsidR="00C55B86" w:rsidRPr="00C55B86" w:rsidRDefault="00C55B86" w:rsidP="00DD657D">
            <w:pPr>
              <w:pStyle w:val="BodyText"/>
              <w:rPr>
                <w:rtl/>
              </w:rPr>
            </w:pPr>
            <w:r w:rsidRPr="00C55B86">
              <w:rPr>
                <w:rFonts w:hint="cs"/>
                <w:rtl/>
              </w:rPr>
              <w:t>"رفض كلي مؤقت..."</w:t>
            </w:r>
          </w:p>
        </w:tc>
        <w:tc>
          <w:tcPr>
            <w:tcW w:w="1869" w:type="dxa"/>
          </w:tcPr>
          <w:p w14:paraId="18C62457" w14:textId="77777777" w:rsidR="00C55B86" w:rsidRPr="00C55B86" w:rsidRDefault="00C55B86" w:rsidP="00DD657D">
            <w:pPr>
              <w:pStyle w:val="BodyText"/>
              <w:rPr>
                <w:rtl/>
              </w:rPr>
            </w:pPr>
            <w:r w:rsidRPr="00C55B86">
              <w:rPr>
                <w:rFonts w:hint="cs"/>
                <w:rtl/>
              </w:rPr>
              <w:t>نوفمبر 2025، من قبل لجنة المعايير في دورتها الثالثة عشرة</w:t>
            </w:r>
          </w:p>
        </w:tc>
        <w:tc>
          <w:tcPr>
            <w:tcW w:w="1869" w:type="dxa"/>
          </w:tcPr>
          <w:p w14:paraId="046CD5E1" w14:textId="77777777" w:rsidR="00C55B86" w:rsidRPr="00C55B86" w:rsidRDefault="00C55B86" w:rsidP="00DD657D">
            <w:pPr>
              <w:pStyle w:val="BodyText"/>
              <w:rPr>
                <w:rtl/>
              </w:rPr>
            </w:pPr>
            <w:r w:rsidRPr="00C55B86">
              <w:rPr>
                <w:rFonts w:hint="cs"/>
                <w:rtl/>
              </w:rPr>
              <w:t>الوصف المحدث</w:t>
            </w:r>
          </w:p>
        </w:tc>
      </w:tr>
    </w:tbl>
    <w:p w14:paraId="1EE6B05E" w14:textId="77777777" w:rsidR="00C55B86" w:rsidRPr="00C55B86" w:rsidRDefault="00C55B86" w:rsidP="00CB16B4">
      <w:pPr>
        <w:pStyle w:val="BodyText"/>
      </w:pPr>
    </w:p>
    <w:p w14:paraId="52A04B75" w14:textId="77777777" w:rsidR="00C55B86" w:rsidRPr="00EA270E" w:rsidRDefault="00C55B86" w:rsidP="008F70C4">
      <w:pPr>
        <w:pStyle w:val="ONUMA"/>
        <w:ind w:left="5527"/>
        <w:rPr>
          <w:i/>
          <w:iCs/>
          <w:rtl/>
        </w:rPr>
      </w:pPr>
      <w:r w:rsidRPr="00EA270E">
        <w:rPr>
          <w:rFonts w:hint="cs"/>
          <w:i/>
          <w:iCs/>
          <w:rtl/>
        </w:rPr>
        <w:t xml:space="preserve">إن لجنة المعايير مدعوة إلى: </w:t>
      </w:r>
    </w:p>
    <w:p w14:paraId="6A7BAB75" w14:textId="77777777" w:rsidR="00C55B86" w:rsidRPr="008F70C4" w:rsidRDefault="00C55B86" w:rsidP="008F70C4">
      <w:pPr>
        <w:pStyle w:val="BodyText"/>
        <w:numPr>
          <w:ilvl w:val="0"/>
          <w:numId w:val="35"/>
        </w:numPr>
        <w:ind w:left="5527" w:firstLine="709"/>
        <w:rPr>
          <w:rFonts w:ascii="Calibri" w:hAnsi="Calibri"/>
          <w:i/>
          <w:iCs/>
          <w:rtl/>
        </w:rPr>
      </w:pPr>
      <w:r w:rsidRPr="008F70C4">
        <w:rPr>
          <w:rFonts w:ascii="Calibri" w:hAnsi="Calibri"/>
          <w:i/>
          <w:iCs/>
          <w:rtl/>
        </w:rPr>
        <w:t xml:space="preserve">الإحاطة علماً بمضمون هذه الوثيقة؛ </w:t>
      </w:r>
    </w:p>
    <w:p w14:paraId="256D8D2F" w14:textId="77777777" w:rsidR="00C55B86" w:rsidRPr="008F70C4" w:rsidRDefault="00C55B86" w:rsidP="008F70C4">
      <w:pPr>
        <w:pStyle w:val="BodyText"/>
        <w:numPr>
          <w:ilvl w:val="0"/>
          <w:numId w:val="35"/>
        </w:numPr>
        <w:ind w:left="5527" w:firstLine="709"/>
        <w:rPr>
          <w:rFonts w:ascii="Calibri" w:hAnsi="Calibri"/>
          <w:i/>
          <w:iCs/>
          <w:rtl/>
        </w:rPr>
      </w:pPr>
      <w:r w:rsidRPr="008F70C4">
        <w:rPr>
          <w:rFonts w:ascii="Calibri" w:hAnsi="Calibri"/>
          <w:i/>
          <w:iCs/>
          <w:rtl/>
        </w:rPr>
        <w:t xml:space="preserve">والنظر في اقتراح تنقيح معيار الويبو </w:t>
      </w:r>
      <w:r w:rsidRPr="008F70C4">
        <w:rPr>
          <w:rFonts w:ascii="Calibri" w:hAnsi="Calibri"/>
          <w:i/>
          <w:iCs/>
        </w:rPr>
        <w:t>ST.60</w:t>
      </w:r>
      <w:r w:rsidRPr="008F70C4">
        <w:rPr>
          <w:rFonts w:ascii="Calibri" w:hAnsi="Calibri"/>
          <w:i/>
          <w:iCs/>
          <w:rtl/>
        </w:rPr>
        <w:t>، واعتماده، على النحو المشار إليه في الفقرتين 8 و9 أعلاه.</w:t>
      </w:r>
    </w:p>
    <w:p w14:paraId="7BE2D66C" w14:textId="77777777" w:rsidR="00FF5443" w:rsidRDefault="00FF5443" w:rsidP="00DD657D">
      <w:pPr>
        <w:pStyle w:val="Endofdocument-Annex"/>
        <w:rPr>
          <w:rtl/>
        </w:rPr>
      </w:pPr>
    </w:p>
    <w:p w14:paraId="2F0F075A" w14:textId="77777777" w:rsidR="00FF5443" w:rsidRDefault="00FF5443" w:rsidP="00DD657D">
      <w:pPr>
        <w:pStyle w:val="Endofdocument-Annex"/>
        <w:rPr>
          <w:rtl/>
        </w:rPr>
      </w:pPr>
    </w:p>
    <w:p w14:paraId="1EC78974" w14:textId="77777777" w:rsidR="00FF5443" w:rsidRDefault="00FF5443" w:rsidP="00DD657D">
      <w:pPr>
        <w:pStyle w:val="Endofdocument-Annex"/>
        <w:rPr>
          <w:rtl/>
        </w:rPr>
      </w:pPr>
    </w:p>
    <w:p w14:paraId="6C0D1BB6" w14:textId="6E99D684" w:rsidR="00C55B86" w:rsidRPr="00C55B86" w:rsidRDefault="00C55B86" w:rsidP="00DD657D">
      <w:pPr>
        <w:pStyle w:val="Endofdocument-Annex"/>
        <w:rPr>
          <w:iCs/>
          <w:rtl/>
        </w:rPr>
      </w:pPr>
      <w:r w:rsidRPr="00C55B86">
        <w:rPr>
          <w:rFonts w:hint="cs"/>
          <w:rtl/>
        </w:rPr>
        <w:t>[نهاية الوثيقة]</w:t>
      </w:r>
    </w:p>
    <w:sectPr w:rsidR="00C55B86" w:rsidRPr="00C55B86"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B84F" w14:textId="77777777" w:rsidR="0009325E" w:rsidRDefault="0009325E">
      <w:r>
        <w:separator/>
      </w:r>
    </w:p>
  </w:endnote>
  <w:endnote w:type="continuationSeparator" w:id="0">
    <w:p w14:paraId="61D1C6B2" w14:textId="77777777" w:rsidR="0009325E" w:rsidRDefault="0009325E" w:rsidP="003B38C1">
      <w:r>
        <w:separator/>
      </w:r>
    </w:p>
    <w:p w14:paraId="47C0873C" w14:textId="77777777" w:rsidR="0009325E" w:rsidRPr="003B38C1" w:rsidRDefault="0009325E" w:rsidP="003B38C1">
      <w:pPr>
        <w:spacing w:after="60"/>
        <w:rPr>
          <w:sz w:val="17"/>
        </w:rPr>
      </w:pPr>
      <w:r>
        <w:rPr>
          <w:sz w:val="17"/>
        </w:rPr>
        <w:t>[Endnote continued from previous page]</w:t>
      </w:r>
    </w:p>
  </w:endnote>
  <w:endnote w:type="continuationNotice" w:id="1">
    <w:p w14:paraId="63F5ABD3" w14:textId="77777777" w:rsidR="0009325E" w:rsidRPr="003B38C1" w:rsidRDefault="000932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D85D" w14:textId="77777777" w:rsidR="00797AF6" w:rsidRDefault="00797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2DB7" w14:textId="77777777" w:rsidR="00797AF6" w:rsidRDefault="00797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47AF" w14:textId="77777777" w:rsidR="00797AF6" w:rsidRDefault="0079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37A9" w14:textId="77777777" w:rsidR="0009325E" w:rsidRDefault="0009325E">
      <w:r>
        <w:separator/>
      </w:r>
    </w:p>
  </w:footnote>
  <w:footnote w:type="continuationSeparator" w:id="0">
    <w:p w14:paraId="44B3450D" w14:textId="77777777" w:rsidR="0009325E" w:rsidRDefault="0009325E" w:rsidP="008B60B2">
      <w:r>
        <w:separator/>
      </w:r>
    </w:p>
    <w:p w14:paraId="2C6CEAFA" w14:textId="77777777" w:rsidR="0009325E" w:rsidRPr="00ED77FB" w:rsidRDefault="0009325E" w:rsidP="008B60B2">
      <w:pPr>
        <w:spacing w:after="60"/>
        <w:rPr>
          <w:sz w:val="17"/>
          <w:szCs w:val="17"/>
        </w:rPr>
      </w:pPr>
      <w:r w:rsidRPr="00ED77FB">
        <w:rPr>
          <w:sz w:val="17"/>
          <w:szCs w:val="17"/>
        </w:rPr>
        <w:t>[Footnote continued from previous page]</w:t>
      </w:r>
    </w:p>
  </w:footnote>
  <w:footnote w:type="continuationNotice" w:id="1">
    <w:p w14:paraId="508DDD5D" w14:textId="77777777" w:rsidR="0009325E" w:rsidRPr="00ED77FB" w:rsidRDefault="0009325E" w:rsidP="008B60B2">
      <w:pPr>
        <w:spacing w:before="60"/>
        <w:jc w:val="right"/>
        <w:rPr>
          <w:sz w:val="17"/>
          <w:szCs w:val="17"/>
        </w:rPr>
      </w:pPr>
      <w:r w:rsidRPr="00ED77FB">
        <w:rPr>
          <w:sz w:val="17"/>
          <w:szCs w:val="17"/>
        </w:rPr>
        <w:t>[Footnote continued on next page]</w:t>
      </w:r>
    </w:p>
  </w:footnote>
  <w:footnote w:id="2">
    <w:p w14:paraId="4DED0895" w14:textId="77777777" w:rsidR="00C55B86" w:rsidRPr="000F64E8" w:rsidRDefault="00C55B86" w:rsidP="000F64E8">
      <w:pPr>
        <w:pStyle w:val="FootnoteText"/>
        <w:rPr>
          <w:rFonts w:ascii="Calibri" w:hAnsi="Calibri"/>
          <w:rtl/>
        </w:rPr>
      </w:pPr>
      <w:r w:rsidRPr="000F64E8">
        <w:rPr>
          <w:rStyle w:val="FootnoteReference"/>
          <w:rFonts w:ascii="Calibri" w:hAnsi="Calibri"/>
        </w:rPr>
        <w:footnoteRef/>
      </w:r>
      <w:r w:rsidRPr="000F64E8">
        <w:rPr>
          <w:rFonts w:ascii="Calibri" w:hAnsi="Calibri"/>
          <w:rtl/>
        </w:rPr>
        <w:t xml:space="preserve"> جريدة الويبو هي الجريدة الدورية المُشار إليها في المادة 3(4) من بروتوكول اتفاق مدريد بشأن التسجيل الدولي للعلامات.</w:t>
      </w:r>
    </w:p>
  </w:footnote>
  <w:footnote w:id="3">
    <w:p w14:paraId="196F1286" w14:textId="77777777" w:rsidR="00C55B86" w:rsidRPr="00FF5664" w:rsidRDefault="00C55B86" w:rsidP="000F64E8">
      <w:pPr>
        <w:pStyle w:val="FootnoteText"/>
        <w:rPr>
          <w:rtl/>
        </w:rPr>
      </w:pPr>
      <w:r w:rsidRPr="000F64E8">
        <w:rPr>
          <w:rStyle w:val="FootnoteReference"/>
          <w:rFonts w:ascii="Calibri" w:hAnsi="Calibri"/>
        </w:rPr>
        <w:footnoteRef/>
      </w:r>
      <w:r w:rsidRPr="000F64E8">
        <w:rPr>
          <w:rFonts w:ascii="Calibri" w:hAnsi="Calibri"/>
          <w:rtl/>
        </w:rPr>
        <w:t xml:space="preserve"> قاعدة بيانات مرصد مدريد هي قاعدة بيانات إلكترونية للمعلومات المُدوَّنة في السجل الدولي والمنشورة في جريدة الويبو، ويتولى المكتب الدولي صيانتها وفقاً للقاعدة 33(1) من اللائحة.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911F" w14:textId="77777777" w:rsidR="00797AF6" w:rsidRDefault="00797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05BC" w14:textId="161DDF3B" w:rsidR="00797AF6" w:rsidRPr="002326AB" w:rsidRDefault="00FE5D75" w:rsidP="00797AF6">
    <w:pPr>
      <w:bidi w:val="0"/>
      <w:rPr>
        <w:caps/>
      </w:rPr>
    </w:pPr>
    <w:r>
      <w:rPr>
        <w:caps/>
      </w:rPr>
      <w:t>CWS</w:t>
    </w:r>
    <w:r w:rsidR="00250149">
      <w:rPr>
        <w:caps/>
      </w:rPr>
      <w:t>/</w:t>
    </w:r>
    <w:r w:rsidR="00E15F75">
      <w:rPr>
        <w:caps/>
      </w:rPr>
      <w:t>1</w:t>
    </w:r>
    <w:r w:rsidR="003368CB">
      <w:rPr>
        <w:caps/>
      </w:rPr>
      <w:t>3</w:t>
    </w:r>
    <w:r w:rsidR="00250149">
      <w:rPr>
        <w:caps/>
      </w:rPr>
      <w:t>/</w:t>
    </w:r>
    <w:r w:rsidR="00797AF6">
      <w:rPr>
        <w:rFonts w:hint="cs"/>
        <w:caps/>
        <w:rtl/>
      </w:rPr>
      <w:t>18</w:t>
    </w:r>
  </w:p>
  <w:p w14:paraId="382C4517"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15634D50" w14:textId="77777777" w:rsidR="00D07C78" w:rsidRDefault="00D07C78" w:rsidP="00210D5F">
    <w:pPr>
      <w:bidi w:val="0"/>
    </w:pPr>
  </w:p>
  <w:p w14:paraId="1D99B441"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9C05" w14:textId="77777777" w:rsidR="00797AF6" w:rsidRDefault="00797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EA1E1E"/>
    <w:multiLevelType w:val="hybridMultilevel"/>
    <w:tmpl w:val="66EA897C"/>
    <w:lvl w:ilvl="0" w:tplc="F7A63F80">
      <w:start w:val="1"/>
      <w:numFmt w:val="arabicAlpha"/>
      <w:lvlText w:val="(%1)"/>
      <w:lvlJc w:val="left"/>
      <w:pPr>
        <w:ind w:left="926" w:hanging="360"/>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10E39"/>
    <w:multiLevelType w:val="multilevel"/>
    <w:tmpl w:val="FF481494"/>
    <w:lvl w:ilvl="0">
      <w:start w:val="1"/>
      <w:numFmt w:val="lowerLetter"/>
      <w:lvlText w:val="(%1)"/>
      <w:lvlJc w:val="left"/>
      <w:pPr>
        <w:tabs>
          <w:tab w:val="num" w:pos="945"/>
        </w:tabs>
        <w:ind w:left="378" w:firstLine="0"/>
      </w:pPr>
      <w:rPr>
        <w:rFonts w:hint="default"/>
        <w:i/>
        <w:iCs w:val="0"/>
      </w:rPr>
    </w:lvl>
    <w:lvl w:ilvl="1">
      <w:start w:val="1"/>
      <w:numFmt w:val="lowerLetter"/>
      <w:lvlText w:val="(%2)"/>
      <w:lvlJc w:val="left"/>
      <w:pPr>
        <w:tabs>
          <w:tab w:val="num" w:pos="1512"/>
        </w:tabs>
        <w:ind w:left="945" w:firstLine="0"/>
      </w:pPr>
      <w:rPr>
        <w:rFonts w:hint="default"/>
      </w:rPr>
    </w:lvl>
    <w:lvl w:ilvl="2">
      <w:start w:val="1"/>
      <w:numFmt w:val="lowerRoman"/>
      <w:lvlText w:val="(%3)"/>
      <w:lvlJc w:val="left"/>
      <w:pPr>
        <w:tabs>
          <w:tab w:val="num" w:pos="2079"/>
        </w:tabs>
        <w:ind w:left="1512" w:firstLine="0"/>
      </w:pPr>
      <w:rPr>
        <w:rFonts w:hint="default"/>
      </w:rPr>
    </w:lvl>
    <w:lvl w:ilvl="3">
      <w:start w:val="1"/>
      <w:numFmt w:val="bullet"/>
      <w:lvlText w:val=""/>
      <w:lvlJc w:val="left"/>
      <w:pPr>
        <w:tabs>
          <w:tab w:val="num" w:pos="2646"/>
        </w:tabs>
        <w:ind w:left="2079" w:firstLine="0"/>
      </w:pPr>
      <w:rPr>
        <w:rFonts w:hint="default"/>
      </w:rPr>
    </w:lvl>
    <w:lvl w:ilvl="4">
      <w:start w:val="1"/>
      <w:numFmt w:val="bullet"/>
      <w:lvlText w:val=""/>
      <w:lvlJc w:val="left"/>
      <w:pPr>
        <w:tabs>
          <w:tab w:val="num" w:pos="3213"/>
        </w:tabs>
        <w:ind w:left="2646" w:firstLine="0"/>
      </w:pPr>
      <w:rPr>
        <w:rFonts w:hint="default"/>
      </w:rPr>
    </w:lvl>
    <w:lvl w:ilvl="5">
      <w:start w:val="1"/>
      <w:numFmt w:val="bullet"/>
      <w:lvlText w:val=""/>
      <w:lvlJc w:val="left"/>
      <w:pPr>
        <w:tabs>
          <w:tab w:val="num" w:pos="3780"/>
        </w:tabs>
        <w:ind w:left="3213" w:firstLine="0"/>
      </w:pPr>
      <w:rPr>
        <w:rFonts w:hint="default"/>
      </w:rPr>
    </w:lvl>
    <w:lvl w:ilvl="6">
      <w:start w:val="1"/>
      <w:numFmt w:val="bullet"/>
      <w:lvlText w:val=""/>
      <w:lvlJc w:val="left"/>
      <w:pPr>
        <w:tabs>
          <w:tab w:val="num" w:pos="4347"/>
        </w:tabs>
        <w:ind w:left="3780" w:firstLine="0"/>
      </w:pPr>
      <w:rPr>
        <w:rFonts w:hint="default"/>
      </w:rPr>
    </w:lvl>
    <w:lvl w:ilvl="7">
      <w:start w:val="1"/>
      <w:numFmt w:val="bullet"/>
      <w:lvlText w:val=""/>
      <w:lvlJc w:val="left"/>
      <w:pPr>
        <w:tabs>
          <w:tab w:val="num" w:pos="4913"/>
        </w:tabs>
        <w:ind w:left="4347" w:firstLine="0"/>
      </w:pPr>
      <w:rPr>
        <w:rFonts w:hint="default"/>
      </w:rPr>
    </w:lvl>
    <w:lvl w:ilvl="8">
      <w:start w:val="1"/>
      <w:numFmt w:val="bullet"/>
      <w:lvlText w:val=""/>
      <w:lvlJc w:val="left"/>
      <w:pPr>
        <w:tabs>
          <w:tab w:val="num" w:pos="5480"/>
        </w:tabs>
        <w:ind w:left="4913" w:firstLine="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B57884"/>
    <w:multiLevelType w:val="hybridMultilevel"/>
    <w:tmpl w:val="0CAEC11E"/>
    <w:lvl w:ilvl="0" w:tplc="FFFFFFFF">
      <w:start w:val="1"/>
      <w:numFmt w:val="bullet"/>
      <w:lvlText w:val=""/>
      <w:lvlJc w:val="left"/>
      <w:pPr>
        <w:ind w:left="720" w:hanging="360"/>
      </w:pPr>
      <w:rPr>
        <w:rFonts w:ascii="Symbol" w:hAnsi="Symbol" w:hint="default"/>
      </w:rPr>
    </w:lvl>
    <w:lvl w:ilvl="1" w:tplc="DDA6CF1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94232"/>
    <w:multiLevelType w:val="hybridMultilevel"/>
    <w:tmpl w:val="5B94BA14"/>
    <w:lvl w:ilvl="0" w:tplc="496620A2">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EBA58C5"/>
    <w:multiLevelType w:val="hybridMultilevel"/>
    <w:tmpl w:val="58EA9892"/>
    <w:lvl w:ilvl="0" w:tplc="B3B8248E">
      <w:start w:val="1"/>
      <w:numFmt w:val="arabicAbjad"/>
      <w:lvlText w:val="(%1)"/>
      <w:lvlJc w:val="left"/>
      <w:pPr>
        <w:ind w:left="720" w:hanging="360"/>
      </w:pPr>
      <w:rPr>
        <w:rFonts w:ascii="Calibri" w:eastAsia="Arial" w:hAnsi="Calibri"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310EFC"/>
    <w:multiLevelType w:val="hybridMultilevel"/>
    <w:tmpl w:val="07A22B7A"/>
    <w:lvl w:ilvl="0" w:tplc="5B507286">
      <w:start w:val="862"/>
      <w:numFmt w:val="bullet"/>
      <w:lvlText w:val="-"/>
      <w:lvlJc w:val="left"/>
      <w:pPr>
        <w:ind w:left="926" w:hanging="360"/>
      </w:pPr>
      <w:rPr>
        <w:rFonts w:ascii="Calibri" w:eastAsia="SimSun" w:hAnsi="Calibri" w:cs="Calibri" w:hint="default"/>
      </w:rPr>
    </w:lvl>
    <w:lvl w:ilvl="1" w:tplc="20000003" w:tentative="1">
      <w:start w:val="1"/>
      <w:numFmt w:val="bullet"/>
      <w:lvlText w:val="o"/>
      <w:lvlJc w:val="left"/>
      <w:pPr>
        <w:ind w:left="1646" w:hanging="360"/>
      </w:pPr>
      <w:rPr>
        <w:rFonts w:ascii="Courier New" w:hAnsi="Courier New" w:cs="Courier New" w:hint="default"/>
      </w:rPr>
    </w:lvl>
    <w:lvl w:ilvl="2" w:tplc="20000005" w:tentative="1">
      <w:start w:val="1"/>
      <w:numFmt w:val="bullet"/>
      <w:lvlText w:val=""/>
      <w:lvlJc w:val="left"/>
      <w:pPr>
        <w:ind w:left="2366" w:hanging="360"/>
      </w:pPr>
      <w:rPr>
        <w:rFonts w:ascii="Wingdings" w:hAnsi="Wingdings" w:hint="default"/>
      </w:rPr>
    </w:lvl>
    <w:lvl w:ilvl="3" w:tplc="20000001" w:tentative="1">
      <w:start w:val="1"/>
      <w:numFmt w:val="bullet"/>
      <w:lvlText w:val=""/>
      <w:lvlJc w:val="left"/>
      <w:pPr>
        <w:ind w:left="3086" w:hanging="360"/>
      </w:pPr>
      <w:rPr>
        <w:rFonts w:ascii="Symbol" w:hAnsi="Symbol" w:hint="default"/>
      </w:rPr>
    </w:lvl>
    <w:lvl w:ilvl="4" w:tplc="20000003" w:tentative="1">
      <w:start w:val="1"/>
      <w:numFmt w:val="bullet"/>
      <w:lvlText w:val="o"/>
      <w:lvlJc w:val="left"/>
      <w:pPr>
        <w:ind w:left="3806" w:hanging="360"/>
      </w:pPr>
      <w:rPr>
        <w:rFonts w:ascii="Courier New" w:hAnsi="Courier New" w:cs="Courier New" w:hint="default"/>
      </w:rPr>
    </w:lvl>
    <w:lvl w:ilvl="5" w:tplc="20000005" w:tentative="1">
      <w:start w:val="1"/>
      <w:numFmt w:val="bullet"/>
      <w:lvlText w:val=""/>
      <w:lvlJc w:val="left"/>
      <w:pPr>
        <w:ind w:left="4526" w:hanging="360"/>
      </w:pPr>
      <w:rPr>
        <w:rFonts w:ascii="Wingdings" w:hAnsi="Wingdings" w:hint="default"/>
      </w:rPr>
    </w:lvl>
    <w:lvl w:ilvl="6" w:tplc="20000001" w:tentative="1">
      <w:start w:val="1"/>
      <w:numFmt w:val="bullet"/>
      <w:lvlText w:val=""/>
      <w:lvlJc w:val="left"/>
      <w:pPr>
        <w:ind w:left="5246" w:hanging="360"/>
      </w:pPr>
      <w:rPr>
        <w:rFonts w:ascii="Symbol" w:hAnsi="Symbol" w:hint="default"/>
      </w:rPr>
    </w:lvl>
    <w:lvl w:ilvl="7" w:tplc="20000003" w:tentative="1">
      <w:start w:val="1"/>
      <w:numFmt w:val="bullet"/>
      <w:lvlText w:val="o"/>
      <w:lvlJc w:val="left"/>
      <w:pPr>
        <w:ind w:left="5966" w:hanging="360"/>
      </w:pPr>
      <w:rPr>
        <w:rFonts w:ascii="Courier New" w:hAnsi="Courier New" w:cs="Courier New" w:hint="default"/>
      </w:rPr>
    </w:lvl>
    <w:lvl w:ilvl="8" w:tplc="20000005" w:tentative="1">
      <w:start w:val="1"/>
      <w:numFmt w:val="bullet"/>
      <w:lvlText w:val=""/>
      <w:lvlJc w:val="left"/>
      <w:pPr>
        <w:ind w:left="6686" w:hanging="360"/>
      </w:pPr>
      <w:rPr>
        <w:rFonts w:ascii="Wingdings" w:hAnsi="Wingdings" w:hint="default"/>
      </w:rPr>
    </w:lvl>
  </w:abstractNum>
  <w:num w:numId="1" w16cid:durableId="163126985">
    <w:abstractNumId w:val="6"/>
  </w:num>
  <w:num w:numId="2" w16cid:durableId="609046391">
    <w:abstractNumId w:val="18"/>
  </w:num>
  <w:num w:numId="3" w16cid:durableId="610935826">
    <w:abstractNumId w:val="0"/>
  </w:num>
  <w:num w:numId="4" w16cid:durableId="831139084">
    <w:abstractNumId w:val="21"/>
  </w:num>
  <w:num w:numId="5" w16cid:durableId="1808082453">
    <w:abstractNumId w:val="1"/>
  </w:num>
  <w:num w:numId="6" w16cid:durableId="2058821704">
    <w:abstractNumId w:val="10"/>
  </w:num>
  <w:num w:numId="7" w16cid:durableId="719669768">
    <w:abstractNumId w:val="26"/>
  </w:num>
  <w:num w:numId="8" w16cid:durableId="436217556">
    <w:abstractNumId w:val="14"/>
  </w:num>
  <w:num w:numId="9" w16cid:durableId="1591036600">
    <w:abstractNumId w:val="15"/>
  </w:num>
  <w:num w:numId="10" w16cid:durableId="1183013736">
    <w:abstractNumId w:val="19"/>
  </w:num>
  <w:num w:numId="11" w16cid:durableId="1208254078">
    <w:abstractNumId w:val="24"/>
  </w:num>
  <w:num w:numId="12" w16cid:durableId="1535313221">
    <w:abstractNumId w:val="20"/>
  </w:num>
  <w:num w:numId="13" w16cid:durableId="1775402230">
    <w:abstractNumId w:val="28"/>
  </w:num>
  <w:num w:numId="14" w16cid:durableId="605386166">
    <w:abstractNumId w:val="8"/>
  </w:num>
  <w:num w:numId="15" w16cid:durableId="913050154">
    <w:abstractNumId w:val="13"/>
  </w:num>
  <w:num w:numId="16" w16cid:durableId="1867328089">
    <w:abstractNumId w:val="3"/>
  </w:num>
  <w:num w:numId="17" w16cid:durableId="1880973570">
    <w:abstractNumId w:val="16"/>
  </w:num>
  <w:num w:numId="18" w16cid:durableId="1983188684">
    <w:abstractNumId w:val="22"/>
  </w:num>
  <w:num w:numId="19" w16cid:durableId="1285038826">
    <w:abstractNumId w:val="9"/>
  </w:num>
  <w:num w:numId="20" w16cid:durableId="398984857">
    <w:abstractNumId w:val="29"/>
  </w:num>
  <w:num w:numId="21" w16cid:durableId="855265340">
    <w:abstractNumId w:val="11"/>
  </w:num>
  <w:num w:numId="22" w16cid:durableId="1793552887">
    <w:abstractNumId w:val="30"/>
  </w:num>
  <w:num w:numId="23" w16cid:durableId="1644579125">
    <w:abstractNumId w:val="17"/>
  </w:num>
  <w:num w:numId="24" w16cid:durableId="1029574285">
    <w:abstractNumId w:val="23"/>
  </w:num>
  <w:num w:numId="25" w16cid:durableId="1259025004">
    <w:abstractNumId w:val="32"/>
  </w:num>
  <w:num w:numId="26" w16cid:durableId="1763722631">
    <w:abstractNumId w:val="4"/>
  </w:num>
  <w:num w:numId="27" w16cid:durableId="506360306">
    <w:abstractNumId w:val="12"/>
  </w:num>
  <w:num w:numId="28" w16cid:durableId="499587443">
    <w:abstractNumId w:val="31"/>
  </w:num>
  <w:num w:numId="29" w16cid:durableId="1784225043">
    <w:abstractNumId w:val="33"/>
  </w:num>
  <w:num w:numId="30" w16cid:durableId="1401829387">
    <w:abstractNumId w:val="5"/>
  </w:num>
  <w:num w:numId="31" w16cid:durableId="1117411013">
    <w:abstractNumId w:val="7"/>
  </w:num>
  <w:num w:numId="32" w16cid:durableId="270207331">
    <w:abstractNumId w:val="25"/>
  </w:num>
  <w:num w:numId="33" w16cid:durableId="1138232029">
    <w:abstractNumId w:val="2"/>
  </w:num>
  <w:num w:numId="34" w16cid:durableId="1045980417">
    <w:abstractNumId w:val="34"/>
  </w:num>
  <w:num w:numId="35" w16cid:durableId="16048016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3A2"/>
    <w:rsid w:val="00041A0A"/>
    <w:rsid w:val="00043CAA"/>
    <w:rsid w:val="00045274"/>
    <w:rsid w:val="00056816"/>
    <w:rsid w:val="000632C7"/>
    <w:rsid w:val="00075432"/>
    <w:rsid w:val="000910E5"/>
    <w:rsid w:val="0009325E"/>
    <w:rsid w:val="000968ED"/>
    <w:rsid w:val="000A0FDE"/>
    <w:rsid w:val="000A3D97"/>
    <w:rsid w:val="000B5B36"/>
    <w:rsid w:val="000D3DAB"/>
    <w:rsid w:val="000D42A9"/>
    <w:rsid w:val="000F5E56"/>
    <w:rsid w:val="000F64E8"/>
    <w:rsid w:val="001362EE"/>
    <w:rsid w:val="001406E1"/>
    <w:rsid w:val="00140F22"/>
    <w:rsid w:val="00155D8A"/>
    <w:rsid w:val="001647D5"/>
    <w:rsid w:val="00167832"/>
    <w:rsid w:val="00174693"/>
    <w:rsid w:val="00176FD1"/>
    <w:rsid w:val="001832A6"/>
    <w:rsid w:val="0019592A"/>
    <w:rsid w:val="001D4107"/>
    <w:rsid w:val="00203D24"/>
    <w:rsid w:val="00210D5F"/>
    <w:rsid w:val="0021217E"/>
    <w:rsid w:val="002326AB"/>
    <w:rsid w:val="00236C91"/>
    <w:rsid w:val="00243430"/>
    <w:rsid w:val="00250149"/>
    <w:rsid w:val="00262607"/>
    <w:rsid w:val="002634C4"/>
    <w:rsid w:val="00265354"/>
    <w:rsid w:val="00273181"/>
    <w:rsid w:val="002879FE"/>
    <w:rsid w:val="00291582"/>
    <w:rsid w:val="002928D3"/>
    <w:rsid w:val="00294303"/>
    <w:rsid w:val="002A7B3A"/>
    <w:rsid w:val="002F1FE6"/>
    <w:rsid w:val="002F4E68"/>
    <w:rsid w:val="002F62FD"/>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D017D"/>
    <w:rsid w:val="003F20F4"/>
    <w:rsid w:val="00423E3E"/>
    <w:rsid w:val="00427AF4"/>
    <w:rsid w:val="004434C3"/>
    <w:rsid w:val="0045246E"/>
    <w:rsid w:val="00452F85"/>
    <w:rsid w:val="00461B51"/>
    <w:rsid w:val="004647DA"/>
    <w:rsid w:val="00474062"/>
    <w:rsid w:val="00477D6B"/>
    <w:rsid w:val="0048522D"/>
    <w:rsid w:val="004A6C62"/>
    <w:rsid w:val="004D29A8"/>
    <w:rsid w:val="004F2DEB"/>
    <w:rsid w:val="005019FF"/>
    <w:rsid w:val="0050470A"/>
    <w:rsid w:val="005227E5"/>
    <w:rsid w:val="0053057A"/>
    <w:rsid w:val="00556076"/>
    <w:rsid w:val="00560A29"/>
    <w:rsid w:val="005740C5"/>
    <w:rsid w:val="0059409E"/>
    <w:rsid w:val="00595D98"/>
    <w:rsid w:val="005B2C79"/>
    <w:rsid w:val="005B453D"/>
    <w:rsid w:val="005B468F"/>
    <w:rsid w:val="005C5B64"/>
    <w:rsid w:val="005C6649"/>
    <w:rsid w:val="005E7B89"/>
    <w:rsid w:val="005F0828"/>
    <w:rsid w:val="00600D30"/>
    <w:rsid w:val="00605827"/>
    <w:rsid w:val="00613AB1"/>
    <w:rsid w:val="00616A14"/>
    <w:rsid w:val="00646050"/>
    <w:rsid w:val="006713CA"/>
    <w:rsid w:val="00676C5C"/>
    <w:rsid w:val="006A516B"/>
    <w:rsid w:val="006B5C12"/>
    <w:rsid w:val="006D27D2"/>
    <w:rsid w:val="006D7AAB"/>
    <w:rsid w:val="006D7C7A"/>
    <w:rsid w:val="006F641A"/>
    <w:rsid w:val="0070778E"/>
    <w:rsid w:val="00720EFD"/>
    <w:rsid w:val="0072659B"/>
    <w:rsid w:val="00750C1A"/>
    <w:rsid w:val="007840AC"/>
    <w:rsid w:val="007854AF"/>
    <w:rsid w:val="0079149A"/>
    <w:rsid w:val="00793A7C"/>
    <w:rsid w:val="007969D1"/>
    <w:rsid w:val="00797AF6"/>
    <w:rsid w:val="007A0E2A"/>
    <w:rsid w:val="007A398A"/>
    <w:rsid w:val="007C4902"/>
    <w:rsid w:val="007D1613"/>
    <w:rsid w:val="007D78E9"/>
    <w:rsid w:val="007E4889"/>
    <w:rsid w:val="007E4C0E"/>
    <w:rsid w:val="00820911"/>
    <w:rsid w:val="008243C0"/>
    <w:rsid w:val="0086407B"/>
    <w:rsid w:val="008A134B"/>
    <w:rsid w:val="008A5C4D"/>
    <w:rsid w:val="008B2CC1"/>
    <w:rsid w:val="008B60B2"/>
    <w:rsid w:val="008D1B10"/>
    <w:rsid w:val="008D2B1D"/>
    <w:rsid w:val="008F70C4"/>
    <w:rsid w:val="0090731E"/>
    <w:rsid w:val="00916EE2"/>
    <w:rsid w:val="0093527D"/>
    <w:rsid w:val="00935926"/>
    <w:rsid w:val="0094554E"/>
    <w:rsid w:val="00947238"/>
    <w:rsid w:val="009476FE"/>
    <w:rsid w:val="00966015"/>
    <w:rsid w:val="00966A22"/>
    <w:rsid w:val="0096722F"/>
    <w:rsid w:val="00980843"/>
    <w:rsid w:val="0099406E"/>
    <w:rsid w:val="009B0855"/>
    <w:rsid w:val="009B48A1"/>
    <w:rsid w:val="009B51CF"/>
    <w:rsid w:val="009E0D87"/>
    <w:rsid w:val="009E1721"/>
    <w:rsid w:val="009E23A2"/>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57991"/>
    <w:rsid w:val="00B75281"/>
    <w:rsid w:val="00B86A18"/>
    <w:rsid w:val="00B92F1F"/>
    <w:rsid w:val="00B953D5"/>
    <w:rsid w:val="00B9734B"/>
    <w:rsid w:val="00BA30E2"/>
    <w:rsid w:val="00BB167A"/>
    <w:rsid w:val="00BB781F"/>
    <w:rsid w:val="00BC6536"/>
    <w:rsid w:val="00C11BFE"/>
    <w:rsid w:val="00C3436A"/>
    <w:rsid w:val="00C40F61"/>
    <w:rsid w:val="00C5068F"/>
    <w:rsid w:val="00C55B86"/>
    <w:rsid w:val="00C56E47"/>
    <w:rsid w:val="00C60E4B"/>
    <w:rsid w:val="00C73194"/>
    <w:rsid w:val="00C86D74"/>
    <w:rsid w:val="00C91553"/>
    <w:rsid w:val="00C925E7"/>
    <w:rsid w:val="00CB16B4"/>
    <w:rsid w:val="00CB3DBA"/>
    <w:rsid w:val="00CC3E2D"/>
    <w:rsid w:val="00CD04F1"/>
    <w:rsid w:val="00CD6A59"/>
    <w:rsid w:val="00CE19F8"/>
    <w:rsid w:val="00CF681A"/>
    <w:rsid w:val="00D07C78"/>
    <w:rsid w:val="00D17660"/>
    <w:rsid w:val="00D32D75"/>
    <w:rsid w:val="00D45252"/>
    <w:rsid w:val="00D512F3"/>
    <w:rsid w:val="00D60B2C"/>
    <w:rsid w:val="00D617FF"/>
    <w:rsid w:val="00D67EAE"/>
    <w:rsid w:val="00D71B4D"/>
    <w:rsid w:val="00D90B96"/>
    <w:rsid w:val="00D93D55"/>
    <w:rsid w:val="00DC17E3"/>
    <w:rsid w:val="00DD4F9B"/>
    <w:rsid w:val="00DD657D"/>
    <w:rsid w:val="00DD7B7F"/>
    <w:rsid w:val="00E15015"/>
    <w:rsid w:val="00E15F75"/>
    <w:rsid w:val="00E17738"/>
    <w:rsid w:val="00E23ECB"/>
    <w:rsid w:val="00E319DF"/>
    <w:rsid w:val="00E335FE"/>
    <w:rsid w:val="00E66CC5"/>
    <w:rsid w:val="00E91C3A"/>
    <w:rsid w:val="00EA270E"/>
    <w:rsid w:val="00EA2B00"/>
    <w:rsid w:val="00EA7D6E"/>
    <w:rsid w:val="00EB2F76"/>
    <w:rsid w:val="00EC4E49"/>
    <w:rsid w:val="00ED6EB7"/>
    <w:rsid w:val="00ED77FB"/>
    <w:rsid w:val="00EE307E"/>
    <w:rsid w:val="00EE45FA"/>
    <w:rsid w:val="00F043DE"/>
    <w:rsid w:val="00F10E7C"/>
    <w:rsid w:val="00F1217E"/>
    <w:rsid w:val="00F248CE"/>
    <w:rsid w:val="00F61F73"/>
    <w:rsid w:val="00F66152"/>
    <w:rsid w:val="00F76CB4"/>
    <w:rsid w:val="00F90C07"/>
    <w:rsid w:val="00F9165B"/>
    <w:rsid w:val="00FA17DA"/>
    <w:rsid w:val="00FA6CAF"/>
    <w:rsid w:val="00FC482F"/>
    <w:rsid w:val="00FD0B86"/>
    <w:rsid w:val="00FE5D75"/>
    <w:rsid w:val="00FE6520"/>
    <w:rsid w:val="00FF544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68C21"/>
  <w15:docId w15:val="{3FD494B5-645C-452E-BD67-B5AE7D02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0F64E8"/>
    <w:pPr>
      <w:keepNext/>
      <w:spacing w:before="240" w:after="120"/>
      <w:outlineLvl w:val="1"/>
    </w:pPr>
    <w:rPr>
      <w:b/>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FootnoteReference">
    <w:name w:val="footnote reference"/>
    <w:basedOn w:val="DefaultParagraphFont"/>
    <w:rsid w:val="00C55B86"/>
    <w:rPr>
      <w:vertAlign w:val="superscript"/>
    </w:rPr>
  </w:style>
  <w:style w:type="table" w:styleId="TableGrid">
    <w:name w:val="Table Grid"/>
    <w:basedOn w:val="TableNormal"/>
    <w:rsid w:val="00C55B86"/>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ar/cws_7/cws_7_29.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CWS/13/18 (Arabic)</vt:lpstr>
    </vt:vector>
  </TitlesOfParts>
  <Company>WIPO</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CWS/13/18 (Arabic)</dc:title>
  <dc:subject>اقتراح بشأن مراجعة معيار الويبو ST.60</dc:subject>
  <dc:creator>WIPO</dc:creator>
  <cp:keywords>WIPO CWS Thirteenth Session, Revision Proposal, WIPO Standard ST.60 </cp:keywords>
  <cp:lastModifiedBy>Author</cp:lastModifiedBy>
  <cp:revision>29</cp:revision>
  <cp:lastPrinted>2022-11-08T17:13:00Z</cp:lastPrinted>
  <dcterms:created xsi:type="dcterms:W3CDTF">2025-09-11T12:29:00Z</dcterms:created>
  <dcterms:modified xsi:type="dcterms:W3CDTF">2025-09-12T14:02:00Z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