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38A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37613B4" wp14:editId="13DEE8E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D1A2BD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50259E6" w14:textId="22FAE926"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6375C0">
        <w:rPr>
          <w:rFonts w:ascii="Arial Black" w:hAnsi="Arial Black"/>
          <w:caps/>
          <w:sz w:val="15"/>
          <w:szCs w:val="15"/>
        </w:rPr>
        <w:t>15</w:t>
      </w:r>
    </w:p>
    <w:p w14:paraId="163F8521" w14:textId="1C518D87"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6375C0">
        <w:rPr>
          <w:rFonts w:asciiTheme="minorHAnsi" w:hAnsiTheme="minorHAnsi" w:cstheme="minorHAnsi" w:hint="cs"/>
          <w:b/>
          <w:bCs/>
          <w:caps/>
          <w:sz w:val="15"/>
          <w:szCs w:val="15"/>
          <w:rtl/>
        </w:rPr>
        <w:t>بالإنكليزية</w:t>
      </w:r>
    </w:p>
    <w:p w14:paraId="1DE2FBC9" w14:textId="1E78AD9D" w:rsidR="008B2CC1" w:rsidRPr="0070778E" w:rsidRDefault="00CC3E2D" w:rsidP="00B26A4F">
      <w:pPr>
        <w:spacing w:after="1200"/>
        <w:jc w:val="right"/>
        <w:rPr>
          <w:rFonts w:asciiTheme="minorHAnsi" w:hAnsiTheme="minorHAnsi" w:cstheme="minorHAnsi"/>
          <w:b/>
          <w:bCs/>
          <w:caps/>
          <w:sz w:val="15"/>
          <w:szCs w:val="15"/>
          <w:rtl/>
          <w:lang w:bidi="ar-EG"/>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6375C0">
        <w:rPr>
          <w:rFonts w:asciiTheme="minorHAnsi" w:hAnsiTheme="minorHAnsi" w:cstheme="minorHAnsi" w:hint="cs"/>
          <w:b/>
          <w:bCs/>
          <w:caps/>
          <w:sz w:val="15"/>
          <w:szCs w:val="15"/>
          <w:rtl/>
          <w:lang w:bidi="ar-EG"/>
        </w:rPr>
        <w:t>8 سبتمبر، 2025</w:t>
      </w:r>
    </w:p>
    <w:bookmarkEnd w:id="2"/>
    <w:p w14:paraId="27E21BB9"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84E498C"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5E684252"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69D28DDB" w14:textId="77777777" w:rsidR="004D024A" w:rsidRPr="006009F3" w:rsidRDefault="004D024A" w:rsidP="004D024A">
      <w:pPr>
        <w:pStyle w:val="Heading1"/>
        <w:spacing w:after="360"/>
        <w:rPr>
          <w:b w:val="0"/>
          <w:bCs w:val="0"/>
          <w:sz w:val="24"/>
          <w:szCs w:val="24"/>
          <w:rtl/>
        </w:rPr>
      </w:pPr>
      <w:r w:rsidRPr="006009F3">
        <w:rPr>
          <w:rFonts w:hint="cs"/>
          <w:b w:val="0"/>
          <w:bCs w:val="0"/>
          <w:sz w:val="24"/>
          <w:szCs w:val="24"/>
          <w:rtl/>
        </w:rPr>
        <w:t>اقتراح بشأن معيار جديد للويبو يدعم تنقية بيانات الأسماء</w:t>
      </w:r>
    </w:p>
    <w:p w14:paraId="4D98EFDC" w14:textId="77777777" w:rsidR="004D024A" w:rsidRDefault="004D024A" w:rsidP="004D024A">
      <w:pPr>
        <w:spacing w:after="960"/>
        <w:rPr>
          <w:rFonts w:eastAsia="Malgun Gothic"/>
          <w:i/>
          <w:rtl/>
        </w:rPr>
      </w:pPr>
      <w:r>
        <w:rPr>
          <w:rFonts w:hint="cs"/>
          <w:i/>
          <w:iCs/>
          <w:rtl/>
        </w:rPr>
        <w:t>وثيقة من إعداد المشرفَين المشاركَين على فرقة العمل المعنية بتوحيد الأسماء</w:t>
      </w:r>
    </w:p>
    <w:p w14:paraId="57623BDB" w14:textId="630497B9" w:rsidR="004D024A" w:rsidRPr="004D024A" w:rsidRDefault="006375C0" w:rsidP="004D024A">
      <w:pPr>
        <w:pStyle w:val="BodyText"/>
        <w:rPr>
          <w:rFonts w:eastAsia="Times New Roman"/>
          <w:b/>
          <w:i/>
          <w:sz w:val="24"/>
          <w:szCs w:val="24"/>
          <w:rtl/>
          <w:lang w:eastAsia="en-US"/>
        </w:rPr>
      </w:pPr>
      <w:r w:rsidRPr="006375C0">
        <w:rPr>
          <w:rFonts w:eastAsia="Times New Roman" w:hint="cs"/>
          <w:b/>
          <w:i/>
          <w:sz w:val="24"/>
          <w:szCs w:val="24"/>
          <w:rtl/>
          <w:lang w:eastAsia="en-US"/>
        </w:rPr>
        <w:t>ملخص</w:t>
      </w:r>
    </w:p>
    <w:p w14:paraId="6E9F2050"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1.</w:t>
      </w:r>
      <w:r w:rsidRPr="004D024A">
        <w:rPr>
          <w:rFonts w:eastAsia="Times New Roman" w:hint="cs"/>
          <w:rtl/>
          <w:lang w:eastAsia="en-US"/>
        </w:rPr>
        <w:tab/>
        <w:t>تقدّم فرقة العمل المعنية بتوحيد الأسماء بموجب هذه الوثيقة مسودة نهائية لمعيار جديد للويبو يُعنى بتنقية بيانات الأسماء، لكي تنظر فيها اللجنة المعنية بمعايير الويبو (لجنة المعايير) في دورتها الثالثة عشرة وتعتمدها.</w:t>
      </w:r>
    </w:p>
    <w:p w14:paraId="69A7A282" w14:textId="77777777" w:rsidR="004D024A" w:rsidRPr="004D024A" w:rsidRDefault="004D024A" w:rsidP="004D024A">
      <w:pPr>
        <w:pStyle w:val="BodyText"/>
        <w:rPr>
          <w:rFonts w:eastAsia="Times New Roman"/>
          <w:b/>
          <w:i/>
          <w:sz w:val="24"/>
          <w:szCs w:val="24"/>
          <w:rtl/>
          <w:lang w:eastAsia="en-US"/>
        </w:rPr>
      </w:pPr>
      <w:r w:rsidRPr="004D024A">
        <w:rPr>
          <w:rFonts w:eastAsia="Times New Roman" w:hint="cs"/>
          <w:b/>
          <w:i/>
          <w:sz w:val="24"/>
          <w:szCs w:val="24"/>
          <w:rtl/>
          <w:lang w:eastAsia="en-US"/>
        </w:rPr>
        <w:t>معلومات أساسية</w:t>
      </w:r>
    </w:p>
    <w:p w14:paraId="5F124265" w14:textId="77777777" w:rsidR="004D024A" w:rsidRPr="004D024A" w:rsidRDefault="004D024A" w:rsidP="004D024A">
      <w:pPr>
        <w:pStyle w:val="BodyText"/>
        <w:rPr>
          <w:rFonts w:eastAsia="Times New Roman"/>
          <w:rtl/>
          <w:lang w:eastAsia="en-US"/>
        </w:rPr>
      </w:pPr>
      <w:r w:rsidRPr="004D024A">
        <w:rPr>
          <w:rFonts w:eastAsia="Times New Roman"/>
          <w:lang w:eastAsia="en-US"/>
        </w:rPr>
        <w:t>2</w:t>
      </w:r>
      <w:r w:rsidRPr="004D024A">
        <w:rPr>
          <w:rFonts w:eastAsia="Times New Roman" w:hint="cs"/>
          <w:rtl/>
          <w:lang w:eastAsia="en-US"/>
        </w:rPr>
        <w:t>.</w:t>
      </w:r>
      <w:r w:rsidRPr="004D024A">
        <w:rPr>
          <w:rFonts w:eastAsia="Times New Roman"/>
          <w:rtl/>
          <w:lang w:eastAsia="en-US"/>
        </w:rPr>
        <w:tab/>
      </w:r>
      <w:r w:rsidRPr="004D024A">
        <w:rPr>
          <w:rFonts w:eastAsia="Times New Roman" w:hint="cs"/>
          <w:rtl/>
          <w:lang w:eastAsia="en-US"/>
        </w:rPr>
        <w:t>وافقت لجنة المعايير، في دورتها الحادية عشرة المعقودة في عام 2023، على الوصف المنقح للمهمة رقم 55، الذي أصبح نصه الآن كما يلي:</w:t>
      </w:r>
      <w:r w:rsidRPr="004D024A">
        <w:rPr>
          <w:rFonts w:eastAsia="Times New Roman"/>
          <w:lang w:eastAsia="en-US"/>
        </w:rPr>
        <w:t xml:space="preserve"> </w:t>
      </w:r>
    </w:p>
    <w:p w14:paraId="5A8A0F7B" w14:textId="77777777" w:rsidR="004D024A" w:rsidRPr="004D024A" w:rsidRDefault="004D024A" w:rsidP="007D6160">
      <w:pPr>
        <w:pStyle w:val="BodyText"/>
        <w:ind w:firstLine="625"/>
        <w:rPr>
          <w:rFonts w:eastAsia="Times New Roman"/>
          <w:i/>
          <w:rtl/>
          <w:lang w:eastAsia="en-US"/>
        </w:rPr>
      </w:pPr>
      <w:r w:rsidRPr="004D024A">
        <w:rPr>
          <w:rFonts w:eastAsia="Times New Roman" w:hint="cs"/>
          <w:i/>
          <w:iCs/>
          <w:rtl/>
          <w:lang w:eastAsia="en-US"/>
        </w:rPr>
        <w:t>"إعداد مقترح الإجراءات المستقبلية الرامية إلى تحقيق توحيد الأسماء في وثائق الملكية الفكرية، بنية وضع معيار للويبو يساعد مكاتب الملكية الفكرية على تحسين "الجودة في المنبع" فيما يتعلق بالأسماء."</w:t>
      </w:r>
    </w:p>
    <w:p w14:paraId="7D80C602" w14:textId="77777777" w:rsidR="004D024A" w:rsidRPr="004D024A" w:rsidRDefault="004D024A" w:rsidP="007D6160">
      <w:pPr>
        <w:pStyle w:val="BodyText"/>
        <w:ind w:left="625"/>
        <w:rPr>
          <w:rFonts w:eastAsia="Times New Roman"/>
          <w:i/>
          <w:rtl/>
          <w:lang w:eastAsia="en-US"/>
        </w:rPr>
      </w:pPr>
      <w:r w:rsidRPr="004D024A">
        <w:rPr>
          <w:rFonts w:eastAsia="Times New Roman" w:hint="cs"/>
          <w:rtl/>
          <w:lang w:eastAsia="en-US"/>
        </w:rPr>
        <w:t xml:space="preserve">(انظر(ي) الفقرات 75 إلى 78 من الوثيقة </w:t>
      </w:r>
      <w:r w:rsidRPr="004D024A">
        <w:rPr>
          <w:rFonts w:eastAsia="Times New Roman"/>
          <w:lang w:eastAsia="en-US"/>
        </w:rPr>
        <w:t>CWS/11/28</w:t>
      </w:r>
      <w:r w:rsidRPr="004D024A">
        <w:rPr>
          <w:rFonts w:eastAsia="Times New Roman" w:hint="cs"/>
          <w:rtl/>
          <w:lang w:eastAsia="en-US"/>
        </w:rPr>
        <w:t>).</w:t>
      </w:r>
    </w:p>
    <w:p w14:paraId="5039433F" w14:textId="77777777" w:rsidR="004D024A" w:rsidRPr="004D024A" w:rsidRDefault="004D024A" w:rsidP="004D024A">
      <w:pPr>
        <w:pStyle w:val="BodyText"/>
        <w:rPr>
          <w:rFonts w:eastAsia="Times New Roman"/>
          <w:rtl/>
          <w:lang w:eastAsia="en-US"/>
        </w:rPr>
      </w:pPr>
      <w:r w:rsidRPr="004D024A">
        <w:rPr>
          <w:rFonts w:eastAsia="Times New Roman"/>
          <w:lang w:eastAsia="en-US"/>
        </w:rPr>
        <w:t>3</w:t>
      </w:r>
      <w:r w:rsidRPr="004D024A">
        <w:rPr>
          <w:rFonts w:eastAsia="Times New Roman" w:hint="cs"/>
          <w:rtl/>
          <w:lang w:eastAsia="en-US"/>
        </w:rPr>
        <w:t>.</w:t>
      </w:r>
      <w:r w:rsidRPr="004D024A">
        <w:rPr>
          <w:rFonts w:eastAsia="Times New Roman"/>
          <w:rtl/>
          <w:lang w:eastAsia="en-US"/>
        </w:rPr>
        <w:tab/>
      </w:r>
      <w:r w:rsidRPr="004D024A">
        <w:rPr>
          <w:rFonts w:eastAsia="Times New Roman" w:hint="cs"/>
          <w:rtl/>
          <w:lang w:eastAsia="en-US"/>
        </w:rPr>
        <w:t xml:space="preserve">وناقشت لجنة المعايير في الدورة نفسها المعقودة في عام 2023 مجموعة جديدة من المبادئ التوجيهية التي اقترحتها فرقة العمل المعنية بتوحيد الأسماء لدعم تنقية أسماء المودعين.  ووافقت لجنة المعايير على استخدام مصطلح "التوصيات" عوضاً عن "المبادئ التوجيهية" في اسم معيار الويبو الجديد المقترح، لأنه أكثر وضوحاً. وأحاطت لجنة المعايير علماً كذلك بالاسم المقترح من الأمانة، "معيار الويبو </w:t>
      </w:r>
      <w:r w:rsidRPr="004D024A">
        <w:rPr>
          <w:rFonts w:eastAsia="Times New Roman"/>
          <w:lang w:eastAsia="en-US"/>
        </w:rPr>
        <w:t>ST.93</w:t>
      </w:r>
      <w:r w:rsidRPr="004D024A">
        <w:rPr>
          <w:rFonts w:eastAsia="Times New Roman" w:hint="cs"/>
          <w:rtl/>
          <w:lang w:eastAsia="en-US"/>
        </w:rPr>
        <w:t xml:space="preserve">" للتوصيات بشأن تنقية بيانات الأسماء (انظر(ي) الفقرة 135 من الوثيقة </w:t>
      </w:r>
      <w:r w:rsidRPr="004D024A">
        <w:rPr>
          <w:rFonts w:eastAsia="Times New Roman"/>
          <w:lang w:eastAsia="en-US"/>
        </w:rPr>
        <w:t>CWS/11/28</w:t>
      </w:r>
      <w:r w:rsidRPr="004D024A">
        <w:rPr>
          <w:rFonts w:eastAsia="Times New Roman" w:hint="cs"/>
          <w:rtl/>
          <w:lang w:eastAsia="en-US"/>
        </w:rPr>
        <w:t>).</w:t>
      </w:r>
    </w:p>
    <w:p w14:paraId="3FD59FEE"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4.</w:t>
      </w:r>
      <w:r w:rsidRPr="004D024A">
        <w:rPr>
          <w:rFonts w:eastAsia="Times New Roman"/>
          <w:rtl/>
          <w:lang w:eastAsia="en-US"/>
        </w:rPr>
        <w:tab/>
      </w:r>
      <w:r w:rsidRPr="004D024A">
        <w:rPr>
          <w:rFonts w:eastAsia="Times New Roman" w:hint="cs"/>
          <w:rtl/>
          <w:lang w:eastAsia="en-US"/>
        </w:rPr>
        <w:t>ولكن لجنة المعايير لم تعتمد المعيار المقترح وأحالته إلى فرقة العمل من أجل مواصلة المناقشة والتحسين. وأشارت لجنة المعايير أيضًا إلى أن الأمانة سوف تنظر في إمكانية نشر مجموعة من جداول النقل الحرفي على موقع الويبو الإلكتروني</w:t>
      </w:r>
      <w:r w:rsidRPr="004D024A">
        <w:rPr>
          <w:rFonts w:eastAsia="Times New Roman"/>
          <w:lang w:eastAsia="en-US"/>
        </w:rPr>
        <w:t xml:space="preserve"> </w:t>
      </w:r>
      <w:r w:rsidRPr="004D024A">
        <w:rPr>
          <w:rFonts w:eastAsia="Times New Roman" w:hint="cs"/>
          <w:rtl/>
          <w:lang w:eastAsia="en-US"/>
        </w:rPr>
        <w:t xml:space="preserve">(انظر(ي) الفقرتين 136 و137 من الوثيقة </w:t>
      </w:r>
      <w:r w:rsidRPr="004D024A">
        <w:rPr>
          <w:rFonts w:eastAsia="Times New Roman"/>
          <w:lang w:eastAsia="en-US"/>
        </w:rPr>
        <w:t>CWS/11/28</w:t>
      </w:r>
      <w:r w:rsidRPr="004D024A">
        <w:rPr>
          <w:rFonts w:eastAsia="Times New Roman" w:hint="cs"/>
          <w:rtl/>
          <w:lang w:eastAsia="en-US"/>
        </w:rPr>
        <w:t>).</w:t>
      </w:r>
    </w:p>
    <w:p w14:paraId="0165315A"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lastRenderedPageBreak/>
        <w:t>5.</w:t>
      </w:r>
      <w:r w:rsidRPr="004D024A">
        <w:rPr>
          <w:rFonts w:eastAsia="Times New Roman"/>
          <w:rtl/>
          <w:lang w:eastAsia="en-US"/>
        </w:rPr>
        <w:tab/>
      </w:r>
      <w:r w:rsidRPr="004D024A">
        <w:rPr>
          <w:rFonts w:eastAsia="Times New Roman" w:hint="cs"/>
          <w:rtl/>
          <w:lang w:eastAsia="en-US"/>
        </w:rPr>
        <w:t>واستعرضت لجنة المعايير في دورتها الثانية عشرة مسودة محسّنة بشأن معيار الويبو المقترح بشأن تنقية بيانات الأسماء، بالصيغة المقدمة من فرقة العمل المعنية بتوحيد الأسماء. وأعربت عدة وفود عن تأييدها المعيار المقترح. ولكن لجنة المعايير لم تعتمد المعيار المقترح لأن أحد الوفود التمس المزيد من الوقت لإجراء تقييم معمّق يتناول الأثر المحتمل الذي يمكن أن يحدثه المعيار المقترح تنفيذه ولعقد مشاورات داخلياً ومع عملائه. وطلبت اللجنة من فرقة العمل المعنية بتوحيد الأسماء إعادة النظر في مسودة المعيار ومواصلة تحسينه حسب الحاجة.</w:t>
      </w:r>
      <w:r w:rsidRPr="004D024A">
        <w:rPr>
          <w:rFonts w:eastAsia="Times New Roman"/>
          <w:lang w:eastAsia="en-US"/>
        </w:rPr>
        <w:t xml:space="preserve"> </w:t>
      </w:r>
      <w:r w:rsidRPr="004D024A">
        <w:rPr>
          <w:rFonts w:eastAsia="Times New Roman" w:hint="cs"/>
          <w:rtl/>
          <w:lang w:eastAsia="en-US"/>
        </w:rPr>
        <w:t xml:space="preserve">(انظر(ي) الفقرات من 85 إلى 91 من الوثيقة </w:t>
      </w:r>
      <w:r w:rsidRPr="004D024A">
        <w:rPr>
          <w:rFonts w:eastAsia="Times New Roman"/>
          <w:lang w:eastAsia="en-US"/>
        </w:rPr>
        <w:t>CWS/12/29</w:t>
      </w:r>
      <w:r w:rsidRPr="004D024A">
        <w:rPr>
          <w:rFonts w:eastAsia="Times New Roman" w:hint="cs"/>
          <w:rtl/>
          <w:lang w:eastAsia="en-US"/>
        </w:rPr>
        <w:t>).</w:t>
      </w:r>
    </w:p>
    <w:p w14:paraId="2222EC8A"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6.</w:t>
      </w:r>
      <w:r w:rsidRPr="004D024A">
        <w:rPr>
          <w:rFonts w:eastAsia="Times New Roman"/>
          <w:rtl/>
          <w:lang w:eastAsia="en-US"/>
        </w:rPr>
        <w:tab/>
      </w:r>
      <w:r w:rsidRPr="004D024A">
        <w:rPr>
          <w:rFonts w:eastAsia="Times New Roman" w:hint="cs"/>
          <w:rtl/>
          <w:lang w:eastAsia="en-US"/>
        </w:rPr>
        <w:t>وفي الدورة نفسها المعقودة في عام 2024، التمست لجنة المعايير أيضاً من المكتب الدولي تنظيم حلقة عمل بشأن تنقية بيانات الأسماء يمكن لجميع الأطراف المهتمة حضورها. وشجعت لجنة المعايير الدول الأعضاء والمراقبين أيضًا على دعم المكتب الدولي من خلال المشاركة بحلقة العمل والترويج لها بنشاط.</w:t>
      </w:r>
      <w:r w:rsidRPr="004D024A">
        <w:rPr>
          <w:rFonts w:eastAsia="Times New Roman"/>
          <w:lang w:eastAsia="en-US"/>
        </w:rPr>
        <w:t xml:space="preserve"> </w:t>
      </w:r>
      <w:r w:rsidRPr="004D024A">
        <w:rPr>
          <w:rFonts w:eastAsia="Times New Roman" w:hint="cs"/>
          <w:rtl/>
          <w:lang w:eastAsia="en-US"/>
        </w:rPr>
        <w:t xml:space="preserve">(انظر(ي) الفقرة 92 من الوثيقة </w:t>
      </w:r>
      <w:r w:rsidRPr="004D024A">
        <w:rPr>
          <w:rFonts w:eastAsia="Times New Roman"/>
          <w:lang w:eastAsia="en-US"/>
        </w:rPr>
        <w:t>CWS/12/29</w:t>
      </w:r>
      <w:r w:rsidRPr="004D024A">
        <w:rPr>
          <w:rFonts w:eastAsia="Times New Roman" w:hint="cs"/>
          <w:rtl/>
          <w:lang w:eastAsia="en-US"/>
        </w:rPr>
        <w:t>).</w:t>
      </w:r>
    </w:p>
    <w:p w14:paraId="30D92F5E"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7.</w:t>
      </w:r>
      <w:r w:rsidRPr="004D024A">
        <w:rPr>
          <w:rFonts w:eastAsia="Times New Roman"/>
          <w:rtl/>
          <w:lang w:eastAsia="en-US"/>
        </w:rPr>
        <w:tab/>
      </w:r>
      <w:r w:rsidRPr="004D024A">
        <w:rPr>
          <w:rFonts w:eastAsia="Times New Roman" w:hint="cs"/>
          <w:rtl/>
          <w:lang w:eastAsia="en-US"/>
        </w:rPr>
        <w:t xml:space="preserve">وأشارت لجنة المعايير في دورتها الثانية عشرة إلى كون معايير الويبو توصيات قائمة على أفضل الممارسات. فيجوز لمكاتب الملكية الفكرية والأطراف الفاعلة في مجال الملكية الفكرية تنفيذ معايير الويبو بالوتيرة والطرق التي تناسبها وبما يتماشى مع احتياجاتها بصورة عامة. ويجوز في حالات استثنائية أن توافق مكاتب الملكية الفكرية على تنفيذ أحد المعايير كما هو </w:t>
      </w:r>
      <w:r w:rsidRPr="004D024A">
        <w:rPr>
          <w:rFonts w:eastAsia="Times New Roman"/>
          <w:rtl/>
          <w:lang w:eastAsia="en-US"/>
        </w:rPr>
        <w:t>وفي آن واحد</w:t>
      </w:r>
      <w:r w:rsidRPr="004D024A">
        <w:rPr>
          <w:rFonts w:eastAsia="Times New Roman" w:hint="cs"/>
          <w:rtl/>
          <w:lang w:eastAsia="en-US"/>
        </w:rPr>
        <w:t xml:space="preserve">، كما هو الحال بالنسبة لمعيار الويبو </w:t>
      </w:r>
      <w:r w:rsidRPr="004D024A">
        <w:rPr>
          <w:rFonts w:eastAsia="Times New Roman"/>
          <w:lang w:eastAsia="en-US"/>
        </w:rPr>
        <w:t>ST.26</w:t>
      </w:r>
      <w:r w:rsidRPr="004D024A">
        <w:rPr>
          <w:rFonts w:eastAsia="Times New Roman" w:hint="cs"/>
          <w:rtl/>
          <w:lang w:eastAsia="en-US"/>
        </w:rPr>
        <w:t xml:space="preserve">، أو أن تنفذه بطريقة منسقة كما هو الحال بالنسبة لمعيار الويبو </w:t>
      </w:r>
      <w:r w:rsidRPr="004D024A">
        <w:rPr>
          <w:rFonts w:eastAsia="Times New Roman"/>
          <w:lang w:eastAsia="en-US"/>
        </w:rPr>
        <w:t>ST.92</w:t>
      </w:r>
      <w:r w:rsidRPr="004D024A">
        <w:rPr>
          <w:rFonts w:eastAsia="Times New Roman" w:hint="cs"/>
          <w:rtl/>
          <w:lang w:eastAsia="en-US"/>
        </w:rPr>
        <w:t xml:space="preserve">. وتكون كل معايير الويبو قابلة للتحسين في وقت لاحق مع مراعاة الخبرات والطلبات الجديدة الواردة من مكاتب الملكية الفكرية فيما يتعلق بالتنفيذ، وحرصًا على بقاء المعايير عملية وفعّالة واستمرارها في الاستجابة للاحتياجات المتغيرة. ونوهت لجنة المعايير أيضاً إلى كون معيار الويبو </w:t>
      </w:r>
      <w:r w:rsidRPr="004D024A">
        <w:rPr>
          <w:rFonts w:eastAsia="Times New Roman"/>
          <w:lang w:eastAsia="en-US"/>
        </w:rPr>
        <w:t>ST.93</w:t>
      </w:r>
      <w:r w:rsidRPr="004D024A">
        <w:rPr>
          <w:rFonts w:eastAsia="Times New Roman" w:hint="cs"/>
          <w:rtl/>
          <w:lang w:eastAsia="en-US"/>
        </w:rPr>
        <w:t xml:space="preserve"> يكتسي طابعاً عاماً بالنسبة لسائر معايير الويبو، وأنه يجوز لمكاتب الملكية الفكرية أن تنفذه على الفور، أو تدريجياً، أو ألا تنفذه على الإطلاق إذا اعتُبرت النظم القائمة في وقت اعتماد المعيار كافية. ويكون المعيار قابلاً للتحسين في وقت لاحق مع مراعاة التعليقات الواردة من مكاتب الملكية الفكرية فيما يتعلق بتجارب التنفيذ كما هو معتاد.</w:t>
      </w:r>
    </w:p>
    <w:p w14:paraId="16FB0833"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8.</w:t>
      </w:r>
      <w:r w:rsidRPr="004D024A">
        <w:rPr>
          <w:rFonts w:eastAsia="Times New Roman"/>
          <w:rtl/>
          <w:lang w:eastAsia="en-US"/>
        </w:rPr>
        <w:tab/>
      </w:r>
      <w:r w:rsidRPr="004D024A">
        <w:rPr>
          <w:rFonts w:eastAsia="Times New Roman" w:hint="cs"/>
          <w:rtl/>
          <w:lang w:eastAsia="en-US"/>
        </w:rPr>
        <w:t xml:space="preserve">وعملاً بالقرار الذي اتخذته لجنة المعايير في دورتها الثانية عشرة، نظم المكتب الدولي حلقة عمل بشأن توحيد الأسماء، وعُقدت في 12 مايو/أيار 2025. وقامت فرقة العمل المعنية بتوحيد الأسماء في اجتماعها اللاحق، الذي عُقد في 13 مايو 2025، بتحليل نتائج حلقة العمل وأجرت مناقشة نهائية بغية إعداد المسودة النهائية التي تتناول "التوصيات بشأن تنقية بيانات الأسماء". ويمكن الاطلاع على المزيد من التفاصيل حول سيرة فرقة العمل والتقدم الذي أحرزته منذ الدورة الأخيرة للجنة المعايير في الوثيقة </w:t>
      </w:r>
      <w:r w:rsidRPr="004D024A">
        <w:rPr>
          <w:rFonts w:eastAsia="Times New Roman"/>
          <w:lang w:eastAsia="en-US"/>
        </w:rPr>
        <w:t>CWS/13/7</w:t>
      </w:r>
      <w:r w:rsidRPr="004D024A">
        <w:rPr>
          <w:rFonts w:eastAsia="Times New Roman" w:hint="cs"/>
          <w:rtl/>
          <w:lang w:eastAsia="en-US"/>
        </w:rPr>
        <w:t>.</w:t>
      </w:r>
    </w:p>
    <w:p w14:paraId="37763C98"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9.</w:t>
      </w:r>
      <w:r w:rsidRPr="004D024A">
        <w:rPr>
          <w:rFonts w:eastAsia="Times New Roman"/>
          <w:rtl/>
          <w:lang w:eastAsia="en-US"/>
        </w:rPr>
        <w:tab/>
      </w:r>
      <w:r w:rsidRPr="004D024A">
        <w:rPr>
          <w:rFonts w:eastAsia="Times New Roman" w:hint="cs"/>
          <w:rtl/>
          <w:lang w:eastAsia="en-US"/>
        </w:rPr>
        <w:t>وفيما يتعلق بنظام النقل الحرفي الذي تستخدمه مكاتب الملكية الفكرية، أبلغت فرقة العمل لجنة المعايير في دورتها الثانية عشرة أن المكاتب الأعضاء في فرقة العمل مدعوة إلى تزويد الأمانة بنظم النقل الحرفي التي تعمل بها، إذا كانت متاحة. وهذا يسمح للعملاء ومكاتب الملكية الفكرية الأخرى بالاطلاع على النظم التي تستخدمها المكاتب العاملة بلغات وحروف مختلفة. ومن شأن هذا أيضًا أن يسهّل التواصل بصورة متسقة وفعّالة بين مكاتب الملكية الفكرية وعملائها بدلاً من تعديل قواعد البيانات القائمة. وبغية التشجيع على بلوغ ذلك الهدف، تُحثّ مكاتب الملكية الفكرية على مشاركة أنظمتها، إذا كانت متاحة.</w:t>
      </w:r>
    </w:p>
    <w:p w14:paraId="4DFF6DEB" w14:textId="77777777" w:rsidR="004D024A" w:rsidRPr="004D024A" w:rsidRDefault="004D024A" w:rsidP="004D024A">
      <w:pPr>
        <w:pStyle w:val="BodyText"/>
        <w:rPr>
          <w:rFonts w:eastAsia="Times New Roman"/>
          <w:b/>
          <w:i/>
          <w:sz w:val="24"/>
          <w:szCs w:val="24"/>
          <w:rtl/>
          <w:lang w:eastAsia="en-US"/>
        </w:rPr>
      </w:pPr>
      <w:r w:rsidRPr="004D024A">
        <w:rPr>
          <w:rFonts w:eastAsia="Times New Roman" w:hint="cs"/>
          <w:b/>
          <w:i/>
          <w:sz w:val="24"/>
          <w:szCs w:val="24"/>
          <w:rtl/>
          <w:lang w:eastAsia="en-US"/>
        </w:rPr>
        <w:t>اقتراح لمعيار جديد</w:t>
      </w:r>
    </w:p>
    <w:p w14:paraId="5B28B8AC" w14:textId="77777777" w:rsidR="004D024A" w:rsidRPr="004D024A" w:rsidRDefault="004D024A" w:rsidP="004D024A">
      <w:pPr>
        <w:pStyle w:val="BodyText"/>
        <w:rPr>
          <w:rFonts w:eastAsia="Times New Roman"/>
          <w:b/>
          <w:u w:val="single"/>
          <w:rtl/>
          <w:lang w:eastAsia="en-US"/>
        </w:rPr>
      </w:pPr>
      <w:r w:rsidRPr="004D024A">
        <w:rPr>
          <w:rFonts w:eastAsia="Times New Roman" w:hint="cs"/>
          <w:b/>
          <w:u w:val="single"/>
          <w:rtl/>
          <w:lang w:eastAsia="en-US"/>
        </w:rPr>
        <w:t>الأهداف</w:t>
      </w:r>
    </w:p>
    <w:p w14:paraId="44417254"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10.</w:t>
      </w:r>
      <w:r w:rsidRPr="004D024A">
        <w:rPr>
          <w:rFonts w:eastAsia="Times New Roman"/>
          <w:rtl/>
          <w:lang w:eastAsia="en-US"/>
        </w:rPr>
        <w:tab/>
        <w:t>تواجه مكاتب الملكية الفكرية صعوبات في تحديد أفراد الأسر داخل أسر البراءات إذ قد تُستخدم أسماء مختلفة للمودعين داخل أسرة البراءات نفسها.</w:t>
      </w:r>
      <w:r w:rsidRPr="004D024A">
        <w:rPr>
          <w:rFonts w:eastAsia="Times New Roman" w:hint="cs"/>
          <w:rtl/>
          <w:lang w:eastAsia="en-US"/>
        </w:rPr>
        <w:t xml:space="preserve"> وإضافة إلى ذلك، قد تتضمن أسماء المودعين أخطاء إملائية أو مطبعية. </w:t>
      </w:r>
      <w:r w:rsidRPr="004D024A">
        <w:rPr>
          <w:rFonts w:eastAsia="Times New Roman"/>
          <w:rtl/>
          <w:lang w:eastAsia="en-US"/>
        </w:rPr>
        <w:t>وعلاوة على ذلك، من المعترف به على نطاق واسع أن الحصول على بيانات واضحة لأسماء المودعين أمر مستحسن للأغراض الإحصائية</w:t>
      </w:r>
      <w:r w:rsidRPr="004D024A">
        <w:rPr>
          <w:rFonts w:eastAsia="Times New Roman" w:hint="cs"/>
          <w:rtl/>
          <w:lang w:eastAsia="en-US"/>
        </w:rPr>
        <w:t>.</w:t>
      </w:r>
    </w:p>
    <w:p w14:paraId="1DCBE42C" w14:textId="77777777" w:rsidR="004D024A" w:rsidRPr="004D024A" w:rsidRDefault="004D024A" w:rsidP="004D024A">
      <w:pPr>
        <w:pStyle w:val="BodyText"/>
        <w:rPr>
          <w:rFonts w:eastAsia="Times New Roman"/>
          <w:b/>
          <w:u w:val="single"/>
          <w:rtl/>
          <w:lang w:eastAsia="en-US"/>
        </w:rPr>
      </w:pPr>
      <w:r w:rsidRPr="004D024A">
        <w:rPr>
          <w:rFonts w:eastAsia="Times New Roman" w:hint="cs"/>
          <w:b/>
          <w:u w:val="single"/>
          <w:rtl/>
          <w:lang w:eastAsia="en-US"/>
        </w:rPr>
        <w:t>المنفعة</w:t>
      </w:r>
      <w:r w:rsidRPr="004D024A">
        <w:rPr>
          <w:rFonts w:eastAsia="Times New Roman"/>
          <w:b/>
          <w:u w:val="single"/>
          <w:lang w:eastAsia="en-US"/>
        </w:rPr>
        <w:t xml:space="preserve"> </w:t>
      </w:r>
    </w:p>
    <w:p w14:paraId="31FD35CA"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11.</w:t>
      </w:r>
      <w:r w:rsidRPr="004D024A">
        <w:rPr>
          <w:rFonts w:eastAsia="Times New Roman"/>
          <w:rtl/>
          <w:lang w:eastAsia="en-US"/>
        </w:rPr>
        <w:tab/>
      </w:r>
      <w:r w:rsidRPr="004D024A">
        <w:rPr>
          <w:rFonts w:eastAsia="Times New Roman" w:hint="cs"/>
          <w:rtl/>
          <w:lang w:eastAsia="en-US"/>
        </w:rPr>
        <w:t>بإنشاء معيار لتنقية بيانات أسماء المودعين في سياق الملكية الفكرية يمكن تحقيق فوائد جمة من شأنها أن تعزز الكفاءة التشغيلية وسلامة البيانات. وهذا يتيح تتبع أصول الملكية الفكرية وإدارتها بشكل فعال، حتى في مختلف الولايات القضائية ومع مرور الزمن. وبفضل بيانات الأسماء النظيفة يصبح من الأسهل إقامة روابط موثوق بها بين مجموعات البيانات المتباينة، ودعم الأنشطة على غرار إدارة المحفظات، والامتثال القانوني، وتتبع الملكية، والعناية الواجبة. وتساعد البيانات النظيفة والموحدة على تحسين القابلية للبحث، وتقليل التكرار، وتسمح بإجراء تحليلات أكثر دقة وتعزز إمكانية جمع المعلومات المتعلقة بالمنافسين. بالإضافة إلى ذلك، فهي تتيح الأتمتة وتدعم تطوير نماذج الذكاء الاصطناعي والتعلم الآلي الرامية إلى تحليل الملكية الفكرية. والأهم من ذلك أن هذا المعيار يساهم في جهود المواءمة العالمية من خلال حل القضايا المتعلقة باختلاف صيغ الأسماء والاختصارات والاختلافات بين اللغات المتعددة. وفي نهاية المطاف، فإن المعيار الرامي إلى تنقية بيانات أسماء المودعين يشكل خطوة أساسية في المساعى إلى تحسين عمليات اتخاذ القرار، والتخفيف من وطأة المخاطر، وإدارة الملكية الفكرية بشكل استراتيجي.</w:t>
      </w:r>
    </w:p>
    <w:p w14:paraId="5A055D00" w14:textId="77777777" w:rsidR="004D024A" w:rsidRPr="004D024A" w:rsidRDefault="004D024A" w:rsidP="007D6160">
      <w:pPr>
        <w:pStyle w:val="BodyText"/>
        <w:keepNext/>
        <w:keepLines/>
        <w:rPr>
          <w:rFonts w:eastAsia="Times New Roman"/>
          <w:b/>
          <w:u w:val="single"/>
          <w:rtl/>
          <w:lang w:eastAsia="en-US"/>
        </w:rPr>
      </w:pPr>
      <w:r w:rsidRPr="004D024A">
        <w:rPr>
          <w:rFonts w:eastAsia="Times New Roman" w:hint="cs"/>
          <w:b/>
          <w:u w:val="single"/>
          <w:rtl/>
          <w:lang w:eastAsia="en-US"/>
        </w:rPr>
        <w:t>النطاق</w:t>
      </w:r>
    </w:p>
    <w:p w14:paraId="1ACDA1F1" w14:textId="77777777" w:rsidR="004D024A" w:rsidRPr="004D024A" w:rsidRDefault="004D024A" w:rsidP="007D6160">
      <w:pPr>
        <w:pStyle w:val="BodyText"/>
        <w:keepNext/>
        <w:keepLines/>
        <w:rPr>
          <w:rFonts w:eastAsia="Times New Roman"/>
          <w:rtl/>
          <w:lang w:eastAsia="en-US"/>
        </w:rPr>
      </w:pPr>
      <w:r w:rsidRPr="004D024A">
        <w:rPr>
          <w:rFonts w:eastAsia="Times New Roman" w:hint="cs"/>
          <w:rtl/>
          <w:lang w:eastAsia="en-US"/>
        </w:rPr>
        <w:t>12.</w:t>
      </w:r>
      <w:r w:rsidRPr="004D024A">
        <w:rPr>
          <w:rFonts w:eastAsia="Times New Roman"/>
          <w:rtl/>
          <w:lang w:eastAsia="en-US"/>
        </w:rPr>
        <w:tab/>
      </w:r>
      <w:r w:rsidRPr="004D024A">
        <w:rPr>
          <w:rFonts w:eastAsia="Times New Roman" w:hint="cs"/>
          <w:rtl/>
          <w:lang w:eastAsia="en-US"/>
        </w:rPr>
        <w:t>يقدّم المعيار المقترح توصيات عامة بشأن تلقي بيانات الأسماء النظيفة ومعالجتها وتنقيتها ونشرها. ولا يقدم هذا المعيار توصيات بشأن نُهج محددة تُتّبع في تنقية البيانات أو تحديد الأسماء أو تحويلها مثل النقل الحرفي أو النسخ أو الترجمة. وبالإضافة إلى ذلك، لا يتيح المعيار أي توجيهات بشأن النُهج المتبعة في توحيد الأسماء مثل اختيار الخوارزميات، أو المكان والزمان لتطبيق عمليات التحويل، أو الوتيرة، أو استراتيجيات الدمج.</w:t>
      </w:r>
    </w:p>
    <w:p w14:paraId="5DCA6554" w14:textId="77777777" w:rsidR="004D024A" w:rsidRPr="004D024A" w:rsidRDefault="004D024A" w:rsidP="004D024A">
      <w:pPr>
        <w:pStyle w:val="BodyText"/>
        <w:rPr>
          <w:rFonts w:eastAsia="Times New Roman"/>
          <w:b/>
          <w:u w:val="single"/>
          <w:rtl/>
          <w:lang w:eastAsia="en-US"/>
        </w:rPr>
      </w:pPr>
      <w:r w:rsidRPr="004D024A">
        <w:rPr>
          <w:rFonts w:eastAsia="Times New Roman" w:hint="cs"/>
          <w:b/>
          <w:u w:val="single"/>
          <w:rtl/>
          <w:lang w:eastAsia="en-US"/>
        </w:rPr>
        <w:t>التغييرات التي أجريت على المسودة الأخيرة</w:t>
      </w:r>
    </w:p>
    <w:p w14:paraId="389E2BFF"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13.</w:t>
      </w:r>
      <w:r w:rsidRPr="004D024A">
        <w:rPr>
          <w:rFonts w:eastAsia="Times New Roman"/>
          <w:rtl/>
          <w:lang w:eastAsia="en-US"/>
        </w:rPr>
        <w:tab/>
      </w:r>
      <w:r w:rsidRPr="004D024A">
        <w:rPr>
          <w:rFonts w:eastAsia="Times New Roman" w:hint="cs"/>
          <w:rtl/>
          <w:lang w:eastAsia="en-US"/>
        </w:rPr>
        <w:t xml:space="preserve">على ضوء المناقشات بشأن اقتراح تنقية بيانات الأسماء وبناءً على نتائج حلقة العمل المعنية بتوحيد الأسماء، اضطلعت فرقة العمل بمراجعة المسودة الأصلية التي تتناول المبادئ التوجيهية المقترحة (انظر ملحق للوثيقة </w:t>
      </w:r>
      <w:r w:rsidRPr="004D024A">
        <w:rPr>
          <w:rFonts w:eastAsia="Times New Roman"/>
          <w:lang w:eastAsia="en-US"/>
        </w:rPr>
        <w:t>CWS/12/16 Rev</w:t>
      </w:r>
      <w:r w:rsidRPr="004D024A">
        <w:rPr>
          <w:rFonts w:eastAsia="Times New Roman" w:hint="cs"/>
          <w:rtl/>
          <w:lang w:eastAsia="en-US"/>
        </w:rPr>
        <w:t>). وقد أُجريت التغييرات التالية:</w:t>
      </w:r>
    </w:p>
    <w:p w14:paraId="270A9F5E" w14:textId="77777777" w:rsidR="004D024A" w:rsidRPr="004D024A" w:rsidRDefault="004D024A" w:rsidP="004D024A">
      <w:pPr>
        <w:pStyle w:val="BodyText"/>
        <w:numPr>
          <w:ilvl w:val="0"/>
          <w:numId w:val="31"/>
        </w:numPr>
        <w:rPr>
          <w:rFonts w:eastAsia="Times New Roman"/>
          <w:rtl/>
          <w:lang w:eastAsia="en-US"/>
        </w:rPr>
      </w:pPr>
      <w:r w:rsidRPr="004D024A">
        <w:rPr>
          <w:rFonts w:eastAsia="Times New Roman"/>
          <w:rtl/>
          <w:lang w:eastAsia="en-US"/>
        </w:rPr>
        <w:t>حذف المرفق:</w:t>
      </w:r>
      <w:r w:rsidRPr="004D024A">
        <w:rPr>
          <w:rFonts w:eastAsia="Times New Roman"/>
          <w:lang w:eastAsia="en-US"/>
        </w:rPr>
        <w:t xml:space="preserve"> </w:t>
      </w:r>
      <w:r w:rsidRPr="004D024A">
        <w:rPr>
          <w:rFonts w:eastAsia="Times New Roman"/>
          <w:rtl/>
          <w:lang w:eastAsia="en-US"/>
        </w:rPr>
        <w:t>حُذف مرفق المعيار المقترح مراعاةً للشواغل التي عُبّر عنها خلال حلقة العمل المعنية بتوحيد الأسماء بشأن عدم اكتماله واحتمالية التحيز غير المقصود.</w:t>
      </w:r>
    </w:p>
    <w:p w14:paraId="5D90A8CC" w14:textId="77777777" w:rsidR="004D024A" w:rsidRPr="004D024A" w:rsidRDefault="004D024A" w:rsidP="004D024A">
      <w:pPr>
        <w:pStyle w:val="BodyText"/>
        <w:numPr>
          <w:ilvl w:val="0"/>
          <w:numId w:val="31"/>
        </w:numPr>
        <w:rPr>
          <w:rFonts w:eastAsia="Times New Roman"/>
          <w:rtl/>
          <w:lang w:eastAsia="en-US"/>
        </w:rPr>
      </w:pPr>
      <w:r w:rsidRPr="004D024A">
        <w:rPr>
          <w:rFonts w:eastAsia="Times New Roman"/>
          <w:rtl/>
          <w:lang w:eastAsia="en-US"/>
        </w:rPr>
        <w:t>تغييرات تحريرية في عدد من الفقرات لزيادة الوضوح، واستجابةً للردود والتحليلات الواردة في التعليقات خلال ورشة العمل، بما في ذلك:</w:t>
      </w:r>
    </w:p>
    <w:p w14:paraId="11A8772C" w14:textId="77777777" w:rsidR="004D024A" w:rsidRPr="004D024A" w:rsidRDefault="004D024A" w:rsidP="004D024A">
      <w:pPr>
        <w:pStyle w:val="BodyText"/>
        <w:numPr>
          <w:ilvl w:val="1"/>
          <w:numId w:val="32"/>
        </w:numPr>
        <w:rPr>
          <w:rFonts w:eastAsia="Times New Roman"/>
          <w:rtl/>
          <w:lang w:eastAsia="en-US"/>
        </w:rPr>
      </w:pPr>
      <w:r w:rsidRPr="004D024A">
        <w:rPr>
          <w:rFonts w:eastAsia="Times New Roman" w:hint="cs"/>
          <w:rtl/>
          <w:lang w:eastAsia="en-US"/>
        </w:rPr>
        <w:t>في الفقرة 11:</w:t>
      </w:r>
      <w:r w:rsidRPr="004D024A">
        <w:rPr>
          <w:rFonts w:eastAsia="Times New Roman"/>
          <w:lang w:eastAsia="en-US"/>
        </w:rPr>
        <w:t xml:space="preserve"> </w:t>
      </w:r>
      <w:r w:rsidRPr="004D024A">
        <w:rPr>
          <w:rFonts w:eastAsia="Times New Roman" w:hint="cs"/>
          <w:rtl/>
          <w:lang w:eastAsia="en-US"/>
        </w:rPr>
        <w:t>أوصى المشاركون في الورشة بتعزيز التوجيهات بشأن إدراج أسماء المودعين بحروفها الأصلية، لا سيما حين يتعلق الأمر بالنقل الحرفي. وجرت الإشارة إلى أن حذف الحروف الأصلية قد يؤدي إلى تناقضات كبيرة بين أعضاء أسرة البراءات بسبب اختلاف نظم النقل الحرفي. فعلى سبيل المثال، يمكن نقل الاسم "</w:t>
      </w:r>
      <w:proofErr w:type="spellStart"/>
      <w:r w:rsidRPr="004D024A">
        <w:rPr>
          <w:rFonts w:eastAsia="Times New Roman"/>
          <w:lang w:eastAsia="en-US"/>
        </w:rPr>
        <w:t>Чугаев</w:t>
      </w:r>
      <w:proofErr w:type="spellEnd"/>
      <w:r w:rsidRPr="004D024A">
        <w:rPr>
          <w:rFonts w:eastAsia="Times New Roman" w:hint="cs"/>
          <w:rtl/>
          <w:lang w:eastAsia="en-US"/>
        </w:rPr>
        <w:t>" حرفيًا إلى الأحرف اللاتينية بالطرق التالية: "</w:t>
      </w:r>
      <w:proofErr w:type="spellStart"/>
      <w:r w:rsidRPr="004D024A">
        <w:rPr>
          <w:rFonts w:eastAsia="Times New Roman"/>
          <w:lang w:eastAsia="en-US"/>
        </w:rPr>
        <w:t>Tschugaeff</w:t>
      </w:r>
      <w:proofErr w:type="spellEnd"/>
      <w:r w:rsidRPr="004D024A">
        <w:rPr>
          <w:rFonts w:eastAsia="Times New Roman" w:hint="cs"/>
          <w:rtl/>
          <w:lang w:eastAsia="en-US"/>
        </w:rPr>
        <w:t>" أو "</w:t>
      </w:r>
      <w:proofErr w:type="spellStart"/>
      <w:r w:rsidRPr="004D024A">
        <w:rPr>
          <w:rFonts w:eastAsia="Times New Roman"/>
          <w:lang w:eastAsia="en-US"/>
        </w:rPr>
        <w:t>Tchugaev</w:t>
      </w:r>
      <w:proofErr w:type="spellEnd"/>
      <w:r w:rsidRPr="004D024A">
        <w:rPr>
          <w:rFonts w:eastAsia="Times New Roman" w:hint="cs"/>
          <w:rtl/>
          <w:lang w:eastAsia="en-US"/>
        </w:rPr>
        <w:t>" أو "</w:t>
      </w:r>
      <w:proofErr w:type="spellStart"/>
      <w:r w:rsidRPr="004D024A">
        <w:rPr>
          <w:rFonts w:eastAsia="Times New Roman"/>
          <w:lang w:eastAsia="en-US"/>
        </w:rPr>
        <w:t>Tchougaev</w:t>
      </w:r>
      <w:proofErr w:type="spellEnd"/>
      <w:r w:rsidRPr="004D024A">
        <w:rPr>
          <w:rFonts w:eastAsia="Times New Roman" w:hint="cs"/>
          <w:rtl/>
          <w:lang w:eastAsia="en-US"/>
        </w:rPr>
        <w:t>" أو "</w:t>
      </w:r>
      <w:proofErr w:type="spellStart"/>
      <w:r w:rsidRPr="004D024A">
        <w:rPr>
          <w:rFonts w:eastAsia="Times New Roman"/>
          <w:lang w:eastAsia="en-US"/>
        </w:rPr>
        <w:t>Cugaev</w:t>
      </w:r>
      <w:proofErr w:type="spellEnd"/>
      <w:r w:rsidRPr="004D024A">
        <w:rPr>
          <w:rFonts w:eastAsia="Times New Roman" w:hint="cs"/>
          <w:rtl/>
          <w:lang w:eastAsia="en-US"/>
        </w:rPr>
        <w:t>" أو "</w:t>
      </w:r>
      <w:proofErr w:type="spellStart"/>
      <w:r w:rsidRPr="004D024A">
        <w:rPr>
          <w:rFonts w:eastAsia="Times New Roman"/>
          <w:lang w:eastAsia="en-US"/>
        </w:rPr>
        <w:t>Chugaev</w:t>
      </w:r>
      <w:proofErr w:type="spellEnd"/>
      <w:r w:rsidRPr="004D024A">
        <w:rPr>
          <w:rFonts w:eastAsia="Times New Roman"/>
          <w:lang w:eastAsia="en-US"/>
        </w:rPr>
        <w:t>"</w:t>
      </w:r>
      <w:r w:rsidRPr="004D024A">
        <w:rPr>
          <w:rFonts w:eastAsia="Times New Roman" w:hint="cs"/>
          <w:rtl/>
          <w:lang w:eastAsia="en-US"/>
        </w:rPr>
        <w:t xml:space="preserve">، </w:t>
      </w:r>
      <w:r w:rsidRPr="004D024A">
        <w:rPr>
          <w:rFonts w:eastAsia="Times New Roman"/>
          <w:rtl/>
          <w:lang w:eastAsia="en-US"/>
        </w:rPr>
        <w:t xml:space="preserve">وذلك يصعّب عمليات الربط الدقيق للسجلات ذات الصلة ببعضها البعض أو </w:t>
      </w:r>
      <w:r w:rsidRPr="004D024A">
        <w:rPr>
          <w:rFonts w:eastAsia="Times New Roman" w:hint="cs"/>
          <w:rtl/>
          <w:lang w:eastAsia="en-US"/>
        </w:rPr>
        <w:t xml:space="preserve">عمليات </w:t>
      </w:r>
      <w:r w:rsidRPr="004D024A">
        <w:rPr>
          <w:rFonts w:eastAsia="Times New Roman"/>
          <w:rtl/>
          <w:lang w:eastAsia="en-US"/>
        </w:rPr>
        <w:t>تحديد المودع الصحيح</w:t>
      </w:r>
      <w:r w:rsidRPr="004D024A">
        <w:rPr>
          <w:rFonts w:eastAsia="Times New Roman" w:hint="cs"/>
          <w:rtl/>
          <w:lang w:eastAsia="en-US"/>
        </w:rPr>
        <w:t>. وقد خضعت الفقرة 11 للمراجعة بناءً على ذلك.</w:t>
      </w:r>
    </w:p>
    <w:p w14:paraId="06F09D64" w14:textId="77777777" w:rsidR="004D024A" w:rsidRPr="004D024A" w:rsidRDefault="004D024A" w:rsidP="004D024A">
      <w:pPr>
        <w:pStyle w:val="BodyText"/>
        <w:numPr>
          <w:ilvl w:val="1"/>
          <w:numId w:val="32"/>
        </w:numPr>
        <w:rPr>
          <w:rFonts w:eastAsia="Times New Roman"/>
          <w:rtl/>
          <w:lang w:eastAsia="en-US"/>
        </w:rPr>
      </w:pPr>
      <w:r w:rsidRPr="004D024A">
        <w:rPr>
          <w:rFonts w:eastAsia="Times New Roman" w:hint="cs"/>
          <w:rtl/>
          <w:lang w:eastAsia="en-US"/>
        </w:rPr>
        <w:t>في الفقرة 22:</w:t>
      </w:r>
      <w:r w:rsidRPr="004D024A">
        <w:rPr>
          <w:rFonts w:eastAsia="Times New Roman"/>
          <w:lang w:eastAsia="en-US"/>
        </w:rPr>
        <w:t xml:space="preserve"> </w:t>
      </w:r>
      <w:r w:rsidRPr="004D024A">
        <w:rPr>
          <w:rFonts w:eastAsia="Times New Roman" w:hint="cs"/>
          <w:rtl/>
          <w:lang w:eastAsia="en-US"/>
        </w:rPr>
        <w:t xml:space="preserve">تجنباً لاحتمال حدوث أي تأويل خاطئ، حُذفت الجملة الثانية. وقد أشير إلى أن استبدال رموز التعريف </w:t>
      </w:r>
      <w:r w:rsidRPr="004D024A">
        <w:rPr>
          <w:rFonts w:eastAsia="Times New Roman"/>
          <w:rtl/>
          <w:lang w:eastAsia="en-US"/>
        </w:rPr>
        <w:t xml:space="preserve">الحالية </w:t>
      </w:r>
      <w:r w:rsidRPr="004D024A">
        <w:rPr>
          <w:rFonts w:eastAsia="Times New Roman" w:hint="cs"/>
          <w:rtl/>
          <w:lang w:eastAsia="en-US"/>
        </w:rPr>
        <w:t xml:space="preserve">للمودعين بأرقام فريدة من إنشاء النظام في مرحلة النشر قد يتسبب بالتباس لدى المستخدمين ويقوّض اتساق عملية تتبع </w:t>
      </w:r>
      <w:r w:rsidRPr="004D024A">
        <w:rPr>
          <w:rFonts w:eastAsia="Times New Roman"/>
          <w:rtl/>
          <w:lang w:eastAsia="en-US"/>
        </w:rPr>
        <w:t>المودعين</w:t>
      </w:r>
      <w:r w:rsidRPr="004D024A">
        <w:rPr>
          <w:rFonts w:eastAsia="Times New Roman" w:hint="cs"/>
          <w:rtl/>
          <w:lang w:eastAsia="en-US"/>
        </w:rPr>
        <w:t>. وقد أُدخلت تحديثات على الفقرة 22 تماشياً مع هذه المشاغل.</w:t>
      </w:r>
    </w:p>
    <w:p w14:paraId="57D2C6F7"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14.</w:t>
      </w:r>
      <w:r w:rsidRPr="004D024A">
        <w:rPr>
          <w:rFonts w:eastAsia="Times New Roman"/>
          <w:rtl/>
          <w:lang w:eastAsia="en-US"/>
        </w:rPr>
        <w:tab/>
      </w:r>
      <w:r w:rsidRPr="004D024A">
        <w:rPr>
          <w:rFonts w:eastAsia="Times New Roman" w:hint="cs"/>
          <w:rtl/>
          <w:lang w:eastAsia="en-US"/>
        </w:rPr>
        <w:t>ويرد المعيار المقترح في مرفق هذه الوثيقة، وترد جميع التغييرات المدخلة منذ المسودة الأخيرة. ويشير النص المحذوف إلى الأجزاء التي أُزيلت، والنص المسطّر إلى الأجزاء التي أضيفت.</w:t>
      </w:r>
    </w:p>
    <w:p w14:paraId="4C27D011"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15.</w:t>
      </w:r>
      <w:r w:rsidRPr="004D024A">
        <w:rPr>
          <w:rFonts w:eastAsia="Times New Roman"/>
          <w:rtl/>
          <w:lang w:eastAsia="en-US"/>
        </w:rPr>
        <w:tab/>
      </w:r>
      <w:r w:rsidRPr="004D024A">
        <w:rPr>
          <w:rFonts w:eastAsia="Times New Roman" w:hint="cs"/>
          <w:rtl/>
          <w:lang w:eastAsia="en-US"/>
        </w:rPr>
        <w:t>واقتُرح الاسم التالي لمعيار الويبو الجديد:</w:t>
      </w:r>
    </w:p>
    <w:p w14:paraId="2E65E9F4"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ab/>
        <w:t xml:space="preserve">"معيار الويبو </w:t>
      </w:r>
      <w:r w:rsidRPr="004D024A">
        <w:rPr>
          <w:rFonts w:eastAsia="Times New Roman"/>
          <w:lang w:eastAsia="en-US"/>
        </w:rPr>
        <w:t>ST.93</w:t>
      </w:r>
      <w:r w:rsidRPr="004D024A">
        <w:rPr>
          <w:rFonts w:eastAsia="Times New Roman" w:hint="cs"/>
          <w:rtl/>
          <w:lang w:eastAsia="en-US"/>
        </w:rPr>
        <w:t xml:space="preserve"> - التوصيات بشأن تنقية بيانات الأسماء"</w:t>
      </w:r>
    </w:p>
    <w:p w14:paraId="16CCFDF3" w14:textId="68E87042" w:rsidR="004D024A" w:rsidRPr="004D024A" w:rsidRDefault="004D024A" w:rsidP="004D024A">
      <w:pPr>
        <w:pStyle w:val="BodyText"/>
        <w:rPr>
          <w:rFonts w:eastAsia="Times New Roman"/>
          <w:rtl/>
          <w:lang w:eastAsia="en-US"/>
        </w:rPr>
      </w:pPr>
      <w:r w:rsidRPr="004D024A">
        <w:rPr>
          <w:rFonts w:eastAsia="Times New Roman" w:hint="cs"/>
          <w:rtl/>
          <w:lang w:eastAsia="en-US"/>
        </w:rPr>
        <w:t>16.</w:t>
      </w:r>
      <w:r w:rsidRPr="004D024A">
        <w:rPr>
          <w:rFonts w:eastAsia="Times New Roman"/>
          <w:rtl/>
          <w:lang w:eastAsia="en-US"/>
        </w:rPr>
        <w:tab/>
      </w:r>
      <w:r w:rsidRPr="004D024A">
        <w:rPr>
          <w:rFonts w:eastAsia="Times New Roman" w:hint="cs"/>
          <w:rtl/>
          <w:lang w:eastAsia="en-US"/>
        </w:rPr>
        <w:t xml:space="preserve">وإذا اعتمدت لجنة المعايير المعيار الجديد في دورتها الحالية، فمن المقترح أن تطلب من الأمانة نشر هذه التوصيات في </w:t>
      </w:r>
      <w:hyperlink r:id="rId12" w:history="1">
        <w:r w:rsidRPr="004D024A">
          <w:rPr>
            <w:rStyle w:val="Hyperlink"/>
            <w:rFonts w:eastAsia="Times New Roman" w:hint="cs"/>
            <w:rtl/>
            <w:lang w:eastAsia="en-US"/>
          </w:rPr>
          <w:t>الجزء 3 من دليل الويبو</w:t>
        </w:r>
      </w:hyperlink>
      <w:r w:rsidRPr="004D024A">
        <w:rPr>
          <w:rFonts w:eastAsia="Times New Roman" w:hint="cs"/>
          <w:rtl/>
          <w:lang w:eastAsia="en-US"/>
        </w:rPr>
        <w:t>.</w:t>
      </w:r>
    </w:p>
    <w:p w14:paraId="5137119E" w14:textId="77777777" w:rsidR="004D024A" w:rsidRPr="004D024A" w:rsidRDefault="004D024A" w:rsidP="004D024A">
      <w:pPr>
        <w:pStyle w:val="BodyText"/>
        <w:rPr>
          <w:rFonts w:eastAsia="Times New Roman"/>
          <w:b/>
          <w:i/>
          <w:sz w:val="24"/>
          <w:szCs w:val="24"/>
          <w:rtl/>
          <w:lang w:eastAsia="en-US"/>
        </w:rPr>
      </w:pPr>
      <w:r w:rsidRPr="004D024A">
        <w:rPr>
          <w:rFonts w:eastAsia="Times New Roman" w:hint="cs"/>
          <w:b/>
          <w:i/>
          <w:sz w:val="24"/>
          <w:szCs w:val="24"/>
          <w:rtl/>
          <w:lang w:eastAsia="en-US"/>
        </w:rPr>
        <w:t>مقترح لنشر نظم النقل الحرفي التي تستخدمها مكاتب الملكية الفكرية في الجزء 7 من دليل الويبو</w:t>
      </w:r>
      <w:r w:rsidRPr="004D024A">
        <w:rPr>
          <w:rFonts w:eastAsia="Times New Roman"/>
          <w:b/>
          <w:i/>
          <w:sz w:val="24"/>
          <w:szCs w:val="24"/>
          <w:lang w:eastAsia="en-US"/>
        </w:rPr>
        <w:t xml:space="preserve"> </w:t>
      </w:r>
    </w:p>
    <w:p w14:paraId="48ABB908"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17.</w:t>
      </w:r>
      <w:r w:rsidRPr="004D024A">
        <w:rPr>
          <w:rFonts w:eastAsia="Times New Roman"/>
          <w:rtl/>
          <w:lang w:eastAsia="en-US"/>
        </w:rPr>
        <w:tab/>
      </w:r>
      <w:r w:rsidRPr="004D024A">
        <w:rPr>
          <w:rFonts w:eastAsia="Times New Roman" w:hint="cs"/>
          <w:rtl/>
          <w:lang w:eastAsia="en-US"/>
        </w:rPr>
        <w:t xml:space="preserve">بعد إجراء المناقشات حول استخدام نظم النسخ الحرفي، اقتُرح جمع النظم التي تستخدمها مكاتب الملكية الفكرية لنسخ أسماء العملاء نسخاً حرفياً ونشرها على موقع الويبو، في الجزء 7 من </w:t>
      </w:r>
      <w:r w:rsidRPr="004D024A">
        <w:rPr>
          <w:rFonts w:eastAsia="Times New Roman"/>
          <w:rtl/>
          <w:lang w:eastAsia="en-US"/>
        </w:rPr>
        <w:t>دليل الويبو</w:t>
      </w:r>
      <w:r w:rsidRPr="004D024A">
        <w:rPr>
          <w:rFonts w:eastAsia="Times New Roman" w:hint="cs"/>
          <w:rtl/>
          <w:lang w:eastAsia="en-US"/>
        </w:rPr>
        <w:t xml:space="preserve"> بشأن المعلومات والوثائق المتعلقة بالملكية الفكرية. ومن المتوقع أن يدعم هذا المورد المركزي دقة عمليات التحقق والتأكد من صحة نسخ أسماء العملاء في مختلف الولايات القضائية.</w:t>
      </w:r>
    </w:p>
    <w:p w14:paraId="7EE6518D" w14:textId="77777777" w:rsidR="004D024A" w:rsidRPr="004D024A" w:rsidRDefault="004D024A" w:rsidP="004D024A">
      <w:pPr>
        <w:pStyle w:val="BodyText"/>
        <w:rPr>
          <w:rFonts w:eastAsia="Times New Roman"/>
          <w:rtl/>
          <w:lang w:eastAsia="en-US"/>
        </w:rPr>
      </w:pPr>
      <w:r w:rsidRPr="004D024A">
        <w:rPr>
          <w:rFonts w:eastAsia="Times New Roman" w:hint="cs"/>
          <w:rtl/>
          <w:lang w:eastAsia="en-US"/>
        </w:rPr>
        <w:t>18.</w:t>
      </w:r>
      <w:r w:rsidRPr="004D024A">
        <w:rPr>
          <w:rFonts w:eastAsia="Times New Roman"/>
          <w:rtl/>
          <w:lang w:eastAsia="en-US"/>
        </w:rPr>
        <w:tab/>
      </w:r>
      <w:r w:rsidRPr="004D024A">
        <w:rPr>
          <w:rFonts w:eastAsia="Times New Roman" w:hint="cs"/>
          <w:rtl/>
          <w:lang w:eastAsia="en-US"/>
        </w:rPr>
        <w:t>ومن المقترح تشجيع مكاتب الملكية الفكرية على تقديم العناوين الشبكية لنظم النسخ الحرفي التي تتبعها إلى الأمانة ليتم نشرها في الجزء 7 من دليل الويبو.</w:t>
      </w:r>
    </w:p>
    <w:p w14:paraId="64D392C5" w14:textId="77777777" w:rsidR="004D024A" w:rsidRPr="004D024A" w:rsidRDefault="004D024A" w:rsidP="004D024A">
      <w:pPr>
        <w:pStyle w:val="BodyText"/>
        <w:rPr>
          <w:rFonts w:eastAsia="Times New Roman"/>
          <w:i/>
          <w:iCs/>
          <w:rtl/>
          <w:lang w:eastAsia="en-US"/>
        </w:rPr>
      </w:pPr>
      <w:r w:rsidRPr="004D024A">
        <w:rPr>
          <w:rFonts w:eastAsia="Times New Roman" w:hint="cs"/>
          <w:rtl/>
          <w:lang w:eastAsia="en-US"/>
        </w:rPr>
        <w:t>19.</w:t>
      </w:r>
      <w:r w:rsidRPr="004D024A">
        <w:rPr>
          <w:rFonts w:eastAsia="Times New Roman"/>
          <w:rtl/>
          <w:lang w:eastAsia="en-US"/>
        </w:rPr>
        <w:tab/>
        <w:t>واقترحت الأمانة إدراج قسم فرعي جديد في الجزء 7 من دليل الويبو، لت</w:t>
      </w:r>
      <w:r w:rsidRPr="004D024A">
        <w:rPr>
          <w:rFonts w:eastAsia="Times New Roman" w:hint="cs"/>
          <w:rtl/>
          <w:lang w:eastAsia="en-US"/>
        </w:rPr>
        <w:t>ُ</w:t>
      </w:r>
      <w:r w:rsidRPr="004D024A">
        <w:rPr>
          <w:rFonts w:eastAsia="Times New Roman"/>
          <w:rtl/>
          <w:lang w:eastAsia="en-US"/>
        </w:rPr>
        <w:t>نشر فيه نظم النسخ الحرفي التي تستخدمها مكاتب الملكية الفكرية تحت عنوان</w:t>
      </w:r>
      <w:r w:rsidRPr="004D024A">
        <w:rPr>
          <w:rFonts w:eastAsia="Times New Roman" w:hint="cs"/>
          <w:rtl/>
          <w:lang w:eastAsia="en-US"/>
        </w:rPr>
        <w:t xml:space="preserve">: </w:t>
      </w:r>
      <w:r w:rsidRPr="004D024A">
        <w:rPr>
          <w:rFonts w:eastAsia="Times New Roman" w:hint="cs"/>
          <w:i/>
          <w:iCs/>
          <w:rtl/>
          <w:lang w:eastAsia="en-US"/>
        </w:rPr>
        <w:t xml:space="preserve">"نظم النقل الحرفي </w:t>
      </w:r>
      <w:r w:rsidRPr="004D024A">
        <w:rPr>
          <w:rFonts w:eastAsia="Times New Roman"/>
          <w:i/>
          <w:iCs/>
          <w:rtl/>
          <w:lang w:eastAsia="en-US"/>
        </w:rPr>
        <w:t>التي تستخدمه</w:t>
      </w:r>
      <w:r w:rsidRPr="004D024A">
        <w:rPr>
          <w:rFonts w:eastAsia="Times New Roman" w:hint="cs"/>
          <w:i/>
          <w:iCs/>
          <w:rtl/>
          <w:lang w:eastAsia="en-US"/>
        </w:rPr>
        <w:t>ا المكاتب".</w:t>
      </w:r>
    </w:p>
    <w:p w14:paraId="23B275D8" w14:textId="77777777" w:rsidR="004D024A" w:rsidRPr="004D024A" w:rsidRDefault="004D024A" w:rsidP="00A16BEC">
      <w:pPr>
        <w:pStyle w:val="BodyText"/>
        <w:keepNext/>
        <w:keepLines/>
        <w:ind w:left="4315"/>
        <w:rPr>
          <w:rFonts w:eastAsia="Times New Roman"/>
          <w:i/>
          <w:iCs/>
          <w:rtl/>
          <w:lang w:eastAsia="en-US"/>
        </w:rPr>
      </w:pPr>
      <w:r w:rsidRPr="004D024A">
        <w:rPr>
          <w:rFonts w:eastAsia="Times New Roman" w:hint="cs"/>
          <w:i/>
          <w:rtl/>
          <w:lang w:eastAsia="en-US"/>
        </w:rPr>
        <w:t>20.</w:t>
      </w:r>
      <w:r w:rsidRPr="004D024A">
        <w:rPr>
          <w:rFonts w:eastAsia="Times New Roman"/>
          <w:i/>
          <w:rtl/>
          <w:lang w:eastAsia="en-US"/>
        </w:rPr>
        <w:tab/>
      </w:r>
      <w:r w:rsidRPr="004D024A">
        <w:rPr>
          <w:rFonts w:eastAsia="Times New Roman" w:hint="cs"/>
          <w:i/>
          <w:iCs/>
          <w:rtl/>
          <w:lang w:eastAsia="en-US"/>
        </w:rPr>
        <w:t>إن لجنة المعايير مدعوّة إلى الاضطلاع بما يلي:</w:t>
      </w:r>
    </w:p>
    <w:p w14:paraId="105FB6FD" w14:textId="77777777" w:rsidR="004D024A" w:rsidRPr="004D024A" w:rsidRDefault="004D024A" w:rsidP="00A16BEC">
      <w:pPr>
        <w:pStyle w:val="BodyText"/>
        <w:keepNext/>
        <w:keepLines/>
        <w:numPr>
          <w:ilvl w:val="0"/>
          <w:numId w:val="30"/>
        </w:numPr>
        <w:ind w:left="4315" w:firstLine="720"/>
        <w:rPr>
          <w:rFonts w:eastAsia="Times New Roman"/>
          <w:i/>
          <w:iCs/>
          <w:rtl/>
          <w:lang w:eastAsia="en-US"/>
        </w:rPr>
      </w:pPr>
      <w:r w:rsidRPr="004D024A">
        <w:rPr>
          <w:rFonts w:eastAsia="Times New Roman" w:hint="cs"/>
          <w:i/>
          <w:iCs/>
          <w:rtl/>
          <w:lang w:eastAsia="en-US"/>
        </w:rPr>
        <w:t>الإحاطة علماً بمضمون هذه الوثيقة ومرفقها؛</w:t>
      </w:r>
      <w:r w:rsidRPr="004D024A">
        <w:rPr>
          <w:rFonts w:eastAsia="Times New Roman"/>
          <w:i/>
          <w:iCs/>
          <w:lang w:eastAsia="en-US"/>
        </w:rPr>
        <w:t xml:space="preserve"> </w:t>
      </w:r>
    </w:p>
    <w:p w14:paraId="42FBC161" w14:textId="77777777" w:rsidR="004D024A" w:rsidRPr="004D024A" w:rsidRDefault="004D024A" w:rsidP="00A16BEC">
      <w:pPr>
        <w:pStyle w:val="BodyText"/>
        <w:numPr>
          <w:ilvl w:val="0"/>
          <w:numId w:val="30"/>
        </w:numPr>
        <w:ind w:left="4315" w:firstLine="720"/>
        <w:rPr>
          <w:rFonts w:eastAsia="Times New Roman"/>
          <w:i/>
          <w:iCs/>
          <w:rtl/>
          <w:lang w:eastAsia="en-US"/>
        </w:rPr>
      </w:pPr>
      <w:r w:rsidRPr="004D024A">
        <w:rPr>
          <w:rFonts w:eastAsia="Times New Roman" w:hint="cs"/>
          <w:i/>
          <w:iCs/>
          <w:rtl/>
          <w:lang w:eastAsia="en-US"/>
        </w:rPr>
        <w:t>والنظر في اسم معيار الويبو الجديد، على النحو المذكور في الفقرة 15 أعلاه، والموافقة عليه؛</w:t>
      </w:r>
      <w:r w:rsidRPr="004D024A">
        <w:rPr>
          <w:rFonts w:eastAsia="Times New Roman"/>
          <w:i/>
          <w:iCs/>
          <w:lang w:eastAsia="en-US"/>
        </w:rPr>
        <w:t xml:space="preserve"> </w:t>
      </w:r>
    </w:p>
    <w:p w14:paraId="4F368C4A" w14:textId="77777777" w:rsidR="004D024A" w:rsidRPr="004D024A" w:rsidRDefault="004D024A" w:rsidP="00A16BEC">
      <w:pPr>
        <w:pStyle w:val="BodyText"/>
        <w:numPr>
          <w:ilvl w:val="0"/>
          <w:numId w:val="30"/>
        </w:numPr>
        <w:ind w:left="4315" w:firstLine="720"/>
        <w:rPr>
          <w:rFonts w:eastAsia="Times New Roman"/>
          <w:i/>
          <w:iCs/>
          <w:rtl/>
          <w:lang w:eastAsia="en-US"/>
        </w:rPr>
      </w:pPr>
      <w:r w:rsidRPr="004D024A">
        <w:rPr>
          <w:rFonts w:eastAsia="Times New Roman" w:hint="cs"/>
          <w:i/>
          <w:iCs/>
          <w:rtl/>
          <w:lang w:eastAsia="en-US"/>
        </w:rPr>
        <w:t xml:space="preserve">والنظر في معيار الويبو الجديد </w:t>
      </w:r>
      <w:r w:rsidRPr="004D024A">
        <w:rPr>
          <w:rFonts w:eastAsia="Times New Roman"/>
          <w:i/>
          <w:iCs/>
          <w:lang w:eastAsia="en-US"/>
        </w:rPr>
        <w:t>ST.93</w:t>
      </w:r>
      <w:r w:rsidRPr="004D024A">
        <w:rPr>
          <w:rFonts w:eastAsia="Times New Roman" w:hint="cs"/>
          <w:i/>
          <w:iCs/>
          <w:rtl/>
          <w:lang w:eastAsia="en-US"/>
        </w:rPr>
        <w:t xml:space="preserve"> واعتماده، على النحو المشار إليه في الفقرات من 10 إلى 15 أعلاه، وعلى النحو الوارد في مرفق هذه الوثيقة؛</w:t>
      </w:r>
    </w:p>
    <w:p w14:paraId="7AB0DBDB" w14:textId="77777777" w:rsidR="004D024A" w:rsidRPr="004D024A" w:rsidRDefault="004D024A" w:rsidP="00A16BEC">
      <w:pPr>
        <w:pStyle w:val="BodyText"/>
        <w:numPr>
          <w:ilvl w:val="0"/>
          <w:numId w:val="30"/>
        </w:numPr>
        <w:ind w:left="4315" w:firstLine="720"/>
        <w:rPr>
          <w:rFonts w:eastAsia="Times New Roman"/>
          <w:i/>
          <w:iCs/>
          <w:rtl/>
          <w:lang w:eastAsia="en-US"/>
        </w:rPr>
      </w:pPr>
      <w:r w:rsidRPr="004D024A">
        <w:rPr>
          <w:rFonts w:eastAsia="Times New Roman" w:hint="cs"/>
          <w:i/>
          <w:iCs/>
          <w:rtl/>
          <w:lang w:eastAsia="en-US"/>
        </w:rPr>
        <w:t xml:space="preserve">والطلب من الأمانة نشر معيار الويبو الجديد </w:t>
      </w:r>
      <w:r w:rsidRPr="004D024A">
        <w:rPr>
          <w:rFonts w:eastAsia="Times New Roman"/>
          <w:i/>
          <w:iCs/>
          <w:lang w:eastAsia="en-US"/>
        </w:rPr>
        <w:t>ST.93</w:t>
      </w:r>
      <w:r w:rsidRPr="004D024A">
        <w:rPr>
          <w:rFonts w:eastAsia="Times New Roman" w:hint="cs"/>
          <w:i/>
          <w:iCs/>
          <w:rtl/>
          <w:lang w:eastAsia="en-US"/>
        </w:rPr>
        <w:t xml:space="preserve"> في الجزء 3 من دليل الويبو، على النحو المشار إليه في الفقرة 16 أعلاه؛</w:t>
      </w:r>
    </w:p>
    <w:p w14:paraId="6DEF4CC1" w14:textId="77777777" w:rsidR="004D024A" w:rsidRPr="004D024A" w:rsidRDefault="004D024A" w:rsidP="00A16BEC">
      <w:pPr>
        <w:pStyle w:val="BodyText"/>
        <w:numPr>
          <w:ilvl w:val="0"/>
          <w:numId w:val="30"/>
        </w:numPr>
        <w:ind w:left="4315" w:firstLine="720"/>
        <w:rPr>
          <w:rFonts w:eastAsia="Times New Roman"/>
          <w:i/>
          <w:iCs/>
          <w:rtl/>
          <w:lang w:eastAsia="en-US"/>
        </w:rPr>
      </w:pPr>
      <w:r w:rsidRPr="004D024A">
        <w:rPr>
          <w:rFonts w:eastAsia="Times New Roman" w:hint="cs"/>
          <w:i/>
          <w:iCs/>
          <w:rtl/>
          <w:lang w:eastAsia="en-US"/>
        </w:rPr>
        <w:t>والطلب من الأمانة إصدار تعميم يدعو المكاتب إلى تقديم نظم النقل الحرفي الخاصة بها، ونشر هذه النظم في الجزء 7 من دليل الويبو، على النحو المذكور في الفقرات من 17 إلى 19 أعلاه.</w:t>
      </w:r>
    </w:p>
    <w:p w14:paraId="01D214D6" w14:textId="77168D43" w:rsidR="00A410A9" w:rsidRDefault="004D024A" w:rsidP="007D6160">
      <w:pPr>
        <w:pStyle w:val="BodyText"/>
        <w:ind w:left="6025"/>
        <w:rPr>
          <w:rFonts w:eastAsia="Times New Roman"/>
          <w:lang w:eastAsia="en-US"/>
        </w:rPr>
      </w:pPr>
      <w:r w:rsidRPr="004D024A">
        <w:rPr>
          <w:rFonts w:eastAsia="Times New Roman" w:hint="cs"/>
          <w:rtl/>
          <w:lang w:eastAsia="en-US"/>
        </w:rPr>
        <w:t>[يلي ذلك المرفق]</w:t>
      </w:r>
    </w:p>
    <w:sectPr w:rsidR="00A410A9"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A7DD" w14:textId="77777777" w:rsidR="0005244B" w:rsidRDefault="0005244B">
      <w:r>
        <w:separator/>
      </w:r>
    </w:p>
  </w:endnote>
  <w:endnote w:type="continuationSeparator" w:id="0">
    <w:p w14:paraId="18356EAF" w14:textId="77777777" w:rsidR="0005244B" w:rsidRDefault="0005244B" w:rsidP="003B38C1">
      <w:r>
        <w:separator/>
      </w:r>
    </w:p>
    <w:p w14:paraId="54E3DF74" w14:textId="77777777" w:rsidR="0005244B" w:rsidRPr="003B38C1" w:rsidRDefault="0005244B" w:rsidP="003B38C1">
      <w:pPr>
        <w:spacing w:after="60"/>
        <w:rPr>
          <w:sz w:val="17"/>
        </w:rPr>
      </w:pPr>
      <w:r>
        <w:rPr>
          <w:sz w:val="17"/>
        </w:rPr>
        <w:t>[Endnote continued from previous page]</w:t>
      </w:r>
    </w:p>
  </w:endnote>
  <w:endnote w:type="continuationNotice" w:id="1">
    <w:p w14:paraId="35E19054" w14:textId="77777777" w:rsidR="0005244B" w:rsidRPr="003B38C1" w:rsidRDefault="000524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1A80" w14:textId="77777777" w:rsidR="0005244B" w:rsidRDefault="0005244B">
      <w:r>
        <w:separator/>
      </w:r>
    </w:p>
  </w:footnote>
  <w:footnote w:type="continuationSeparator" w:id="0">
    <w:p w14:paraId="46738546" w14:textId="77777777" w:rsidR="0005244B" w:rsidRDefault="0005244B" w:rsidP="008B60B2">
      <w:r>
        <w:separator/>
      </w:r>
    </w:p>
    <w:p w14:paraId="58CCBB86" w14:textId="77777777" w:rsidR="0005244B" w:rsidRPr="00ED77FB" w:rsidRDefault="0005244B" w:rsidP="008B60B2">
      <w:pPr>
        <w:spacing w:after="60"/>
        <w:rPr>
          <w:sz w:val="17"/>
          <w:szCs w:val="17"/>
        </w:rPr>
      </w:pPr>
      <w:r w:rsidRPr="00ED77FB">
        <w:rPr>
          <w:sz w:val="17"/>
          <w:szCs w:val="17"/>
        </w:rPr>
        <w:t>[Footnote continued from previous page]</w:t>
      </w:r>
    </w:p>
  </w:footnote>
  <w:footnote w:type="continuationNotice" w:id="1">
    <w:p w14:paraId="3FEAE9F3" w14:textId="77777777" w:rsidR="0005244B" w:rsidRPr="00ED77FB" w:rsidRDefault="0005244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1E3C" w14:textId="1A99438D" w:rsidR="00D07C78" w:rsidRDefault="00FE5D75" w:rsidP="007969D1">
    <w:pPr>
      <w:bidi w:val="0"/>
      <w:rPr>
        <w:caps/>
        <w:rtl/>
      </w:rPr>
    </w:pPr>
    <w:r>
      <w:rPr>
        <w:caps/>
      </w:rPr>
      <w:t>CWS</w:t>
    </w:r>
    <w:r w:rsidR="00250149">
      <w:rPr>
        <w:caps/>
      </w:rPr>
      <w:t>/</w:t>
    </w:r>
    <w:r w:rsidR="00E15F75">
      <w:rPr>
        <w:caps/>
      </w:rPr>
      <w:t>1</w:t>
    </w:r>
    <w:r w:rsidR="003368CB">
      <w:rPr>
        <w:caps/>
      </w:rPr>
      <w:t>3</w:t>
    </w:r>
    <w:r w:rsidR="00250149">
      <w:rPr>
        <w:caps/>
      </w:rPr>
      <w:t>/</w:t>
    </w:r>
    <w:r w:rsidR="00944FCB">
      <w:rPr>
        <w:rFonts w:hint="cs"/>
        <w:caps/>
        <w:rtl/>
      </w:rPr>
      <w:t>15</w:t>
    </w:r>
  </w:p>
  <w:p w14:paraId="3532AD3A"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742C6435" w14:textId="77777777" w:rsidR="00D07C78" w:rsidRDefault="00D07C78" w:rsidP="00210D5F">
    <w:pPr>
      <w:bidi w:val="0"/>
    </w:pPr>
  </w:p>
  <w:p w14:paraId="660D32CC"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95BBE"/>
    <w:multiLevelType w:val="hybridMultilevel"/>
    <w:tmpl w:val="8E642CBA"/>
    <w:lvl w:ilvl="0" w:tplc="E986409A">
      <w:start w:val="1"/>
      <w:numFmt w:val="arabicAbjad"/>
      <w:lvlText w:val="(%1)"/>
      <w:lvlJc w:val="left"/>
      <w:pPr>
        <w:tabs>
          <w:tab w:val="num" w:pos="720"/>
        </w:tabs>
        <w:ind w:left="255" w:firstLine="4178"/>
      </w:pPr>
      <w:rPr>
        <w:rFonts w:hint="default"/>
        <w:i w:val="0"/>
        <w:iCs/>
        <w:spacing w:val="-2"/>
        <w:w w:val="99"/>
        <w:lang w:val="en-US" w:eastAsia="en-US" w:bidi="ar-SA"/>
      </w:rPr>
    </w:lvl>
    <w:lvl w:ilvl="1" w:tplc="04090019">
      <w:start w:val="1"/>
      <w:numFmt w:val="lowerLetter"/>
      <w:lvlText w:val="%2."/>
      <w:lvlJc w:val="left"/>
      <w:pPr>
        <w:ind w:left="5513" w:hanging="360"/>
      </w:pPr>
    </w:lvl>
    <w:lvl w:ilvl="2" w:tplc="0409001B">
      <w:start w:val="1"/>
      <w:numFmt w:val="lowerRoman"/>
      <w:lvlText w:val="%3."/>
      <w:lvlJc w:val="right"/>
      <w:pPr>
        <w:ind w:left="6233" w:hanging="180"/>
      </w:pPr>
    </w:lvl>
    <w:lvl w:ilvl="3" w:tplc="0409000F">
      <w:start w:val="1"/>
      <w:numFmt w:val="decimal"/>
      <w:lvlText w:val="%4."/>
      <w:lvlJc w:val="left"/>
      <w:pPr>
        <w:ind w:left="6953" w:hanging="360"/>
      </w:pPr>
    </w:lvl>
    <w:lvl w:ilvl="4" w:tplc="04090019">
      <w:start w:val="1"/>
      <w:numFmt w:val="lowerLetter"/>
      <w:lvlText w:val="%5."/>
      <w:lvlJc w:val="left"/>
      <w:pPr>
        <w:ind w:left="7673" w:hanging="360"/>
      </w:pPr>
    </w:lvl>
    <w:lvl w:ilvl="5" w:tplc="0409001B">
      <w:start w:val="1"/>
      <w:numFmt w:val="lowerRoman"/>
      <w:lvlText w:val="%6."/>
      <w:lvlJc w:val="right"/>
      <w:pPr>
        <w:ind w:left="8393" w:hanging="180"/>
      </w:pPr>
    </w:lvl>
    <w:lvl w:ilvl="6" w:tplc="0409000F">
      <w:start w:val="1"/>
      <w:numFmt w:val="decimal"/>
      <w:lvlText w:val="%7."/>
      <w:lvlJc w:val="left"/>
      <w:pPr>
        <w:ind w:left="9113" w:hanging="360"/>
      </w:pPr>
    </w:lvl>
    <w:lvl w:ilvl="7" w:tplc="04090019">
      <w:start w:val="1"/>
      <w:numFmt w:val="lowerLetter"/>
      <w:lvlText w:val="%8."/>
      <w:lvlJc w:val="left"/>
      <w:pPr>
        <w:ind w:left="9833" w:hanging="360"/>
      </w:pPr>
    </w:lvl>
    <w:lvl w:ilvl="8" w:tplc="0409001B">
      <w:start w:val="1"/>
      <w:numFmt w:val="lowerRoman"/>
      <w:lvlText w:val="%9."/>
      <w:lvlJc w:val="right"/>
      <w:pPr>
        <w:ind w:left="10553"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222034"/>
    <w:multiLevelType w:val="multilevel"/>
    <w:tmpl w:val="31260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8C1F64"/>
    <w:multiLevelType w:val="hybridMultilevel"/>
    <w:tmpl w:val="58E245B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7"/>
  </w:num>
  <w:num w:numId="3" w16cid:durableId="610935826">
    <w:abstractNumId w:val="0"/>
  </w:num>
  <w:num w:numId="4" w16cid:durableId="831139084">
    <w:abstractNumId w:val="20"/>
  </w:num>
  <w:num w:numId="5" w16cid:durableId="1808082453">
    <w:abstractNumId w:val="1"/>
  </w:num>
  <w:num w:numId="6" w16cid:durableId="2058821704">
    <w:abstractNumId w:val="7"/>
  </w:num>
  <w:num w:numId="7" w16cid:durableId="719669768">
    <w:abstractNumId w:val="24"/>
  </w:num>
  <w:num w:numId="8" w16cid:durableId="436217556">
    <w:abstractNumId w:val="13"/>
  </w:num>
  <w:num w:numId="9" w16cid:durableId="1591036600">
    <w:abstractNumId w:val="14"/>
  </w:num>
  <w:num w:numId="10" w16cid:durableId="1183013736">
    <w:abstractNumId w:val="18"/>
  </w:num>
  <w:num w:numId="11" w16cid:durableId="1208254078">
    <w:abstractNumId w:val="23"/>
  </w:num>
  <w:num w:numId="12" w16cid:durableId="1535313221">
    <w:abstractNumId w:val="19"/>
  </w:num>
  <w:num w:numId="13" w16cid:durableId="1775402230">
    <w:abstractNumId w:val="25"/>
  </w:num>
  <w:num w:numId="14" w16cid:durableId="605386166">
    <w:abstractNumId w:val="5"/>
  </w:num>
  <w:num w:numId="15" w16cid:durableId="913050154">
    <w:abstractNumId w:val="11"/>
  </w:num>
  <w:num w:numId="16" w16cid:durableId="1867328089">
    <w:abstractNumId w:val="2"/>
  </w:num>
  <w:num w:numId="17" w16cid:durableId="1880973570">
    <w:abstractNumId w:val="15"/>
  </w:num>
  <w:num w:numId="18" w16cid:durableId="1983188684">
    <w:abstractNumId w:val="21"/>
  </w:num>
  <w:num w:numId="19" w16cid:durableId="1285038826">
    <w:abstractNumId w:val="6"/>
  </w:num>
  <w:num w:numId="20" w16cid:durableId="398984857">
    <w:abstractNumId w:val="26"/>
  </w:num>
  <w:num w:numId="21" w16cid:durableId="855265340">
    <w:abstractNumId w:val="8"/>
  </w:num>
  <w:num w:numId="22" w16cid:durableId="1793552887">
    <w:abstractNumId w:val="27"/>
  </w:num>
  <w:num w:numId="23" w16cid:durableId="1644579125">
    <w:abstractNumId w:val="16"/>
  </w:num>
  <w:num w:numId="24" w16cid:durableId="1029574285">
    <w:abstractNumId w:val="22"/>
  </w:num>
  <w:num w:numId="25" w16cid:durableId="1259025004">
    <w:abstractNumId w:val="30"/>
  </w:num>
  <w:num w:numId="26" w16cid:durableId="1763722631">
    <w:abstractNumId w:val="3"/>
  </w:num>
  <w:num w:numId="27" w16cid:durableId="506360306">
    <w:abstractNumId w:val="9"/>
  </w:num>
  <w:num w:numId="28" w16cid:durableId="499587443">
    <w:abstractNumId w:val="28"/>
  </w:num>
  <w:num w:numId="29" w16cid:durableId="1784225043">
    <w:abstractNumId w:val="31"/>
  </w:num>
  <w:num w:numId="30" w16cid:durableId="1287270182">
    <w:abstractNumId w:val="10"/>
  </w:num>
  <w:num w:numId="31" w16cid:durableId="364448250">
    <w:abstractNumId w:val="29"/>
  </w:num>
  <w:num w:numId="32" w16cid:durableId="892733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4A"/>
    <w:rsid w:val="00041A0A"/>
    <w:rsid w:val="00043CAA"/>
    <w:rsid w:val="0005244B"/>
    <w:rsid w:val="00056816"/>
    <w:rsid w:val="000632C7"/>
    <w:rsid w:val="00075432"/>
    <w:rsid w:val="000910E5"/>
    <w:rsid w:val="000968ED"/>
    <w:rsid w:val="000A3D97"/>
    <w:rsid w:val="000B5B36"/>
    <w:rsid w:val="000D3DAB"/>
    <w:rsid w:val="000D42A9"/>
    <w:rsid w:val="000F5E56"/>
    <w:rsid w:val="001362EE"/>
    <w:rsid w:val="001406E1"/>
    <w:rsid w:val="00140F22"/>
    <w:rsid w:val="00155D8A"/>
    <w:rsid w:val="001647D5"/>
    <w:rsid w:val="00167832"/>
    <w:rsid w:val="00176FD1"/>
    <w:rsid w:val="001832A6"/>
    <w:rsid w:val="0019592A"/>
    <w:rsid w:val="001D4107"/>
    <w:rsid w:val="00203D24"/>
    <w:rsid w:val="00210D5F"/>
    <w:rsid w:val="0021217E"/>
    <w:rsid w:val="002326AB"/>
    <w:rsid w:val="00243430"/>
    <w:rsid w:val="00250149"/>
    <w:rsid w:val="00262607"/>
    <w:rsid w:val="002634C4"/>
    <w:rsid w:val="00265354"/>
    <w:rsid w:val="00273181"/>
    <w:rsid w:val="002879FE"/>
    <w:rsid w:val="002928D3"/>
    <w:rsid w:val="00294303"/>
    <w:rsid w:val="002A7B3A"/>
    <w:rsid w:val="002F1FE6"/>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F20F4"/>
    <w:rsid w:val="00423E3E"/>
    <w:rsid w:val="00426011"/>
    <w:rsid w:val="00427AF4"/>
    <w:rsid w:val="004434C3"/>
    <w:rsid w:val="0045246E"/>
    <w:rsid w:val="00452F85"/>
    <w:rsid w:val="00461B51"/>
    <w:rsid w:val="004647DA"/>
    <w:rsid w:val="00474062"/>
    <w:rsid w:val="00477B72"/>
    <w:rsid w:val="00477D6B"/>
    <w:rsid w:val="0048522D"/>
    <w:rsid w:val="004D024A"/>
    <w:rsid w:val="004D29A8"/>
    <w:rsid w:val="004F2DEB"/>
    <w:rsid w:val="005019FF"/>
    <w:rsid w:val="0050470A"/>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375C0"/>
    <w:rsid w:val="00646050"/>
    <w:rsid w:val="006713CA"/>
    <w:rsid w:val="00676C5C"/>
    <w:rsid w:val="00685C4B"/>
    <w:rsid w:val="006A516B"/>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D6160"/>
    <w:rsid w:val="007E4889"/>
    <w:rsid w:val="007E4C0E"/>
    <w:rsid w:val="00820911"/>
    <w:rsid w:val="008243C0"/>
    <w:rsid w:val="008A134B"/>
    <w:rsid w:val="008A5C4D"/>
    <w:rsid w:val="008B2CC1"/>
    <w:rsid w:val="008B60B2"/>
    <w:rsid w:val="008D1B10"/>
    <w:rsid w:val="0090731E"/>
    <w:rsid w:val="00916EE2"/>
    <w:rsid w:val="0093527D"/>
    <w:rsid w:val="00944FCB"/>
    <w:rsid w:val="0094554E"/>
    <w:rsid w:val="00947238"/>
    <w:rsid w:val="009476FE"/>
    <w:rsid w:val="00966A22"/>
    <w:rsid w:val="0096722F"/>
    <w:rsid w:val="00980843"/>
    <w:rsid w:val="0099406E"/>
    <w:rsid w:val="009A30E2"/>
    <w:rsid w:val="009B0855"/>
    <w:rsid w:val="009B48A1"/>
    <w:rsid w:val="009B51CF"/>
    <w:rsid w:val="009E1721"/>
    <w:rsid w:val="009E2791"/>
    <w:rsid w:val="009E3F6F"/>
    <w:rsid w:val="009F499F"/>
    <w:rsid w:val="00A16BEC"/>
    <w:rsid w:val="00A33241"/>
    <w:rsid w:val="00A37342"/>
    <w:rsid w:val="00A410A9"/>
    <w:rsid w:val="00A42DAF"/>
    <w:rsid w:val="00A444E9"/>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C11BFE"/>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34DA2"/>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33BBE"/>
  <w15:docId w15:val="{DEFA81A3-BD98-47E3-9B67-ECA63EE9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4D024A"/>
    <w:rPr>
      <w:color w:val="0000FF" w:themeColor="hyperlink"/>
      <w:u w:val="single"/>
    </w:rPr>
  </w:style>
  <w:style w:type="character" w:styleId="UnresolvedMention">
    <w:name w:val="Unresolved Mention"/>
    <w:basedOn w:val="DefaultParagraphFont"/>
    <w:uiPriority w:val="99"/>
    <w:semiHidden/>
    <w:unhideWhenUsed/>
    <w:rsid w:val="004D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standards/en/part_03_standard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sef\AppData\Local\Microsoft\Windows\INetCache\Content.Outlook\U45UWUZY\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22</TotalTime>
  <Pages>4</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CWS/13/15 (Arabic)</vt:lpstr>
    </vt:vector>
  </TitlesOfParts>
  <Company>WIPO</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CWS/13/15 (Arabic)</dc:title>
  <dc:subject>اقتراح بشأن معيار جديد للويبو يدعم تنقية بيانات الأسماء</dc:subject>
  <dc:creator>WIPO</dc:creator>
  <cp:keywords>WIPO CWS Thirteenth Session, Proposal, Standard, Data Cleaning of Names </cp:keywords>
  <cp:lastModifiedBy>EMMETT Claudia</cp:lastModifiedBy>
  <cp:revision>10</cp:revision>
  <cp:lastPrinted>2025-09-16T19:38:00Z</cp:lastPrinted>
  <dcterms:created xsi:type="dcterms:W3CDTF">2025-09-16T19:18:00Z</dcterms:created>
  <dcterms:modified xsi:type="dcterms:W3CDTF">2025-09-19T14:04:00Z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