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B184" w14:textId="77777777" w:rsidR="00E8102F" w:rsidRPr="00E8102F" w:rsidRDefault="00E8102F" w:rsidP="00E8102F">
      <w:pPr>
        <w:keepNext/>
        <w:spacing w:after="360"/>
        <w:outlineLvl w:val="0"/>
        <w:rPr>
          <w:rFonts w:ascii="Calibri" w:eastAsia="Calibri" w:hAnsi="Calibri"/>
          <w:bCs/>
          <w:caps/>
          <w:kern w:val="32"/>
          <w:szCs w:val="32"/>
          <w:rtl/>
          <w:lang w:eastAsia="en-US"/>
        </w:rPr>
      </w:pPr>
      <w:r w:rsidRPr="00E8102F">
        <w:rPr>
          <w:rFonts w:ascii="Calibri" w:eastAsia="Calibri" w:hAnsi="Calibri"/>
          <w:caps/>
          <w:kern w:val="32"/>
          <w:szCs w:val="32"/>
          <w:rtl/>
          <w:lang w:eastAsia="en-US"/>
        </w:rPr>
        <w:t>تحليل نتائج الدراسة الاستقصائية بشأن الممارسات والتحديات المتعلقة بتبادل بيانات الملكية الفكرية</w:t>
      </w:r>
      <w:r w:rsidRPr="00E8102F">
        <w:rPr>
          <w:rFonts w:ascii="Calibri" w:eastAsia="Calibri" w:hAnsi="Calibri"/>
          <w:b/>
          <w:bCs/>
          <w:caps/>
          <w:kern w:val="32"/>
          <w:szCs w:val="32"/>
          <w:rtl/>
          <w:lang w:eastAsia="en-US"/>
        </w:rPr>
        <w:t xml:space="preserve"> </w:t>
      </w:r>
    </w:p>
    <w:p w14:paraId="3C67DE29" w14:textId="77777777" w:rsidR="00E8102F" w:rsidRPr="00E8102F" w:rsidRDefault="00E8102F" w:rsidP="00E8102F">
      <w:pPr>
        <w:spacing w:before="180" w:after="960"/>
        <w:rPr>
          <w:rFonts w:ascii="Calibri" w:eastAsia="Calibri" w:hAnsi="Calibri"/>
          <w:i/>
          <w:iCs/>
          <w:rtl/>
          <w:lang w:eastAsia="en-US"/>
        </w:rPr>
      </w:pPr>
      <w:r w:rsidRPr="00E8102F">
        <w:rPr>
          <w:rFonts w:ascii="Calibri" w:eastAsia="Calibri" w:hAnsi="Calibri"/>
          <w:i/>
          <w:iCs/>
          <w:rtl/>
          <w:lang w:eastAsia="en-US"/>
        </w:rPr>
        <w:t>وثيقة من إعداد المشرفين المشاركين على فرقة العمل المعنية بتبادل بيانات الملكية الفكرية</w:t>
      </w:r>
    </w:p>
    <w:p w14:paraId="77C29020" w14:textId="77777777" w:rsidR="00E8102F" w:rsidRPr="00E8102F" w:rsidRDefault="00E8102F" w:rsidP="00E8102F">
      <w:pPr>
        <w:pStyle w:val="Heading2"/>
        <w:rPr>
          <w:rtl/>
        </w:rPr>
      </w:pPr>
      <w:r w:rsidRPr="00E8102F">
        <w:rPr>
          <w:rFonts w:hint="cs"/>
          <w:rtl/>
        </w:rPr>
        <w:t xml:space="preserve">معلومات أساسية </w:t>
      </w:r>
    </w:p>
    <w:p w14:paraId="7E201588" w14:textId="5B5BE64E" w:rsidR="00E8102F" w:rsidRPr="00E8102F" w:rsidRDefault="00E8102F" w:rsidP="00E8102F">
      <w:pPr>
        <w:spacing w:after="220"/>
        <w:rPr>
          <w:rFonts w:ascii="Calibri" w:eastAsia="Calibri" w:hAnsi="Calibri"/>
          <w:rtl/>
          <w:lang w:eastAsia="en-US"/>
        </w:rPr>
      </w:pPr>
      <w:r w:rsidRPr="00E8102F">
        <w:rPr>
          <w:rFonts w:ascii="Calibri" w:eastAsia="Calibri" w:hAnsi="Calibri"/>
          <w:rtl/>
          <w:lang w:eastAsia="en-US"/>
        </w:rPr>
        <w:t>لقد أُنشئت فرقة العمل المعنية بتبادل بيانات الملكية الفكرية في الدورة الثانية عشرة للجنة المعايير</w:t>
      </w:r>
      <w:r>
        <w:rPr>
          <w:rFonts w:ascii="Calibri" w:eastAsia="Calibri" w:hAnsi="Calibri"/>
          <w:rtl/>
          <w:lang w:eastAsia="en-US"/>
        </w:rPr>
        <w:t xml:space="preserve">. </w:t>
      </w:r>
      <w:r w:rsidRPr="00E8102F">
        <w:rPr>
          <w:rFonts w:ascii="Calibri" w:eastAsia="Calibri" w:hAnsi="Calibri"/>
          <w:rtl/>
          <w:lang w:eastAsia="en-US"/>
        </w:rPr>
        <w:t>وتماشياً مع خطة عمل فرقة العمل المعنية بتبادل بيانات الملكية الفكرية، وافقت فرقة العمل على إجراء دراسة استقصائية داخل مكاتب فرقة العمل من أجل جمع الممارسات القائمة والتحديات التي تواجهها مكاتب فرقة العمل فيما يتعلق بتبادل بيانات الملكية الفكرية</w:t>
      </w:r>
      <w:r>
        <w:rPr>
          <w:rFonts w:ascii="Calibri" w:eastAsia="Calibri" w:hAnsi="Calibri"/>
          <w:rtl/>
          <w:lang w:eastAsia="en-US"/>
        </w:rPr>
        <w:t xml:space="preserve">. </w:t>
      </w:r>
      <w:r w:rsidRPr="00E8102F">
        <w:rPr>
          <w:rFonts w:ascii="Calibri" w:eastAsia="Calibri" w:hAnsi="Calibri"/>
          <w:rtl/>
          <w:lang w:eastAsia="en-US"/>
        </w:rPr>
        <w:t>وأُجريت الدراسة الاستقصائية في الفترة من 27 يناير إلى 23 أبريل 2025</w:t>
      </w:r>
      <w:r>
        <w:rPr>
          <w:rFonts w:ascii="Calibri" w:eastAsia="Calibri" w:hAnsi="Calibri"/>
          <w:rtl/>
          <w:lang w:eastAsia="en-US"/>
        </w:rPr>
        <w:t xml:space="preserve">. </w:t>
      </w:r>
      <w:r w:rsidRPr="00E8102F">
        <w:rPr>
          <w:rFonts w:ascii="Calibri" w:eastAsia="Calibri" w:hAnsi="Calibri"/>
          <w:rtl/>
          <w:lang w:eastAsia="en-US"/>
        </w:rPr>
        <w:t>واستجاب للدراسة الاستقصائية عشرون من أعضاء فرقة العمل، وتألفوا من مكاتب الدول الأعضاء التالية:  أستراليا (</w:t>
      </w:r>
      <w:r w:rsidRPr="00E8102F">
        <w:rPr>
          <w:rFonts w:ascii="Calibri" w:eastAsia="Calibri" w:hAnsi="Calibri"/>
          <w:lang w:eastAsia="en-US"/>
        </w:rPr>
        <w:t>AU</w:t>
      </w:r>
      <w:r>
        <w:rPr>
          <w:rFonts w:ascii="Calibri" w:eastAsia="Calibri" w:hAnsi="Calibri"/>
          <w:rtl/>
          <w:lang w:eastAsia="en-US"/>
        </w:rPr>
        <w:t>)</w:t>
      </w:r>
      <w:r w:rsidRPr="00E8102F">
        <w:rPr>
          <w:rFonts w:ascii="Calibri" w:eastAsia="Calibri" w:hAnsi="Calibri"/>
          <w:rtl/>
          <w:lang w:eastAsia="en-US"/>
        </w:rPr>
        <w:t>، البرازيل (</w:t>
      </w:r>
      <w:r w:rsidRPr="00E8102F">
        <w:rPr>
          <w:rFonts w:ascii="Calibri" w:eastAsia="Calibri" w:hAnsi="Calibri"/>
          <w:lang w:eastAsia="en-US"/>
        </w:rPr>
        <w:t>BR</w:t>
      </w:r>
      <w:r>
        <w:rPr>
          <w:rFonts w:ascii="Calibri" w:eastAsia="Calibri" w:hAnsi="Calibri"/>
          <w:rtl/>
          <w:lang w:eastAsia="en-US"/>
        </w:rPr>
        <w:t>)</w:t>
      </w:r>
      <w:r w:rsidRPr="00E8102F">
        <w:rPr>
          <w:rFonts w:ascii="Calibri" w:eastAsia="Calibri" w:hAnsi="Calibri"/>
          <w:rtl/>
          <w:lang w:eastAsia="en-US"/>
        </w:rPr>
        <w:t>، كندا (</w:t>
      </w:r>
      <w:r w:rsidRPr="00E8102F">
        <w:rPr>
          <w:rFonts w:ascii="Calibri" w:eastAsia="Calibri" w:hAnsi="Calibri"/>
          <w:lang w:eastAsia="en-US"/>
        </w:rPr>
        <w:t>CA</w:t>
      </w:r>
      <w:r>
        <w:rPr>
          <w:rFonts w:ascii="Calibri" w:eastAsia="Calibri" w:hAnsi="Calibri"/>
          <w:rtl/>
          <w:lang w:eastAsia="en-US"/>
        </w:rPr>
        <w:t>)</w:t>
      </w:r>
      <w:r w:rsidRPr="00E8102F">
        <w:rPr>
          <w:rFonts w:ascii="Calibri" w:eastAsia="Calibri" w:hAnsi="Calibri"/>
          <w:rtl/>
          <w:lang w:eastAsia="en-US"/>
        </w:rPr>
        <w:t>، الصين (</w:t>
      </w:r>
      <w:r w:rsidRPr="00E8102F">
        <w:rPr>
          <w:rFonts w:ascii="Calibri" w:eastAsia="Calibri" w:hAnsi="Calibri"/>
          <w:lang w:eastAsia="en-US"/>
        </w:rPr>
        <w:t>CN</w:t>
      </w:r>
      <w:r>
        <w:rPr>
          <w:rFonts w:ascii="Calibri" w:eastAsia="Calibri" w:hAnsi="Calibri"/>
          <w:rtl/>
          <w:lang w:eastAsia="en-US"/>
        </w:rPr>
        <w:t>)</w:t>
      </w:r>
      <w:r w:rsidRPr="00E8102F">
        <w:rPr>
          <w:rFonts w:ascii="Calibri" w:eastAsia="Calibri" w:hAnsi="Calibri"/>
          <w:rtl/>
          <w:lang w:eastAsia="en-US"/>
        </w:rPr>
        <w:t>، كرواتيا (</w:t>
      </w:r>
      <w:r w:rsidRPr="00E8102F">
        <w:rPr>
          <w:rFonts w:ascii="Calibri" w:eastAsia="Calibri" w:hAnsi="Calibri"/>
          <w:lang w:eastAsia="en-US"/>
        </w:rPr>
        <w:t>HR</w:t>
      </w:r>
      <w:r>
        <w:rPr>
          <w:rFonts w:ascii="Calibri" w:eastAsia="Calibri" w:hAnsi="Calibri"/>
          <w:rtl/>
          <w:lang w:eastAsia="en-US"/>
        </w:rPr>
        <w:t>)</w:t>
      </w:r>
      <w:r w:rsidRPr="00E8102F">
        <w:rPr>
          <w:rFonts w:ascii="Calibri" w:eastAsia="Calibri" w:hAnsi="Calibri"/>
          <w:rtl/>
          <w:lang w:eastAsia="en-US"/>
        </w:rPr>
        <w:t>، غانا (</w:t>
      </w:r>
      <w:r w:rsidRPr="00E8102F">
        <w:rPr>
          <w:rFonts w:ascii="Calibri" w:eastAsia="Calibri" w:hAnsi="Calibri"/>
          <w:lang w:eastAsia="en-US"/>
        </w:rPr>
        <w:t>GH</w:t>
      </w:r>
      <w:r>
        <w:rPr>
          <w:rFonts w:ascii="Calibri" w:eastAsia="Calibri" w:hAnsi="Calibri"/>
          <w:rtl/>
          <w:lang w:eastAsia="en-US"/>
        </w:rPr>
        <w:t>)</w:t>
      </w:r>
      <w:r w:rsidRPr="00E8102F">
        <w:rPr>
          <w:rFonts w:ascii="Calibri" w:eastAsia="Calibri" w:hAnsi="Calibri"/>
          <w:rtl/>
          <w:lang w:eastAsia="en-US"/>
        </w:rPr>
        <w:t>، هندوراس (</w:t>
      </w:r>
      <w:r w:rsidRPr="00E8102F">
        <w:rPr>
          <w:rFonts w:ascii="Calibri" w:eastAsia="Calibri" w:hAnsi="Calibri"/>
          <w:lang w:eastAsia="en-US"/>
        </w:rPr>
        <w:t>HN</w:t>
      </w:r>
      <w:r>
        <w:rPr>
          <w:rFonts w:ascii="Calibri" w:eastAsia="Calibri" w:hAnsi="Calibri"/>
          <w:rtl/>
          <w:lang w:eastAsia="en-US"/>
        </w:rPr>
        <w:t>)</w:t>
      </w:r>
      <w:r w:rsidRPr="00E8102F">
        <w:rPr>
          <w:rFonts w:ascii="Calibri" w:eastAsia="Calibri" w:hAnsi="Calibri"/>
          <w:rtl/>
          <w:lang w:eastAsia="en-US"/>
        </w:rPr>
        <w:t>، اليابان (</w:t>
      </w:r>
      <w:r w:rsidRPr="00E8102F">
        <w:rPr>
          <w:rFonts w:ascii="Calibri" w:eastAsia="Calibri" w:hAnsi="Calibri"/>
          <w:lang w:eastAsia="en-US"/>
        </w:rPr>
        <w:t>JP</w:t>
      </w:r>
      <w:r>
        <w:rPr>
          <w:rFonts w:ascii="Calibri" w:eastAsia="Calibri" w:hAnsi="Calibri"/>
          <w:rtl/>
          <w:lang w:eastAsia="en-US"/>
        </w:rPr>
        <w:t>)</w:t>
      </w:r>
      <w:r w:rsidRPr="00E8102F">
        <w:rPr>
          <w:rFonts w:ascii="Calibri" w:eastAsia="Calibri" w:hAnsi="Calibri"/>
          <w:rtl/>
          <w:lang w:eastAsia="en-US"/>
        </w:rPr>
        <w:t>، المكسيك (</w:t>
      </w:r>
      <w:r w:rsidRPr="00E8102F">
        <w:rPr>
          <w:rFonts w:ascii="Calibri" w:eastAsia="Calibri" w:hAnsi="Calibri"/>
          <w:lang w:eastAsia="en-US"/>
        </w:rPr>
        <w:t>MX</w:t>
      </w:r>
      <w:r>
        <w:rPr>
          <w:rFonts w:ascii="Calibri" w:eastAsia="Calibri" w:hAnsi="Calibri"/>
          <w:rtl/>
          <w:lang w:eastAsia="en-US"/>
        </w:rPr>
        <w:t>)</w:t>
      </w:r>
      <w:r w:rsidRPr="00E8102F">
        <w:rPr>
          <w:rFonts w:ascii="Calibri" w:eastAsia="Calibri" w:hAnsi="Calibri"/>
          <w:rtl/>
          <w:lang w:eastAsia="en-US"/>
        </w:rPr>
        <w:t>، بيرو (</w:t>
      </w:r>
      <w:r w:rsidRPr="00E8102F">
        <w:rPr>
          <w:rFonts w:ascii="Calibri" w:eastAsia="Calibri" w:hAnsi="Calibri"/>
          <w:lang w:eastAsia="en-US"/>
        </w:rPr>
        <w:t>PE</w:t>
      </w:r>
      <w:r>
        <w:rPr>
          <w:rFonts w:ascii="Calibri" w:eastAsia="Calibri" w:hAnsi="Calibri"/>
          <w:rtl/>
          <w:lang w:eastAsia="en-US"/>
        </w:rPr>
        <w:t>)</w:t>
      </w:r>
      <w:r w:rsidRPr="00E8102F">
        <w:rPr>
          <w:rFonts w:ascii="Calibri" w:eastAsia="Calibri" w:hAnsi="Calibri"/>
          <w:rtl/>
          <w:lang w:eastAsia="en-US"/>
        </w:rPr>
        <w:t>، بولندا (</w:t>
      </w:r>
      <w:r w:rsidRPr="00E8102F">
        <w:rPr>
          <w:rFonts w:ascii="Calibri" w:eastAsia="Calibri" w:hAnsi="Calibri"/>
          <w:lang w:eastAsia="en-US"/>
        </w:rPr>
        <w:t>PL</w:t>
      </w:r>
      <w:r>
        <w:rPr>
          <w:rFonts w:ascii="Calibri" w:eastAsia="Calibri" w:hAnsi="Calibri"/>
          <w:rtl/>
          <w:lang w:eastAsia="en-US"/>
        </w:rPr>
        <w:t>)</w:t>
      </w:r>
      <w:r w:rsidRPr="00E8102F">
        <w:rPr>
          <w:rFonts w:ascii="Calibri" w:eastAsia="Calibri" w:hAnsi="Calibri"/>
          <w:rtl/>
          <w:lang w:eastAsia="en-US"/>
        </w:rPr>
        <w:t>، جمهورية كوريا (</w:t>
      </w:r>
      <w:r w:rsidRPr="00E8102F">
        <w:rPr>
          <w:rFonts w:ascii="Calibri" w:eastAsia="Calibri" w:hAnsi="Calibri"/>
          <w:lang w:eastAsia="en-US"/>
        </w:rPr>
        <w:t>KR</w:t>
      </w:r>
      <w:r>
        <w:rPr>
          <w:rFonts w:ascii="Calibri" w:eastAsia="Calibri" w:hAnsi="Calibri"/>
          <w:rtl/>
          <w:lang w:eastAsia="en-US"/>
        </w:rPr>
        <w:t>)</w:t>
      </w:r>
      <w:r w:rsidRPr="00E8102F">
        <w:rPr>
          <w:rFonts w:ascii="Calibri" w:eastAsia="Calibri" w:hAnsi="Calibri"/>
          <w:rtl/>
          <w:lang w:eastAsia="en-US"/>
        </w:rPr>
        <w:t>، الاتحاد الروسي (</w:t>
      </w:r>
      <w:r w:rsidRPr="00E8102F">
        <w:rPr>
          <w:rFonts w:ascii="Calibri" w:eastAsia="Calibri" w:hAnsi="Calibri"/>
          <w:lang w:eastAsia="en-US"/>
        </w:rPr>
        <w:t>RU</w:t>
      </w:r>
      <w:r>
        <w:rPr>
          <w:rFonts w:ascii="Calibri" w:eastAsia="Calibri" w:hAnsi="Calibri"/>
          <w:rtl/>
          <w:lang w:eastAsia="en-US"/>
        </w:rPr>
        <w:t>)</w:t>
      </w:r>
      <w:r w:rsidRPr="00E8102F">
        <w:rPr>
          <w:rFonts w:ascii="Calibri" w:eastAsia="Calibri" w:hAnsi="Calibri"/>
          <w:rtl/>
          <w:lang w:eastAsia="en-US"/>
        </w:rPr>
        <w:t>، المملكة العربية السعودية (</w:t>
      </w:r>
      <w:r w:rsidRPr="00E8102F">
        <w:rPr>
          <w:rFonts w:ascii="Calibri" w:eastAsia="Calibri" w:hAnsi="Calibri"/>
          <w:lang w:eastAsia="en-US"/>
        </w:rPr>
        <w:t>SA</w:t>
      </w:r>
      <w:r>
        <w:rPr>
          <w:rFonts w:ascii="Calibri" w:eastAsia="Calibri" w:hAnsi="Calibri"/>
          <w:rtl/>
          <w:lang w:eastAsia="en-US"/>
        </w:rPr>
        <w:t>)</w:t>
      </w:r>
      <w:r w:rsidRPr="00E8102F">
        <w:rPr>
          <w:rFonts w:ascii="Calibri" w:eastAsia="Calibri" w:hAnsi="Calibri"/>
          <w:rtl/>
          <w:lang w:eastAsia="en-US"/>
        </w:rPr>
        <w:t>، أوكرانيا (</w:t>
      </w:r>
      <w:r w:rsidRPr="00E8102F">
        <w:rPr>
          <w:rFonts w:ascii="Calibri" w:eastAsia="Calibri" w:hAnsi="Calibri"/>
          <w:lang w:eastAsia="en-US"/>
        </w:rPr>
        <w:t>UA</w:t>
      </w:r>
      <w:r>
        <w:rPr>
          <w:rFonts w:ascii="Calibri" w:eastAsia="Calibri" w:hAnsi="Calibri"/>
          <w:rtl/>
          <w:lang w:eastAsia="en-US"/>
        </w:rPr>
        <w:t>)</w:t>
      </w:r>
      <w:r w:rsidRPr="00E8102F">
        <w:rPr>
          <w:rFonts w:ascii="Calibri" w:eastAsia="Calibri" w:hAnsi="Calibri"/>
          <w:rtl/>
          <w:lang w:eastAsia="en-US"/>
        </w:rPr>
        <w:t>، المملكة المتحدة (</w:t>
      </w:r>
      <w:r w:rsidRPr="00E8102F">
        <w:rPr>
          <w:rFonts w:ascii="Calibri" w:eastAsia="Calibri" w:hAnsi="Calibri"/>
          <w:lang w:eastAsia="en-US"/>
        </w:rPr>
        <w:t>GB</w:t>
      </w:r>
      <w:r>
        <w:rPr>
          <w:rFonts w:ascii="Calibri" w:eastAsia="Calibri" w:hAnsi="Calibri"/>
          <w:rtl/>
          <w:lang w:eastAsia="en-US"/>
        </w:rPr>
        <w:t>)</w:t>
      </w:r>
      <w:r w:rsidRPr="00E8102F">
        <w:rPr>
          <w:rFonts w:ascii="Calibri" w:eastAsia="Calibri" w:hAnsi="Calibri"/>
          <w:rtl/>
          <w:lang w:eastAsia="en-US"/>
        </w:rPr>
        <w:t>، الولايات المتحدة الأمريكية (</w:t>
      </w:r>
      <w:r w:rsidRPr="00E8102F">
        <w:rPr>
          <w:rFonts w:ascii="Calibri" w:eastAsia="Calibri" w:hAnsi="Calibri"/>
          <w:lang w:eastAsia="en-US"/>
        </w:rPr>
        <w:t>US</w:t>
      </w:r>
      <w:r>
        <w:rPr>
          <w:rFonts w:ascii="Calibri" w:eastAsia="Calibri" w:hAnsi="Calibri"/>
          <w:rtl/>
          <w:lang w:eastAsia="en-US"/>
        </w:rPr>
        <w:t>)</w:t>
      </w:r>
      <w:r w:rsidRPr="00E8102F">
        <w:rPr>
          <w:rFonts w:ascii="Calibri" w:eastAsia="Calibri" w:hAnsi="Calibri"/>
          <w:rtl/>
          <w:lang w:eastAsia="en-US"/>
        </w:rPr>
        <w:t xml:space="preserve"> أوروغواي (</w:t>
      </w:r>
      <w:r w:rsidRPr="00E8102F">
        <w:rPr>
          <w:rFonts w:ascii="Calibri" w:eastAsia="Calibri" w:hAnsi="Calibri"/>
          <w:lang w:eastAsia="en-US"/>
        </w:rPr>
        <w:t>UY</w:t>
      </w:r>
      <w:r>
        <w:rPr>
          <w:rFonts w:ascii="Calibri" w:eastAsia="Calibri" w:hAnsi="Calibri"/>
          <w:rtl/>
          <w:lang w:eastAsia="en-US"/>
        </w:rPr>
        <w:t>)</w:t>
      </w:r>
      <w:r w:rsidRPr="00E8102F">
        <w:rPr>
          <w:rFonts w:ascii="Calibri" w:eastAsia="Calibri" w:hAnsi="Calibri"/>
          <w:rtl/>
          <w:lang w:eastAsia="en-US"/>
        </w:rPr>
        <w:t>؛ إضافة إلى المكتبين الإقليميين التاليين:  المكتب الأوروبي للبراءات (</w:t>
      </w:r>
      <w:r w:rsidRPr="00E8102F">
        <w:rPr>
          <w:rFonts w:ascii="Calibri" w:eastAsia="Calibri" w:hAnsi="Calibri"/>
          <w:lang w:eastAsia="en-US"/>
        </w:rPr>
        <w:t>EP</w:t>
      </w:r>
      <w:r>
        <w:rPr>
          <w:rFonts w:ascii="Calibri" w:eastAsia="Calibri" w:hAnsi="Calibri"/>
          <w:rtl/>
          <w:lang w:eastAsia="en-US"/>
        </w:rPr>
        <w:t>)</w:t>
      </w:r>
      <w:r w:rsidRPr="00E8102F">
        <w:rPr>
          <w:rFonts w:ascii="Calibri" w:eastAsia="Calibri" w:hAnsi="Calibri"/>
          <w:rtl/>
          <w:lang w:eastAsia="en-US"/>
        </w:rPr>
        <w:t xml:space="preserve"> ومكتب الاتحاد الأوروبي للملكية الفكرية (</w:t>
      </w:r>
      <w:r w:rsidRPr="00E8102F">
        <w:rPr>
          <w:rFonts w:ascii="Calibri" w:eastAsia="Calibri" w:hAnsi="Calibri"/>
          <w:lang w:eastAsia="en-US"/>
        </w:rPr>
        <w:t>EM</w:t>
      </w:r>
      <w:r>
        <w:rPr>
          <w:rFonts w:ascii="Calibri" w:eastAsia="Calibri" w:hAnsi="Calibri"/>
          <w:rtl/>
          <w:lang w:eastAsia="en-US"/>
        </w:rPr>
        <w:t xml:space="preserve">). </w:t>
      </w:r>
      <w:r w:rsidRPr="00E8102F">
        <w:rPr>
          <w:rFonts w:ascii="Calibri" w:eastAsia="Calibri" w:hAnsi="Calibri"/>
          <w:rtl/>
          <w:lang w:eastAsia="en-US"/>
        </w:rPr>
        <w:t>ومن بين المكاتب المستجيبة، هناك 19 مكتباً تشارك بيانات الملكية الفكرية بنشاط مع مكاتب الملكية الفكرية الأخرى</w:t>
      </w:r>
      <w:r>
        <w:rPr>
          <w:rFonts w:ascii="Calibri" w:eastAsia="Calibri" w:hAnsi="Calibri"/>
          <w:rtl/>
          <w:lang w:eastAsia="en-US"/>
        </w:rPr>
        <w:t xml:space="preserve">. </w:t>
      </w:r>
      <w:r w:rsidRPr="00E8102F">
        <w:rPr>
          <w:rFonts w:ascii="Calibri" w:eastAsia="Calibri" w:hAnsi="Calibri"/>
          <w:rtl/>
          <w:lang w:eastAsia="en-US"/>
        </w:rPr>
        <w:t>وتجدر الإشارة إلى أن مكتب حق المؤلف في الأردن نشر تعليقاً، ولكنّه غير مذكور في هذا التحليل لأن المكتب لم يجب على استبيان الدراسة الاستقصائية.</w:t>
      </w:r>
    </w:p>
    <w:p w14:paraId="2FE6F0A1" w14:textId="77777777" w:rsidR="00E8102F" w:rsidRPr="00E8102F" w:rsidRDefault="00E8102F" w:rsidP="00E8102F">
      <w:pPr>
        <w:pStyle w:val="Heading2"/>
        <w:rPr>
          <w:rtl/>
        </w:rPr>
      </w:pPr>
      <w:r w:rsidRPr="00E8102F">
        <w:rPr>
          <w:rtl/>
        </w:rPr>
        <w:t>القوانين الوطنية التي تحكم تبادل بيانات الملكية الفكرية</w:t>
      </w:r>
    </w:p>
    <w:p w14:paraId="49AA0B75" w14:textId="77777777" w:rsidR="00E8102F" w:rsidRPr="00E8102F" w:rsidRDefault="00E8102F" w:rsidP="00E8102F">
      <w:pPr>
        <w:spacing w:after="220"/>
        <w:rPr>
          <w:rFonts w:ascii="Calibri" w:eastAsia="Calibri" w:hAnsi="Calibri"/>
          <w:rtl/>
          <w:lang w:eastAsia="en-US"/>
        </w:rPr>
      </w:pPr>
      <w:r w:rsidRPr="00E8102F">
        <w:rPr>
          <w:rFonts w:ascii="Calibri" w:eastAsia="Calibri" w:hAnsi="Calibri"/>
          <w:rtl/>
          <w:lang w:eastAsia="en-US"/>
        </w:rPr>
        <w:t>أفاد 12 من أصل 20 مكتباً للملكية الفكرية بوجود قوانين أو لوائح وطنية تحكم مشاركة بيانات الملكية الفكرية أو تبادلها خارج نطاق ولايتها القضائية.</w:t>
      </w:r>
    </w:p>
    <w:p w14:paraId="1B865F79" w14:textId="77777777" w:rsidR="00E8102F" w:rsidRPr="00E8102F" w:rsidRDefault="00E8102F" w:rsidP="00E8102F">
      <w:pPr>
        <w:pStyle w:val="Heading2"/>
        <w:rPr>
          <w:rtl/>
        </w:rPr>
      </w:pPr>
      <w:r w:rsidRPr="00E8102F">
        <w:rPr>
          <w:rtl/>
        </w:rPr>
        <w:t>مجالات الملكية الفكرية الخاضعة للتبادل</w:t>
      </w:r>
    </w:p>
    <w:p w14:paraId="0D0961E1" w14:textId="77777777" w:rsidR="00E8102F" w:rsidRPr="00E8102F" w:rsidRDefault="00E8102F" w:rsidP="00E8102F">
      <w:pPr>
        <w:numPr>
          <w:ilvl w:val="0"/>
          <w:numId w:val="33"/>
        </w:numPr>
        <w:spacing w:before="180" w:after="220"/>
        <w:rPr>
          <w:rFonts w:ascii="Calibri" w:eastAsia="Calibri" w:hAnsi="Calibri"/>
          <w:rtl/>
          <w:lang w:eastAsia="en-US"/>
        </w:rPr>
      </w:pPr>
      <w:r w:rsidRPr="00E8102F">
        <w:rPr>
          <w:rFonts w:ascii="Calibri" w:eastAsia="Calibri" w:hAnsi="Calibri"/>
          <w:rtl/>
          <w:lang w:eastAsia="en-US"/>
        </w:rPr>
        <w:t>البراءات (18 مكتباً للملكية الفكرية)؛</w:t>
      </w:r>
    </w:p>
    <w:p w14:paraId="3BFC9BB4" w14:textId="77777777" w:rsidR="00E8102F" w:rsidRPr="00E8102F" w:rsidRDefault="00E8102F" w:rsidP="00E8102F">
      <w:pPr>
        <w:numPr>
          <w:ilvl w:val="0"/>
          <w:numId w:val="33"/>
        </w:numPr>
        <w:spacing w:before="180" w:after="220"/>
        <w:rPr>
          <w:rFonts w:ascii="Calibri" w:eastAsia="Calibri" w:hAnsi="Calibri"/>
          <w:rtl/>
          <w:lang w:eastAsia="en-US"/>
        </w:rPr>
      </w:pPr>
      <w:r w:rsidRPr="00E8102F">
        <w:rPr>
          <w:rFonts w:ascii="Calibri" w:eastAsia="Calibri" w:hAnsi="Calibri"/>
          <w:rtl/>
          <w:lang w:eastAsia="en-US"/>
        </w:rPr>
        <w:t>والعلامات التجارية والتصاميم الصناعية (15 لكل مجال)؛</w:t>
      </w:r>
    </w:p>
    <w:p w14:paraId="64EE0D3F" w14:textId="77777777" w:rsidR="00E8102F" w:rsidRPr="00E8102F" w:rsidRDefault="00E8102F" w:rsidP="00E8102F">
      <w:pPr>
        <w:numPr>
          <w:ilvl w:val="0"/>
          <w:numId w:val="33"/>
        </w:numPr>
        <w:spacing w:before="180" w:after="220"/>
        <w:rPr>
          <w:rFonts w:ascii="Calibri" w:eastAsia="Calibri" w:hAnsi="Calibri"/>
          <w:rtl/>
          <w:lang w:eastAsia="en-US"/>
        </w:rPr>
      </w:pPr>
      <w:r w:rsidRPr="00E8102F">
        <w:rPr>
          <w:rFonts w:ascii="Calibri" w:eastAsia="Calibri" w:hAnsi="Calibri"/>
          <w:rtl/>
          <w:lang w:eastAsia="en-US"/>
        </w:rPr>
        <w:t xml:space="preserve">والمؤشرات الجغرافية (6)؛ </w:t>
      </w:r>
    </w:p>
    <w:p w14:paraId="1B7F2752" w14:textId="77777777" w:rsidR="00E8102F" w:rsidRPr="00E8102F" w:rsidRDefault="00E8102F" w:rsidP="00E8102F">
      <w:pPr>
        <w:numPr>
          <w:ilvl w:val="0"/>
          <w:numId w:val="33"/>
        </w:numPr>
        <w:spacing w:before="180" w:after="220"/>
        <w:rPr>
          <w:rFonts w:ascii="Calibri" w:eastAsia="Calibri" w:hAnsi="Calibri"/>
          <w:rtl/>
          <w:lang w:eastAsia="en-US"/>
        </w:rPr>
      </w:pPr>
      <w:r w:rsidRPr="00E8102F">
        <w:rPr>
          <w:rFonts w:ascii="Calibri" w:eastAsia="Calibri" w:hAnsi="Calibri"/>
          <w:rtl/>
          <w:lang w:eastAsia="en-US"/>
        </w:rPr>
        <w:t>والمجالات الأخرى مثل حق المؤلف، وحقوق مربي النباتات، وطوبولوجيا الدوائر المتكاملة، وبرامج الحاسوب (1 لكل منها).</w:t>
      </w:r>
    </w:p>
    <w:p w14:paraId="78142ACF" w14:textId="77777777" w:rsidR="00E8102F" w:rsidRPr="00E8102F" w:rsidRDefault="00E8102F" w:rsidP="00E8102F">
      <w:pPr>
        <w:pStyle w:val="Heading2"/>
        <w:rPr>
          <w:rtl/>
        </w:rPr>
      </w:pPr>
      <w:r w:rsidRPr="00E8102F">
        <w:rPr>
          <w:rtl/>
        </w:rPr>
        <w:t>أنواع بيانات الملكية الفكرية المتبادلة</w:t>
      </w:r>
    </w:p>
    <w:p w14:paraId="38BB45FB" w14:textId="77777777" w:rsidR="00E8102F" w:rsidRPr="00E8102F" w:rsidRDefault="00E8102F" w:rsidP="00E8102F">
      <w:pPr>
        <w:numPr>
          <w:ilvl w:val="0"/>
          <w:numId w:val="34"/>
        </w:numPr>
        <w:spacing w:before="180" w:after="220"/>
        <w:ind w:left="924" w:hanging="357"/>
        <w:rPr>
          <w:rFonts w:ascii="Calibri" w:eastAsia="Calibri" w:hAnsi="Calibri"/>
          <w:rtl/>
          <w:lang w:eastAsia="en-US"/>
        </w:rPr>
      </w:pPr>
      <w:r w:rsidRPr="00E8102F">
        <w:rPr>
          <w:rFonts w:ascii="Calibri" w:eastAsia="Calibri" w:hAnsi="Calibri"/>
          <w:rtl/>
          <w:lang w:eastAsia="en-US"/>
        </w:rPr>
        <w:t>البيانات الببليوغرافية أو بيانات الملخصات (17 مكتباً للملكية الفكرية)؛</w:t>
      </w:r>
    </w:p>
    <w:p w14:paraId="03786E8D" w14:textId="77777777" w:rsidR="00E8102F" w:rsidRPr="00E8102F" w:rsidRDefault="00E8102F" w:rsidP="00E8102F">
      <w:pPr>
        <w:numPr>
          <w:ilvl w:val="0"/>
          <w:numId w:val="34"/>
        </w:numPr>
        <w:spacing w:before="180" w:after="220"/>
        <w:ind w:left="924" w:hanging="357"/>
        <w:rPr>
          <w:rFonts w:ascii="Calibri" w:eastAsia="Calibri" w:hAnsi="Calibri"/>
          <w:rtl/>
          <w:lang w:eastAsia="en-US"/>
        </w:rPr>
      </w:pPr>
      <w:r w:rsidRPr="00E8102F">
        <w:rPr>
          <w:rFonts w:ascii="Calibri" w:eastAsia="Calibri" w:hAnsi="Calibri"/>
          <w:rtl/>
          <w:lang w:eastAsia="en-US"/>
        </w:rPr>
        <w:t>والنص الكامل للمطالبات أو الأوصاف (14)؛</w:t>
      </w:r>
    </w:p>
    <w:p w14:paraId="3E35CBD3" w14:textId="77777777" w:rsidR="00E8102F" w:rsidRPr="00E8102F" w:rsidRDefault="00E8102F" w:rsidP="00E8102F">
      <w:pPr>
        <w:numPr>
          <w:ilvl w:val="0"/>
          <w:numId w:val="34"/>
        </w:numPr>
        <w:spacing w:before="180" w:after="220"/>
        <w:ind w:left="924" w:hanging="357"/>
        <w:rPr>
          <w:rFonts w:ascii="Calibri" w:eastAsia="Calibri" w:hAnsi="Calibri"/>
          <w:rtl/>
          <w:lang w:eastAsia="en-US"/>
        </w:rPr>
      </w:pPr>
      <w:r w:rsidRPr="00E8102F">
        <w:rPr>
          <w:rFonts w:ascii="Calibri" w:eastAsia="Calibri" w:hAnsi="Calibri"/>
          <w:rtl/>
          <w:lang w:eastAsia="en-US"/>
        </w:rPr>
        <w:t>والوضع القانوني (12)، وإجراءات المكاتب (9)، ومجلات الملكية الفكرية (13).</w:t>
      </w:r>
    </w:p>
    <w:p w14:paraId="30D924C3" w14:textId="77777777" w:rsidR="00E8102F" w:rsidRPr="00E8102F" w:rsidRDefault="00E8102F" w:rsidP="00E8102F">
      <w:pPr>
        <w:pStyle w:val="Heading2"/>
        <w:rPr>
          <w:rtl/>
        </w:rPr>
      </w:pPr>
      <w:r w:rsidRPr="00E8102F">
        <w:rPr>
          <w:rtl/>
        </w:rPr>
        <w:t>أنساق الملفات المستخدمة في تبادل بيانات الملكية الفكرية</w:t>
      </w:r>
    </w:p>
    <w:p w14:paraId="15640EC8" w14:textId="0AE39A20" w:rsidR="00E8102F" w:rsidRPr="00E8102F" w:rsidRDefault="00E8102F" w:rsidP="00E8102F">
      <w:pPr>
        <w:numPr>
          <w:ilvl w:val="0"/>
          <w:numId w:val="35"/>
        </w:numPr>
        <w:spacing w:before="180" w:after="220"/>
        <w:ind w:left="924" w:hanging="357"/>
        <w:rPr>
          <w:rFonts w:ascii="Calibri" w:eastAsia="Calibri" w:hAnsi="Calibri"/>
          <w:rtl/>
          <w:lang w:eastAsia="en-US"/>
        </w:rPr>
      </w:pPr>
      <w:r w:rsidRPr="00E8102F">
        <w:rPr>
          <w:rFonts w:ascii="Calibri" w:eastAsia="Calibri" w:hAnsi="Calibri"/>
          <w:rtl/>
          <w:lang w:eastAsia="en-US"/>
        </w:rPr>
        <w:t xml:space="preserve">نسق </w:t>
      </w:r>
      <w:r w:rsidRPr="00E8102F">
        <w:rPr>
          <w:rFonts w:ascii="Calibri" w:eastAsia="Calibri" w:hAnsi="Calibri"/>
          <w:lang w:eastAsia="en-US"/>
        </w:rPr>
        <w:t>XML</w:t>
      </w:r>
      <w:r w:rsidR="002058A3">
        <w:rPr>
          <w:rFonts w:ascii="Calibri" w:eastAsia="Calibri" w:hAnsi="Calibri" w:hint="cs"/>
          <w:rtl/>
          <w:lang w:eastAsia="en-US"/>
        </w:rPr>
        <w:t xml:space="preserve"> (</w:t>
      </w:r>
      <w:r w:rsidR="002058A3" w:rsidRPr="00E8102F">
        <w:rPr>
          <w:rFonts w:ascii="Calibri" w:eastAsia="Calibri" w:hAnsi="Calibri"/>
          <w:lang w:eastAsia="en-US"/>
        </w:rPr>
        <w:t>18</w:t>
      </w:r>
      <w:r w:rsidR="002058A3" w:rsidRPr="00E8102F">
        <w:rPr>
          <w:rFonts w:ascii="Calibri" w:eastAsia="Calibri" w:hAnsi="Calibri"/>
          <w:rtl/>
          <w:lang w:eastAsia="en-US"/>
        </w:rPr>
        <w:t xml:space="preserve"> مكتباً للملكية الفكرية</w:t>
      </w:r>
      <w:r w:rsidR="002058A3">
        <w:rPr>
          <w:rFonts w:ascii="Calibri" w:eastAsia="Calibri" w:hAnsi="Calibri" w:hint="cs"/>
          <w:rtl/>
          <w:lang w:eastAsia="en-US"/>
        </w:rPr>
        <w:t>)</w:t>
      </w:r>
      <w:r w:rsidRPr="00E8102F">
        <w:rPr>
          <w:rFonts w:ascii="Calibri" w:eastAsia="Calibri" w:hAnsi="Calibri"/>
          <w:rtl/>
          <w:lang w:eastAsia="en-US"/>
        </w:rPr>
        <w:t xml:space="preserve">، ونسق </w:t>
      </w:r>
      <w:r w:rsidRPr="00E8102F">
        <w:rPr>
          <w:rFonts w:ascii="Calibri" w:eastAsia="Calibri" w:hAnsi="Calibri"/>
          <w:lang w:eastAsia="en-US"/>
        </w:rPr>
        <w:t>PDF</w:t>
      </w:r>
      <w:r w:rsidR="002058A3">
        <w:rPr>
          <w:rFonts w:ascii="Calibri" w:eastAsia="Calibri" w:hAnsi="Calibri" w:hint="cs"/>
          <w:rtl/>
          <w:lang w:eastAsia="en-US"/>
        </w:rPr>
        <w:t xml:space="preserve"> (14)</w:t>
      </w:r>
      <w:r w:rsidRPr="00E8102F">
        <w:rPr>
          <w:rFonts w:ascii="Calibri" w:eastAsia="Calibri" w:hAnsi="Calibri"/>
          <w:rtl/>
          <w:lang w:eastAsia="en-US"/>
        </w:rPr>
        <w:t xml:space="preserve">، ونسق </w:t>
      </w:r>
      <w:r w:rsidRPr="00E8102F">
        <w:rPr>
          <w:rFonts w:ascii="Calibri" w:eastAsia="Calibri" w:hAnsi="Calibri"/>
          <w:lang w:eastAsia="en-US"/>
        </w:rPr>
        <w:t>IMG</w:t>
      </w:r>
      <w:r w:rsidR="002058A3">
        <w:rPr>
          <w:rFonts w:ascii="Calibri" w:eastAsia="Calibri" w:hAnsi="Calibri" w:hint="cs"/>
          <w:rtl/>
          <w:lang w:eastAsia="en-US"/>
        </w:rPr>
        <w:t xml:space="preserve"> (9)</w:t>
      </w:r>
      <w:r w:rsidRPr="00E8102F">
        <w:rPr>
          <w:rFonts w:ascii="Calibri" w:eastAsia="Calibri" w:hAnsi="Calibri"/>
          <w:rtl/>
          <w:lang w:eastAsia="en-US"/>
        </w:rPr>
        <w:t xml:space="preserve">، ونسق </w:t>
      </w:r>
      <w:r w:rsidRPr="00E8102F">
        <w:rPr>
          <w:rFonts w:ascii="Calibri" w:eastAsia="Calibri" w:hAnsi="Calibri"/>
          <w:lang w:eastAsia="en-US"/>
        </w:rPr>
        <w:t>TXT</w:t>
      </w:r>
      <w:r w:rsidR="0009025A">
        <w:rPr>
          <w:rFonts w:ascii="Calibri" w:eastAsia="Calibri" w:hAnsi="Calibri" w:hint="cs"/>
          <w:rtl/>
          <w:lang w:eastAsia="en-US"/>
        </w:rPr>
        <w:t xml:space="preserve"> (5)</w:t>
      </w:r>
      <w:r w:rsidRPr="00E8102F">
        <w:rPr>
          <w:rFonts w:ascii="Calibri" w:eastAsia="Calibri" w:hAnsi="Calibri"/>
          <w:rtl/>
          <w:lang w:eastAsia="en-US"/>
        </w:rPr>
        <w:t xml:space="preserve">، ونسق </w:t>
      </w:r>
      <w:r w:rsidRPr="00E8102F">
        <w:rPr>
          <w:rFonts w:ascii="Calibri" w:eastAsia="Calibri" w:hAnsi="Calibri"/>
          <w:lang w:eastAsia="en-US"/>
        </w:rPr>
        <w:t>DOCX</w:t>
      </w:r>
      <w:r w:rsidR="007B1303">
        <w:rPr>
          <w:rFonts w:ascii="Calibri" w:eastAsia="Calibri" w:hAnsi="Calibri" w:hint="cs"/>
          <w:rtl/>
          <w:lang w:eastAsia="en-US"/>
        </w:rPr>
        <w:t xml:space="preserve"> (4)</w:t>
      </w:r>
      <w:r w:rsidRPr="00E8102F">
        <w:rPr>
          <w:rFonts w:ascii="Calibri" w:eastAsia="Calibri" w:hAnsi="Calibri"/>
          <w:rtl/>
          <w:lang w:eastAsia="en-US"/>
        </w:rPr>
        <w:t>؛</w:t>
      </w:r>
    </w:p>
    <w:p w14:paraId="6A196E5E" w14:textId="2C2DDB60" w:rsidR="00E8102F" w:rsidRPr="00E8102F" w:rsidRDefault="00E8102F" w:rsidP="00E8102F">
      <w:pPr>
        <w:numPr>
          <w:ilvl w:val="0"/>
          <w:numId w:val="35"/>
        </w:numPr>
        <w:spacing w:before="180" w:after="240"/>
        <w:ind w:left="924" w:hanging="357"/>
        <w:rPr>
          <w:rFonts w:ascii="Calibri" w:eastAsia="Calibri" w:hAnsi="Calibri"/>
          <w:bCs/>
          <w:iCs/>
          <w:caps/>
          <w:szCs w:val="28"/>
          <w:rtl/>
          <w:lang w:eastAsia="en-US"/>
        </w:rPr>
      </w:pPr>
      <w:r w:rsidRPr="00E8102F">
        <w:rPr>
          <w:rFonts w:ascii="Calibri" w:eastAsia="Calibri" w:hAnsi="Calibri"/>
          <w:rtl/>
          <w:lang w:eastAsia="en-US"/>
        </w:rPr>
        <w:t xml:space="preserve">وأنساق أخرى: نسق </w:t>
      </w:r>
      <w:r w:rsidRPr="00E8102F">
        <w:rPr>
          <w:rFonts w:ascii="Calibri" w:eastAsia="Calibri" w:hAnsi="Calibri"/>
          <w:lang w:eastAsia="en-US"/>
        </w:rPr>
        <w:t>TIFF</w:t>
      </w:r>
      <w:r w:rsidR="006B7ACD">
        <w:rPr>
          <w:rFonts w:ascii="Calibri" w:eastAsia="Calibri" w:hAnsi="Calibri" w:hint="cs"/>
          <w:rtl/>
          <w:lang w:eastAsia="en-US"/>
        </w:rPr>
        <w:t xml:space="preserve"> (3)</w:t>
      </w:r>
      <w:r w:rsidRPr="00E8102F">
        <w:rPr>
          <w:rFonts w:ascii="Calibri" w:eastAsia="Calibri" w:hAnsi="Calibri"/>
          <w:rtl/>
          <w:lang w:eastAsia="en-US"/>
        </w:rPr>
        <w:t xml:space="preserve">، والأنساق </w:t>
      </w:r>
      <w:r w:rsidRPr="00E8102F">
        <w:rPr>
          <w:rFonts w:ascii="Calibri" w:eastAsia="Calibri" w:hAnsi="Calibri"/>
          <w:lang w:eastAsia="en-US"/>
        </w:rPr>
        <w:t>MP4</w:t>
      </w:r>
      <w:r w:rsidRPr="00E8102F">
        <w:rPr>
          <w:rFonts w:ascii="Calibri" w:eastAsia="Calibri" w:hAnsi="Calibri"/>
          <w:rtl/>
          <w:lang w:eastAsia="en-US"/>
        </w:rPr>
        <w:t>، و</w:t>
      </w:r>
      <w:r w:rsidRPr="00E8102F">
        <w:rPr>
          <w:rFonts w:ascii="Calibri" w:eastAsia="Calibri" w:hAnsi="Calibri"/>
          <w:lang w:eastAsia="en-US"/>
        </w:rPr>
        <w:t>MP3</w:t>
      </w:r>
      <w:r w:rsidRPr="00E8102F">
        <w:rPr>
          <w:rFonts w:ascii="Calibri" w:eastAsia="Calibri" w:hAnsi="Calibri"/>
          <w:rtl/>
          <w:lang w:eastAsia="en-US"/>
        </w:rPr>
        <w:t>، و</w:t>
      </w:r>
      <w:r w:rsidRPr="00E8102F">
        <w:rPr>
          <w:rFonts w:ascii="Calibri" w:eastAsia="Calibri" w:hAnsi="Calibri"/>
          <w:lang w:eastAsia="en-US"/>
        </w:rPr>
        <w:t>OBJ</w:t>
      </w:r>
      <w:r w:rsidRPr="00E8102F">
        <w:rPr>
          <w:rFonts w:ascii="Calibri" w:eastAsia="Calibri" w:hAnsi="Calibri"/>
          <w:rtl/>
          <w:lang w:eastAsia="en-US"/>
        </w:rPr>
        <w:t>، و</w:t>
      </w:r>
      <w:r w:rsidRPr="00E8102F">
        <w:rPr>
          <w:rFonts w:ascii="Calibri" w:eastAsia="Calibri" w:hAnsi="Calibri"/>
          <w:lang w:eastAsia="en-US"/>
        </w:rPr>
        <w:t>XLT</w:t>
      </w:r>
      <w:r w:rsidRPr="00E8102F">
        <w:rPr>
          <w:rFonts w:ascii="Calibri" w:eastAsia="Calibri" w:hAnsi="Calibri"/>
          <w:rtl/>
          <w:lang w:eastAsia="en-US"/>
        </w:rPr>
        <w:t>، و</w:t>
      </w:r>
      <w:r w:rsidRPr="00E8102F">
        <w:rPr>
          <w:rFonts w:ascii="Calibri" w:eastAsia="Calibri" w:hAnsi="Calibri"/>
          <w:lang w:eastAsia="en-US"/>
        </w:rPr>
        <w:t>X3D</w:t>
      </w:r>
      <w:r w:rsidR="006B7ACD">
        <w:rPr>
          <w:rFonts w:ascii="Calibri" w:eastAsia="Calibri" w:hAnsi="Calibri" w:hint="cs"/>
          <w:rtl/>
          <w:lang w:eastAsia="en-US"/>
        </w:rPr>
        <w:t xml:space="preserve"> (1 </w:t>
      </w:r>
      <w:r w:rsidR="006B7ACD" w:rsidRPr="00E8102F">
        <w:rPr>
          <w:rFonts w:ascii="Calibri" w:eastAsia="Calibri" w:hAnsi="Calibri"/>
          <w:rtl/>
          <w:lang w:eastAsia="en-US"/>
        </w:rPr>
        <w:t>لكل منها</w:t>
      </w:r>
      <w:r w:rsidR="006B7ACD">
        <w:rPr>
          <w:rFonts w:ascii="Calibri" w:eastAsia="Calibri" w:hAnsi="Calibri" w:hint="cs"/>
          <w:rtl/>
          <w:lang w:eastAsia="en-US"/>
        </w:rPr>
        <w:t>)</w:t>
      </w:r>
      <w:r w:rsidRPr="00E8102F">
        <w:rPr>
          <w:rFonts w:ascii="Calibri" w:eastAsia="Calibri" w:hAnsi="Calibri"/>
          <w:rtl/>
          <w:lang w:eastAsia="en-US"/>
        </w:rPr>
        <w:t xml:space="preserve">، ونسق </w:t>
      </w:r>
      <w:r w:rsidRPr="00E8102F">
        <w:rPr>
          <w:rFonts w:ascii="Calibri" w:eastAsia="Calibri" w:hAnsi="Calibri"/>
          <w:lang w:eastAsia="en-US"/>
        </w:rPr>
        <w:t>CSV</w:t>
      </w:r>
      <w:r w:rsidR="006B7ACD">
        <w:rPr>
          <w:rFonts w:ascii="Calibri" w:eastAsia="Calibri" w:hAnsi="Calibri" w:hint="cs"/>
          <w:rtl/>
          <w:lang w:eastAsia="en-US"/>
        </w:rPr>
        <w:t xml:space="preserve"> (1)</w:t>
      </w:r>
      <w:r w:rsidRPr="00E8102F">
        <w:rPr>
          <w:rFonts w:ascii="Calibri" w:eastAsia="Calibri" w:hAnsi="Calibri"/>
          <w:rtl/>
          <w:lang w:eastAsia="en-US"/>
        </w:rPr>
        <w:t xml:space="preserve">، ونسق </w:t>
      </w:r>
      <w:r w:rsidRPr="00E8102F">
        <w:rPr>
          <w:rFonts w:ascii="Calibri" w:eastAsia="Calibri" w:hAnsi="Calibri"/>
          <w:lang w:eastAsia="en-US"/>
        </w:rPr>
        <w:t>JSON</w:t>
      </w:r>
      <w:r w:rsidR="00E81BC4">
        <w:rPr>
          <w:rFonts w:ascii="Calibri" w:eastAsia="Calibri" w:hAnsi="Calibri" w:hint="cs"/>
          <w:rtl/>
          <w:lang w:eastAsia="en-US"/>
        </w:rPr>
        <w:t xml:space="preserve"> (3)</w:t>
      </w:r>
      <w:r w:rsidRPr="00E8102F">
        <w:rPr>
          <w:rFonts w:ascii="Calibri" w:eastAsia="Calibri" w:hAnsi="Calibri"/>
          <w:rtl/>
          <w:lang w:eastAsia="en-US"/>
        </w:rPr>
        <w:t>؛</w:t>
      </w:r>
    </w:p>
    <w:p w14:paraId="6CABFC50" w14:textId="77777777" w:rsidR="00E8102F" w:rsidRPr="00E8102F" w:rsidRDefault="00E8102F" w:rsidP="004D61DF">
      <w:pPr>
        <w:pStyle w:val="Heading2"/>
        <w:rPr>
          <w:rtl/>
        </w:rPr>
      </w:pPr>
      <w:r w:rsidRPr="00E8102F">
        <w:rPr>
          <w:rtl/>
        </w:rPr>
        <w:lastRenderedPageBreak/>
        <w:t>معايير الويبو المستخدمة في تبادل بيانات الملكية الفكرية</w:t>
      </w:r>
    </w:p>
    <w:tbl>
      <w:tblPr>
        <w:tblStyle w:val="GridTable4-Accent11"/>
        <w:bidiVisual/>
        <w:tblW w:w="0" w:type="auto"/>
        <w:tblLook w:val="04A0" w:firstRow="1" w:lastRow="0" w:firstColumn="1" w:lastColumn="0" w:noHBand="0" w:noVBand="1"/>
      </w:tblPr>
      <w:tblGrid>
        <w:gridCol w:w="1170"/>
        <w:gridCol w:w="7015"/>
        <w:gridCol w:w="1122"/>
      </w:tblGrid>
      <w:tr w:rsidR="00E8102F" w:rsidRPr="00E8102F" w14:paraId="2F8E915C" w14:textId="77777777" w:rsidTr="00E8102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70" w:type="dxa"/>
            <w:shd w:val="clear" w:color="auto" w:fill="1F497D"/>
            <w:vAlign w:val="center"/>
            <w:hideMark/>
          </w:tcPr>
          <w:p w14:paraId="1CFB860C" w14:textId="77777777" w:rsidR="00E8102F" w:rsidRPr="00E8102F" w:rsidRDefault="00E8102F" w:rsidP="00E8102F">
            <w:pPr>
              <w:spacing w:before="40" w:after="40"/>
              <w:rPr>
                <w:rFonts w:ascii="Calibri" w:eastAsia="Calibri" w:hAnsi="Calibri"/>
                <w:rtl/>
                <w:lang w:eastAsia="en-US"/>
              </w:rPr>
            </w:pPr>
            <w:r w:rsidRPr="00E8102F">
              <w:rPr>
                <w:rFonts w:ascii="Calibri" w:eastAsia="Calibri" w:hAnsi="Calibri"/>
                <w:rtl/>
                <w:lang w:eastAsia="en-US"/>
              </w:rPr>
              <w:t>معيار الويبو</w:t>
            </w:r>
          </w:p>
        </w:tc>
        <w:tc>
          <w:tcPr>
            <w:tcW w:w="7015" w:type="dxa"/>
            <w:shd w:val="clear" w:color="auto" w:fill="1F497D"/>
            <w:vAlign w:val="center"/>
          </w:tcPr>
          <w:p w14:paraId="78522CEF"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 xml:space="preserve"> العنوان</w:t>
            </w:r>
          </w:p>
        </w:tc>
        <w:tc>
          <w:tcPr>
            <w:tcW w:w="1122" w:type="dxa"/>
            <w:shd w:val="clear" w:color="auto" w:fill="1F497D"/>
            <w:vAlign w:val="center"/>
            <w:hideMark/>
          </w:tcPr>
          <w:p w14:paraId="0392BDF8"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عدد مكاتب الملكية الفكرية</w:t>
            </w:r>
          </w:p>
        </w:tc>
      </w:tr>
      <w:tr w:rsidR="00E8102F" w:rsidRPr="00E8102F" w14:paraId="518E0F07"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0B6B4E17"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lang w:eastAsia="en-US"/>
              </w:rPr>
              <w:t>ST.26</w:t>
            </w:r>
          </w:p>
        </w:tc>
        <w:tc>
          <w:tcPr>
            <w:tcW w:w="7015" w:type="dxa"/>
            <w:vAlign w:val="center"/>
            <w:hideMark/>
          </w:tcPr>
          <w:p w14:paraId="2E9F8FC3" w14:textId="69CCC896"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عرض قوائم تسلسل النويدات والحوامض الأمينية باستخدام لغة الترميز الموسّعة (</w:t>
            </w:r>
            <w:r w:rsidRPr="00E8102F">
              <w:rPr>
                <w:rFonts w:ascii="Calibri" w:eastAsia="Calibri" w:hAnsi="Calibri"/>
                <w:lang w:eastAsia="en-US"/>
              </w:rPr>
              <w:t>XML</w:t>
            </w:r>
            <w:r w:rsidRPr="00E8102F">
              <w:rPr>
                <w:rFonts w:ascii="Calibri" w:eastAsia="Calibri" w:hAnsi="Calibri"/>
                <w:rtl/>
                <w:lang w:eastAsia="en-US"/>
              </w:rPr>
              <w:t>)</w:t>
            </w:r>
          </w:p>
        </w:tc>
        <w:tc>
          <w:tcPr>
            <w:tcW w:w="1122" w:type="dxa"/>
            <w:vAlign w:val="center"/>
            <w:hideMark/>
          </w:tcPr>
          <w:p w14:paraId="3A5B09A7"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11</w:t>
            </w:r>
          </w:p>
        </w:tc>
      </w:tr>
      <w:tr w:rsidR="00E8102F" w:rsidRPr="00E8102F" w14:paraId="433BD922"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51E364B2"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lang w:eastAsia="en-US"/>
              </w:rPr>
              <w:t>ST.27</w:t>
            </w:r>
          </w:p>
        </w:tc>
        <w:tc>
          <w:tcPr>
            <w:tcW w:w="7015" w:type="dxa"/>
            <w:vAlign w:val="center"/>
            <w:hideMark/>
          </w:tcPr>
          <w:p w14:paraId="1B9AE2BF"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تبادل بيانات الوضع القانوني للبراءات</w:t>
            </w:r>
          </w:p>
        </w:tc>
        <w:tc>
          <w:tcPr>
            <w:tcW w:w="1122" w:type="dxa"/>
            <w:vAlign w:val="center"/>
            <w:hideMark/>
          </w:tcPr>
          <w:p w14:paraId="1FF98A50"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‎5</w:t>
            </w:r>
          </w:p>
        </w:tc>
      </w:tr>
      <w:tr w:rsidR="00E8102F" w:rsidRPr="00E8102F" w14:paraId="636ABFD5"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6A05BE6C"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lang w:eastAsia="en-US"/>
              </w:rPr>
              <w:t>ST.32</w:t>
            </w:r>
          </w:p>
        </w:tc>
        <w:tc>
          <w:tcPr>
            <w:tcW w:w="7015" w:type="dxa"/>
            <w:vAlign w:val="center"/>
          </w:tcPr>
          <w:p w14:paraId="7967239A"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ترميز وثائق البراءات باستخدام لغة الترميز القياسي العام (</w:t>
            </w:r>
            <w:r w:rsidRPr="00E8102F">
              <w:rPr>
                <w:rFonts w:ascii="Calibri" w:eastAsia="Calibri" w:hAnsi="Calibri"/>
                <w:lang w:eastAsia="en-US"/>
              </w:rPr>
              <w:t>SGML</w:t>
            </w:r>
            <w:r w:rsidRPr="00E8102F">
              <w:rPr>
                <w:rFonts w:ascii="Calibri" w:eastAsia="Calibri" w:hAnsi="Calibri"/>
                <w:rtl/>
                <w:lang w:eastAsia="en-US"/>
              </w:rPr>
              <w:t>)</w:t>
            </w:r>
          </w:p>
        </w:tc>
        <w:tc>
          <w:tcPr>
            <w:tcW w:w="1122" w:type="dxa"/>
            <w:vAlign w:val="center"/>
          </w:tcPr>
          <w:p w14:paraId="04CDBA25"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‎1</w:t>
            </w:r>
          </w:p>
        </w:tc>
      </w:tr>
      <w:tr w:rsidR="00E8102F" w:rsidRPr="00E8102F" w14:paraId="78379B6C"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114E3688"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lang w:eastAsia="en-US"/>
              </w:rPr>
              <w:t>ST.36</w:t>
            </w:r>
          </w:p>
        </w:tc>
        <w:tc>
          <w:tcPr>
            <w:tcW w:w="7015" w:type="dxa"/>
            <w:vAlign w:val="center"/>
            <w:hideMark/>
          </w:tcPr>
          <w:p w14:paraId="008EC552"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معالجة معلومات البراءات باستخدام لغة الترميز الموسعة (</w:t>
            </w:r>
            <w:r w:rsidRPr="00E8102F">
              <w:rPr>
                <w:rFonts w:ascii="Calibri" w:eastAsia="Calibri" w:hAnsi="Calibri"/>
                <w:lang w:eastAsia="en-US"/>
              </w:rPr>
              <w:t>XML</w:t>
            </w:r>
            <w:r w:rsidRPr="00E8102F">
              <w:rPr>
                <w:rFonts w:ascii="Calibri" w:eastAsia="Calibri" w:hAnsi="Calibri"/>
                <w:rtl/>
                <w:lang w:eastAsia="en-US"/>
              </w:rPr>
              <w:t>)</w:t>
            </w:r>
          </w:p>
        </w:tc>
        <w:tc>
          <w:tcPr>
            <w:tcW w:w="1122" w:type="dxa"/>
            <w:vAlign w:val="center"/>
            <w:hideMark/>
          </w:tcPr>
          <w:p w14:paraId="003479F7"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12</w:t>
            </w:r>
          </w:p>
        </w:tc>
      </w:tr>
      <w:tr w:rsidR="00E8102F" w:rsidRPr="00E8102F" w14:paraId="782337AE"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08526766"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lang w:eastAsia="en-US"/>
              </w:rPr>
              <w:t>ST.37</w:t>
            </w:r>
          </w:p>
        </w:tc>
        <w:tc>
          <w:tcPr>
            <w:tcW w:w="7015" w:type="dxa"/>
            <w:vAlign w:val="center"/>
            <w:hideMark/>
          </w:tcPr>
          <w:p w14:paraId="5C556415"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ملفات الإدارة الخاصة بوثائق البراءات المنشورة</w:t>
            </w:r>
          </w:p>
        </w:tc>
        <w:tc>
          <w:tcPr>
            <w:tcW w:w="1122" w:type="dxa"/>
            <w:vAlign w:val="center"/>
            <w:hideMark/>
          </w:tcPr>
          <w:p w14:paraId="52ED6407"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‎1</w:t>
            </w:r>
          </w:p>
        </w:tc>
      </w:tr>
      <w:tr w:rsidR="00E8102F" w:rsidRPr="00E8102F" w14:paraId="7CC5D112"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7A1C17ED"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lang w:eastAsia="en-US"/>
              </w:rPr>
              <w:t>ST.61</w:t>
            </w:r>
          </w:p>
        </w:tc>
        <w:tc>
          <w:tcPr>
            <w:tcW w:w="7015" w:type="dxa"/>
            <w:vAlign w:val="center"/>
            <w:hideMark/>
          </w:tcPr>
          <w:p w14:paraId="22CED9E8"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توصية بشأن تبادل بيانات الوضع القانوني للبراءات</w:t>
            </w:r>
          </w:p>
        </w:tc>
        <w:tc>
          <w:tcPr>
            <w:tcW w:w="1122" w:type="dxa"/>
            <w:vAlign w:val="center"/>
            <w:hideMark/>
          </w:tcPr>
          <w:p w14:paraId="748A6807"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‎1</w:t>
            </w:r>
          </w:p>
        </w:tc>
      </w:tr>
      <w:tr w:rsidR="00E8102F" w:rsidRPr="00E8102F" w14:paraId="25E5A8D9"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4BF29B8C"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lang w:eastAsia="en-US"/>
              </w:rPr>
              <w:t>ST.66</w:t>
            </w:r>
          </w:p>
        </w:tc>
        <w:tc>
          <w:tcPr>
            <w:tcW w:w="7015" w:type="dxa"/>
            <w:vAlign w:val="center"/>
            <w:hideMark/>
          </w:tcPr>
          <w:p w14:paraId="35461503"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معالجة معلومات العلامات التجارية باستخدام لغة الترميز الموسعة (</w:t>
            </w:r>
            <w:r w:rsidRPr="00E8102F">
              <w:rPr>
                <w:rFonts w:ascii="Calibri" w:eastAsia="Calibri" w:hAnsi="Calibri"/>
                <w:lang w:eastAsia="en-US"/>
              </w:rPr>
              <w:t>XML</w:t>
            </w:r>
            <w:r w:rsidRPr="00E8102F">
              <w:rPr>
                <w:rFonts w:ascii="Calibri" w:eastAsia="Calibri" w:hAnsi="Calibri"/>
                <w:rtl/>
                <w:lang w:eastAsia="en-US"/>
              </w:rPr>
              <w:t>)</w:t>
            </w:r>
          </w:p>
        </w:tc>
        <w:tc>
          <w:tcPr>
            <w:tcW w:w="1122" w:type="dxa"/>
            <w:vAlign w:val="center"/>
            <w:hideMark/>
          </w:tcPr>
          <w:p w14:paraId="5CA0F50C"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‎2</w:t>
            </w:r>
          </w:p>
        </w:tc>
      </w:tr>
      <w:tr w:rsidR="00E8102F" w:rsidRPr="00E8102F" w14:paraId="50CCB653"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768B5E5A"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lang w:eastAsia="en-US"/>
              </w:rPr>
              <w:t>ST.86</w:t>
            </w:r>
          </w:p>
        </w:tc>
        <w:tc>
          <w:tcPr>
            <w:tcW w:w="7015" w:type="dxa"/>
            <w:vAlign w:val="center"/>
            <w:hideMark/>
          </w:tcPr>
          <w:p w14:paraId="5BAF9483"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معالجة المعلومات المتعلقة بالتصاميم الصناعية باستخدام لغة الترميز الموسعة (</w:t>
            </w:r>
            <w:r w:rsidRPr="00E8102F">
              <w:rPr>
                <w:rFonts w:ascii="Calibri" w:eastAsia="Calibri" w:hAnsi="Calibri"/>
                <w:lang w:eastAsia="en-US"/>
              </w:rPr>
              <w:t>XML</w:t>
            </w:r>
            <w:r w:rsidRPr="00E8102F">
              <w:rPr>
                <w:rFonts w:ascii="Calibri" w:eastAsia="Calibri" w:hAnsi="Calibri"/>
                <w:rtl/>
                <w:lang w:eastAsia="en-US"/>
              </w:rPr>
              <w:t>)</w:t>
            </w:r>
          </w:p>
        </w:tc>
        <w:tc>
          <w:tcPr>
            <w:tcW w:w="1122" w:type="dxa"/>
            <w:vAlign w:val="center"/>
            <w:hideMark/>
          </w:tcPr>
          <w:p w14:paraId="79E13C21"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‎4</w:t>
            </w:r>
          </w:p>
        </w:tc>
      </w:tr>
      <w:tr w:rsidR="00E8102F" w:rsidRPr="00E8102F" w14:paraId="3D41965D"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587B5D33"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lang w:eastAsia="en-US"/>
              </w:rPr>
              <w:t>ST.87</w:t>
            </w:r>
          </w:p>
        </w:tc>
        <w:tc>
          <w:tcPr>
            <w:tcW w:w="7015" w:type="dxa"/>
            <w:vAlign w:val="center"/>
            <w:hideMark/>
          </w:tcPr>
          <w:p w14:paraId="0FB35F92"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تبادل بيانات الوضع القانوني للتصاميم الصناعية</w:t>
            </w:r>
          </w:p>
        </w:tc>
        <w:tc>
          <w:tcPr>
            <w:tcW w:w="1122" w:type="dxa"/>
            <w:vAlign w:val="center"/>
            <w:hideMark/>
          </w:tcPr>
          <w:p w14:paraId="6F66290C"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‎1</w:t>
            </w:r>
          </w:p>
        </w:tc>
      </w:tr>
      <w:tr w:rsidR="00E8102F" w:rsidRPr="00E8102F" w14:paraId="2555D251"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tcPr>
          <w:p w14:paraId="183241EF"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lang w:eastAsia="en-US"/>
              </w:rPr>
              <w:t>ST.90</w:t>
            </w:r>
          </w:p>
        </w:tc>
        <w:tc>
          <w:tcPr>
            <w:tcW w:w="7015" w:type="dxa"/>
            <w:vAlign w:val="center"/>
          </w:tcPr>
          <w:p w14:paraId="5B1820A0"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توصية لمعالجة بيانات الملكية الفكرية ونقلها باستخدام واجهات برمجة تطبيقات الويب</w:t>
            </w:r>
          </w:p>
        </w:tc>
        <w:tc>
          <w:tcPr>
            <w:tcW w:w="1122" w:type="dxa"/>
            <w:vAlign w:val="center"/>
          </w:tcPr>
          <w:p w14:paraId="47A879CF"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‎2</w:t>
            </w:r>
          </w:p>
        </w:tc>
      </w:tr>
      <w:tr w:rsidR="00E8102F" w:rsidRPr="00E8102F" w14:paraId="01831761"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14:paraId="68723847"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lang w:eastAsia="en-US"/>
              </w:rPr>
              <w:t>ST.96</w:t>
            </w:r>
          </w:p>
        </w:tc>
        <w:tc>
          <w:tcPr>
            <w:tcW w:w="7015" w:type="dxa"/>
            <w:vAlign w:val="center"/>
            <w:hideMark/>
          </w:tcPr>
          <w:p w14:paraId="00E5E73F"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معالجة المعلومات المتعلقة بالملكية الصناعية باستخدام لغة الترميز الموسعة (</w:t>
            </w:r>
            <w:r w:rsidRPr="00E8102F">
              <w:rPr>
                <w:rFonts w:ascii="Calibri" w:eastAsia="Calibri" w:hAnsi="Calibri"/>
                <w:lang w:eastAsia="en-US"/>
              </w:rPr>
              <w:t>XML</w:t>
            </w:r>
            <w:r w:rsidRPr="00E8102F">
              <w:rPr>
                <w:rFonts w:ascii="Calibri" w:eastAsia="Calibri" w:hAnsi="Calibri"/>
                <w:rtl/>
                <w:lang w:eastAsia="en-US"/>
              </w:rPr>
              <w:t>)</w:t>
            </w:r>
          </w:p>
        </w:tc>
        <w:tc>
          <w:tcPr>
            <w:tcW w:w="1122" w:type="dxa"/>
            <w:vAlign w:val="center"/>
            <w:hideMark/>
          </w:tcPr>
          <w:p w14:paraId="0EE4FB23"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11</w:t>
            </w:r>
          </w:p>
        </w:tc>
      </w:tr>
    </w:tbl>
    <w:p w14:paraId="1D24A2EB" w14:textId="77777777" w:rsidR="00E8102F" w:rsidRPr="00E8102F" w:rsidRDefault="00E8102F" w:rsidP="00BD3DAD">
      <w:pPr>
        <w:pStyle w:val="Heading2"/>
        <w:rPr>
          <w:rtl/>
        </w:rPr>
      </w:pPr>
      <w:r w:rsidRPr="00E8102F">
        <w:rPr>
          <w:rtl/>
        </w:rPr>
        <w:t>التحديات المواجهة في تبادل بيانات الملكية الفكرية مع مكاتب الملكية الفكرية الأخرى</w:t>
      </w:r>
    </w:p>
    <w:p w14:paraId="218AD5D2" w14:textId="77777777" w:rsidR="00E8102F" w:rsidRPr="00E8102F" w:rsidRDefault="00E8102F" w:rsidP="00BD3DAD">
      <w:pPr>
        <w:pStyle w:val="Heading3"/>
        <w:rPr>
          <w:rtl/>
        </w:rPr>
      </w:pPr>
      <w:r w:rsidRPr="00E8102F">
        <w:rPr>
          <w:rFonts w:hint="cs"/>
          <w:rtl/>
        </w:rPr>
        <w:t>التحديات التقنية</w:t>
      </w:r>
    </w:p>
    <w:tbl>
      <w:tblPr>
        <w:tblStyle w:val="ListTable4-Accent11"/>
        <w:bidiVisual/>
        <w:tblW w:w="0" w:type="auto"/>
        <w:tblLook w:val="04A0" w:firstRow="1" w:lastRow="0" w:firstColumn="1" w:lastColumn="0" w:noHBand="0" w:noVBand="1"/>
      </w:tblPr>
      <w:tblGrid>
        <w:gridCol w:w="3775"/>
        <w:gridCol w:w="1080"/>
        <w:gridCol w:w="4490"/>
      </w:tblGrid>
      <w:tr w:rsidR="00E8102F" w:rsidRPr="00E8102F" w14:paraId="4F02F70F" w14:textId="77777777" w:rsidTr="00E8102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75" w:type="dxa"/>
            <w:shd w:val="clear" w:color="auto" w:fill="1F497D"/>
            <w:vAlign w:val="center"/>
            <w:hideMark/>
          </w:tcPr>
          <w:p w14:paraId="6639A8B6" w14:textId="77777777" w:rsidR="00E8102F" w:rsidRPr="00E8102F" w:rsidRDefault="00E8102F" w:rsidP="00E8102F">
            <w:pPr>
              <w:spacing w:before="40" w:after="40"/>
              <w:rPr>
                <w:rFonts w:ascii="Calibri" w:eastAsia="Calibri" w:hAnsi="Calibri"/>
                <w:rtl/>
                <w:lang w:eastAsia="en-US"/>
              </w:rPr>
            </w:pPr>
            <w:r w:rsidRPr="00E8102F">
              <w:rPr>
                <w:rFonts w:ascii="Calibri" w:eastAsia="Calibri" w:hAnsi="Calibri"/>
                <w:rtl/>
                <w:lang w:eastAsia="en-US"/>
              </w:rPr>
              <w:t>التحدي</w:t>
            </w:r>
          </w:p>
        </w:tc>
        <w:tc>
          <w:tcPr>
            <w:tcW w:w="1080" w:type="dxa"/>
            <w:shd w:val="clear" w:color="auto" w:fill="1F497D"/>
            <w:vAlign w:val="center"/>
            <w:hideMark/>
          </w:tcPr>
          <w:p w14:paraId="4D0A3CA3"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عدد مكاتب الملكية الفكرية</w:t>
            </w:r>
          </w:p>
        </w:tc>
        <w:tc>
          <w:tcPr>
            <w:tcW w:w="4490" w:type="dxa"/>
            <w:shd w:val="clear" w:color="auto" w:fill="1F497D"/>
            <w:vAlign w:val="center"/>
            <w:hideMark/>
          </w:tcPr>
          <w:p w14:paraId="1CC50FFC"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التحليل/الملاحظات</w:t>
            </w:r>
          </w:p>
        </w:tc>
      </w:tr>
      <w:tr w:rsidR="00E8102F" w:rsidRPr="00E8102F" w14:paraId="22F029CE"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75" w:type="dxa"/>
            <w:vAlign w:val="center"/>
            <w:hideMark/>
          </w:tcPr>
          <w:p w14:paraId="3FCCE359"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نقص موارد تكنولوجيا المعلومات (قواعد البيانات والأدوات والتخزين، وما إلى ذلك)</w:t>
            </w:r>
          </w:p>
        </w:tc>
        <w:tc>
          <w:tcPr>
            <w:tcW w:w="1080" w:type="dxa"/>
            <w:vAlign w:val="center"/>
            <w:hideMark/>
          </w:tcPr>
          <w:p w14:paraId="323AB290"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‎5</w:t>
            </w:r>
          </w:p>
        </w:tc>
        <w:tc>
          <w:tcPr>
            <w:tcW w:w="4490" w:type="dxa"/>
            <w:vAlign w:val="center"/>
            <w:hideMark/>
          </w:tcPr>
          <w:p w14:paraId="10E10100"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عائق أساسي ورئيسي يشير إلى عدم كفاية الاستثمار في الأنظمة والقدرات الرقمية.</w:t>
            </w:r>
          </w:p>
        </w:tc>
      </w:tr>
      <w:tr w:rsidR="00E8102F" w:rsidRPr="00E8102F" w14:paraId="399212E4"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3775" w:type="dxa"/>
            <w:vAlign w:val="center"/>
            <w:hideMark/>
          </w:tcPr>
          <w:p w14:paraId="72807E47"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أنساق غير قياسية للبيانات</w:t>
            </w:r>
          </w:p>
        </w:tc>
        <w:tc>
          <w:tcPr>
            <w:tcW w:w="1080" w:type="dxa"/>
            <w:vAlign w:val="center"/>
            <w:hideMark/>
          </w:tcPr>
          <w:p w14:paraId="46795DB5"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‎5</w:t>
            </w:r>
          </w:p>
        </w:tc>
        <w:tc>
          <w:tcPr>
            <w:tcW w:w="4490" w:type="dxa"/>
            <w:vAlign w:val="center"/>
            <w:hideMark/>
          </w:tcPr>
          <w:p w14:paraId="390CC298"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يسلّط التحدي الضوء على الافتقار إلى هياكل منسّقة للبيانات أو الاعتماد المحدود لمعايير الويبو.</w:t>
            </w:r>
          </w:p>
        </w:tc>
      </w:tr>
      <w:tr w:rsidR="00E8102F" w:rsidRPr="00E8102F" w14:paraId="6863BBCC"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75" w:type="dxa"/>
            <w:vAlign w:val="center"/>
            <w:hideMark/>
          </w:tcPr>
          <w:p w14:paraId="33EB8E38"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بيانات الملكية الفكرية غير مرقمنة</w:t>
            </w:r>
          </w:p>
        </w:tc>
        <w:tc>
          <w:tcPr>
            <w:tcW w:w="1080" w:type="dxa"/>
            <w:vAlign w:val="center"/>
            <w:hideMark/>
          </w:tcPr>
          <w:p w14:paraId="6EBBC891"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‎1</w:t>
            </w:r>
          </w:p>
        </w:tc>
        <w:tc>
          <w:tcPr>
            <w:tcW w:w="4490" w:type="dxa"/>
            <w:vAlign w:val="center"/>
            <w:hideMark/>
          </w:tcPr>
          <w:p w14:paraId="350A54CB"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رغم إيجاد حل لهذا التحدي إلى حد كبير، لا تزال هناك قلة من المكاتب تواجه مشاكل تتعلق بالرقمنة الكاملة.</w:t>
            </w:r>
          </w:p>
        </w:tc>
      </w:tr>
      <w:tr w:rsidR="00E8102F" w:rsidRPr="00E8102F" w14:paraId="4A0C7043"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3775" w:type="dxa"/>
            <w:vAlign w:val="center"/>
            <w:hideMark/>
          </w:tcPr>
          <w:p w14:paraId="552868F6"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بيانات رديئة الجودة (مرقمنة ولكنها تحتاج إلى تصحيح)</w:t>
            </w:r>
          </w:p>
        </w:tc>
        <w:tc>
          <w:tcPr>
            <w:tcW w:w="1080" w:type="dxa"/>
            <w:vAlign w:val="center"/>
            <w:hideMark/>
          </w:tcPr>
          <w:p w14:paraId="0A4F75C5"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‎4</w:t>
            </w:r>
          </w:p>
        </w:tc>
        <w:tc>
          <w:tcPr>
            <w:tcW w:w="4490" w:type="dxa"/>
            <w:vAlign w:val="center"/>
            <w:hideMark/>
          </w:tcPr>
          <w:p w14:paraId="2565B639"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يظهِر التحدي الأنظمة القديمة أو ممارسات إدخال البيانات غير المتوافقة.</w:t>
            </w:r>
          </w:p>
        </w:tc>
      </w:tr>
      <w:tr w:rsidR="00E8102F" w:rsidRPr="00E8102F" w14:paraId="0343F0F7"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75" w:type="dxa"/>
            <w:vAlign w:val="center"/>
            <w:hideMark/>
          </w:tcPr>
          <w:p w14:paraId="5A3BA616"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المشروع الجاري لتصحيح البيانات</w:t>
            </w:r>
          </w:p>
        </w:tc>
        <w:tc>
          <w:tcPr>
            <w:tcW w:w="1080" w:type="dxa"/>
            <w:vAlign w:val="center"/>
            <w:hideMark/>
          </w:tcPr>
          <w:p w14:paraId="3D5F7B79"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‎4</w:t>
            </w:r>
          </w:p>
        </w:tc>
        <w:tc>
          <w:tcPr>
            <w:tcW w:w="4490" w:type="dxa"/>
            <w:vAlign w:val="center"/>
            <w:hideMark/>
          </w:tcPr>
          <w:p w14:paraId="1310B6DD"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يوضّح الوعي بمشاكل جودة البيانات والالتزام بالتحسين.</w:t>
            </w:r>
          </w:p>
        </w:tc>
      </w:tr>
      <w:tr w:rsidR="00E8102F" w:rsidRPr="00E8102F" w14:paraId="2FA27019"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3775" w:type="dxa"/>
            <w:vAlign w:val="center"/>
            <w:hideMark/>
          </w:tcPr>
          <w:p w14:paraId="607FDB71"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الرقمنة الجزئية لبيانات الملكية الفكرية</w:t>
            </w:r>
          </w:p>
        </w:tc>
        <w:tc>
          <w:tcPr>
            <w:tcW w:w="1080" w:type="dxa"/>
            <w:vAlign w:val="center"/>
            <w:hideMark/>
          </w:tcPr>
          <w:p w14:paraId="2412623C"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‎1</w:t>
            </w:r>
          </w:p>
        </w:tc>
        <w:tc>
          <w:tcPr>
            <w:tcW w:w="4490" w:type="dxa"/>
            <w:vAlign w:val="center"/>
            <w:hideMark/>
          </w:tcPr>
          <w:p w14:paraId="704F5CA7"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يشير إلى الفجوات المتبقية في الرقمنة الكاملة لسجلات الملكية الفكرية.</w:t>
            </w:r>
          </w:p>
        </w:tc>
      </w:tr>
    </w:tbl>
    <w:p w14:paraId="05B34B9F" w14:textId="77777777" w:rsidR="00E8102F" w:rsidRPr="00E8102F" w:rsidRDefault="00E8102F" w:rsidP="00E8102F">
      <w:pPr>
        <w:rPr>
          <w:rFonts w:ascii="Calibri" w:eastAsia="Calibri" w:hAnsi="Calibri"/>
          <w:bCs/>
          <w:szCs w:val="26"/>
          <w:u w:val="single"/>
          <w:rtl/>
          <w:lang w:eastAsia="en-US"/>
        </w:rPr>
      </w:pPr>
      <w:r w:rsidRPr="00E8102F">
        <w:rPr>
          <w:rFonts w:ascii="Calibri" w:eastAsia="Calibri" w:hAnsi="Calibri"/>
          <w:rtl/>
          <w:lang w:eastAsia="en-US"/>
        </w:rPr>
        <w:br w:type="page"/>
      </w:r>
    </w:p>
    <w:p w14:paraId="4A68D2C0" w14:textId="77777777" w:rsidR="00E8102F" w:rsidRPr="00E8102F" w:rsidRDefault="00E8102F" w:rsidP="00BD3DAD">
      <w:pPr>
        <w:pStyle w:val="Heading3"/>
        <w:rPr>
          <w:rtl/>
        </w:rPr>
      </w:pPr>
      <w:r w:rsidRPr="00E8102F">
        <w:rPr>
          <w:rtl/>
        </w:rPr>
        <w:t>التحديات القانونية والسياساتية</w:t>
      </w:r>
    </w:p>
    <w:tbl>
      <w:tblPr>
        <w:tblStyle w:val="ListTable4-Accent11"/>
        <w:bidiVisual/>
        <w:tblW w:w="0" w:type="auto"/>
        <w:jc w:val="center"/>
        <w:tblLook w:val="04A0" w:firstRow="1" w:lastRow="0" w:firstColumn="1" w:lastColumn="0" w:noHBand="0" w:noVBand="1"/>
      </w:tblPr>
      <w:tblGrid>
        <w:gridCol w:w="3775"/>
        <w:gridCol w:w="1080"/>
        <w:gridCol w:w="4490"/>
      </w:tblGrid>
      <w:tr w:rsidR="00E8102F" w:rsidRPr="00E8102F" w14:paraId="78AD301E" w14:textId="77777777" w:rsidTr="00E8102F">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775" w:type="dxa"/>
            <w:shd w:val="clear" w:color="auto" w:fill="1F497D"/>
            <w:vAlign w:val="center"/>
            <w:hideMark/>
          </w:tcPr>
          <w:p w14:paraId="3269EE3C" w14:textId="77777777" w:rsidR="00E8102F" w:rsidRPr="00E8102F" w:rsidRDefault="00E8102F" w:rsidP="00E8102F">
            <w:pPr>
              <w:spacing w:before="40" w:after="40"/>
              <w:rPr>
                <w:rFonts w:ascii="Calibri" w:eastAsia="Calibri" w:hAnsi="Calibri"/>
                <w:rtl/>
                <w:lang w:eastAsia="en-US"/>
              </w:rPr>
            </w:pPr>
            <w:r w:rsidRPr="00E8102F">
              <w:rPr>
                <w:rFonts w:ascii="Calibri" w:eastAsia="Calibri" w:hAnsi="Calibri"/>
                <w:rtl/>
                <w:lang w:eastAsia="en-US"/>
              </w:rPr>
              <w:t>التحدي</w:t>
            </w:r>
          </w:p>
        </w:tc>
        <w:tc>
          <w:tcPr>
            <w:tcW w:w="1080" w:type="dxa"/>
            <w:shd w:val="clear" w:color="auto" w:fill="1F497D"/>
            <w:vAlign w:val="center"/>
            <w:hideMark/>
          </w:tcPr>
          <w:p w14:paraId="24E54F83"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عدد مكاتب الملكية الفكرية</w:t>
            </w:r>
          </w:p>
        </w:tc>
        <w:tc>
          <w:tcPr>
            <w:tcW w:w="4490" w:type="dxa"/>
            <w:shd w:val="clear" w:color="auto" w:fill="1F497D"/>
            <w:vAlign w:val="center"/>
            <w:hideMark/>
          </w:tcPr>
          <w:p w14:paraId="0C2814A8"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التحليل/الملاحظات</w:t>
            </w:r>
          </w:p>
        </w:tc>
      </w:tr>
      <w:tr w:rsidR="00E8102F" w:rsidRPr="00E8102F" w14:paraId="42483AEA" w14:textId="77777777" w:rsidTr="00E8102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271BECDB" w14:textId="4C5F45F4"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الشواغل القانونية المتعلقة بالملكية وإعادة التوزيع: يمكن مشاركة بيانات الملكية الفكرية شريطة عدم إعادة توزيعها أو تغييرها دون موافقة كتابية.</w:t>
            </w:r>
          </w:p>
        </w:tc>
        <w:tc>
          <w:tcPr>
            <w:tcW w:w="1080" w:type="dxa"/>
            <w:vAlign w:val="center"/>
          </w:tcPr>
          <w:p w14:paraId="755A4E12"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‎6</w:t>
            </w:r>
          </w:p>
        </w:tc>
        <w:tc>
          <w:tcPr>
            <w:tcW w:w="4490" w:type="dxa"/>
            <w:vAlign w:val="center"/>
          </w:tcPr>
          <w:p w14:paraId="2471F171"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القيود القانونية تحدّ من المشاركة إلّا إذا أُنشئت اتفاقات رسمية.</w:t>
            </w:r>
          </w:p>
        </w:tc>
      </w:tr>
      <w:tr w:rsidR="00E8102F" w:rsidRPr="00E8102F" w14:paraId="14424D01" w14:textId="77777777" w:rsidTr="00035D9D">
        <w:trPr>
          <w:trHeight w:val="454"/>
          <w:jc w:val="center"/>
        </w:trPr>
        <w:tc>
          <w:tcPr>
            <w:cnfStyle w:val="001000000000" w:firstRow="0" w:lastRow="0" w:firstColumn="1" w:lastColumn="0" w:oddVBand="0" w:evenVBand="0" w:oddHBand="0" w:evenHBand="0" w:firstRowFirstColumn="0" w:firstRowLastColumn="0" w:lastRowFirstColumn="0" w:lastRowLastColumn="0"/>
            <w:tcW w:w="3775" w:type="dxa"/>
            <w:vAlign w:val="center"/>
            <w:hideMark/>
          </w:tcPr>
          <w:p w14:paraId="68090C0E"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الشواغل القانونية المتعلقة بالاستضافة خارج الولاية القضائية لمكتب الملكية الفكرية.</w:t>
            </w:r>
          </w:p>
        </w:tc>
        <w:tc>
          <w:tcPr>
            <w:tcW w:w="1080" w:type="dxa"/>
            <w:vAlign w:val="center"/>
            <w:hideMark/>
          </w:tcPr>
          <w:p w14:paraId="3E206840"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‎6</w:t>
            </w:r>
          </w:p>
        </w:tc>
        <w:tc>
          <w:tcPr>
            <w:tcW w:w="4490" w:type="dxa"/>
            <w:vAlign w:val="center"/>
            <w:hideMark/>
          </w:tcPr>
          <w:p w14:paraId="7C4C400E"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القيود المتعلقة بالولاية القضائية (مثل الأمن القومي أو سيادة البيانات) تحد من استضافة البيانات.</w:t>
            </w:r>
          </w:p>
        </w:tc>
      </w:tr>
      <w:tr w:rsidR="00E8102F" w:rsidRPr="00E8102F" w14:paraId="5EEE51CC" w14:textId="77777777" w:rsidTr="00E8102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775" w:type="dxa"/>
            <w:vAlign w:val="center"/>
            <w:hideMark/>
          </w:tcPr>
          <w:p w14:paraId="4E90D2D7"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بيانات الملكية الفكرية تُعتبر إيرادات محتملة لمكتب الملكية الفكرية، وبالتالي فإن مشاركة البيانات مجاناً مقيدة.</w:t>
            </w:r>
          </w:p>
        </w:tc>
        <w:tc>
          <w:tcPr>
            <w:tcW w:w="1080" w:type="dxa"/>
            <w:vAlign w:val="center"/>
            <w:hideMark/>
          </w:tcPr>
          <w:p w14:paraId="24F553C7"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‎1</w:t>
            </w:r>
          </w:p>
        </w:tc>
        <w:tc>
          <w:tcPr>
            <w:tcW w:w="4490" w:type="dxa"/>
            <w:vAlign w:val="center"/>
            <w:hideMark/>
          </w:tcPr>
          <w:p w14:paraId="729BD2AE"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تقيّد المصالح التجارية التعاون المفتوح والنفاذ المجاني إلى بيانات الملكية الفكرية.</w:t>
            </w:r>
          </w:p>
        </w:tc>
      </w:tr>
    </w:tbl>
    <w:p w14:paraId="77C4F139" w14:textId="77777777" w:rsidR="00E8102F" w:rsidRPr="00E8102F" w:rsidRDefault="00E8102F" w:rsidP="00E8102F">
      <w:pPr>
        <w:keepNext/>
        <w:spacing w:before="240" w:after="220"/>
        <w:outlineLvl w:val="2"/>
        <w:rPr>
          <w:rFonts w:ascii="Calibri" w:eastAsia="Calibri" w:hAnsi="Calibri"/>
          <w:bCs/>
          <w:szCs w:val="26"/>
          <w:u w:val="single"/>
          <w:rtl/>
          <w:lang w:eastAsia="en-US"/>
        </w:rPr>
      </w:pPr>
      <w:r w:rsidRPr="00E8102F">
        <w:rPr>
          <w:rFonts w:ascii="Calibri" w:eastAsia="Calibri" w:hAnsi="Calibri"/>
          <w:bCs/>
          <w:szCs w:val="26"/>
          <w:u w:val="single"/>
          <w:rtl/>
          <w:lang w:eastAsia="en-US"/>
        </w:rPr>
        <w:t>القيود التنظيمية</w:t>
      </w:r>
    </w:p>
    <w:tbl>
      <w:tblPr>
        <w:tblStyle w:val="ListTable4-Accent11"/>
        <w:bidiVisual/>
        <w:tblW w:w="0" w:type="auto"/>
        <w:tblLook w:val="04A0" w:firstRow="1" w:lastRow="0" w:firstColumn="1" w:lastColumn="0" w:noHBand="0" w:noVBand="1"/>
      </w:tblPr>
      <w:tblGrid>
        <w:gridCol w:w="3865"/>
        <w:gridCol w:w="1080"/>
        <w:gridCol w:w="4400"/>
      </w:tblGrid>
      <w:tr w:rsidR="00E8102F" w:rsidRPr="00E8102F" w14:paraId="3B50996C" w14:textId="77777777" w:rsidTr="00E8102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65" w:type="dxa"/>
            <w:shd w:val="clear" w:color="auto" w:fill="1F497D"/>
            <w:vAlign w:val="center"/>
            <w:hideMark/>
          </w:tcPr>
          <w:p w14:paraId="59670A0C" w14:textId="77777777" w:rsidR="00E8102F" w:rsidRPr="00E8102F" w:rsidRDefault="00E8102F" w:rsidP="00E8102F">
            <w:pPr>
              <w:spacing w:before="40" w:after="40"/>
              <w:rPr>
                <w:rFonts w:ascii="Calibri" w:eastAsia="Calibri" w:hAnsi="Calibri"/>
                <w:rtl/>
                <w:lang w:eastAsia="en-US"/>
              </w:rPr>
            </w:pPr>
            <w:r w:rsidRPr="00E8102F">
              <w:rPr>
                <w:rFonts w:ascii="Calibri" w:eastAsia="Calibri" w:hAnsi="Calibri"/>
                <w:rtl/>
                <w:lang w:eastAsia="en-US"/>
              </w:rPr>
              <w:t>التحدي</w:t>
            </w:r>
          </w:p>
        </w:tc>
        <w:tc>
          <w:tcPr>
            <w:tcW w:w="1080" w:type="dxa"/>
            <w:shd w:val="clear" w:color="auto" w:fill="1F497D"/>
            <w:vAlign w:val="center"/>
            <w:hideMark/>
          </w:tcPr>
          <w:p w14:paraId="60F94F64"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عدد مكاتب الملكية الفكرية</w:t>
            </w:r>
          </w:p>
        </w:tc>
        <w:tc>
          <w:tcPr>
            <w:tcW w:w="4400" w:type="dxa"/>
            <w:shd w:val="clear" w:color="auto" w:fill="1F497D"/>
            <w:vAlign w:val="center"/>
            <w:hideMark/>
          </w:tcPr>
          <w:p w14:paraId="576791C8"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التحليل/الملاحظات</w:t>
            </w:r>
          </w:p>
        </w:tc>
      </w:tr>
      <w:tr w:rsidR="00E8102F" w:rsidRPr="00E8102F" w14:paraId="7D1B9433"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65" w:type="dxa"/>
            <w:vAlign w:val="center"/>
            <w:hideMark/>
          </w:tcPr>
          <w:p w14:paraId="1E1A9010"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مكتب الملكية الفكرية لا ينشر أي بيانات للملكية الفكرية</w:t>
            </w:r>
          </w:p>
        </w:tc>
        <w:tc>
          <w:tcPr>
            <w:tcW w:w="1080" w:type="dxa"/>
            <w:vAlign w:val="center"/>
            <w:hideMark/>
          </w:tcPr>
          <w:p w14:paraId="7C1588C1"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‎2</w:t>
            </w:r>
          </w:p>
        </w:tc>
        <w:tc>
          <w:tcPr>
            <w:tcW w:w="4400" w:type="dxa"/>
            <w:vAlign w:val="center"/>
            <w:hideMark/>
          </w:tcPr>
          <w:p w14:paraId="612C573C"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يحدث ذلك بسبب القيود المتعلقة بالسياسات أو القدرات.</w:t>
            </w:r>
          </w:p>
        </w:tc>
      </w:tr>
      <w:tr w:rsidR="00E8102F" w:rsidRPr="00E8102F" w14:paraId="32C233DD"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3865" w:type="dxa"/>
            <w:vAlign w:val="center"/>
            <w:hideMark/>
          </w:tcPr>
          <w:p w14:paraId="26116EF3"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 xml:space="preserve">قلة الموظفين من أجل تحسين الأنظمة </w:t>
            </w:r>
          </w:p>
        </w:tc>
        <w:tc>
          <w:tcPr>
            <w:tcW w:w="1080" w:type="dxa"/>
            <w:vAlign w:val="center"/>
            <w:hideMark/>
          </w:tcPr>
          <w:p w14:paraId="05DA3506"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‎1</w:t>
            </w:r>
          </w:p>
        </w:tc>
        <w:tc>
          <w:tcPr>
            <w:tcW w:w="4400" w:type="dxa"/>
            <w:vAlign w:val="center"/>
            <w:hideMark/>
          </w:tcPr>
          <w:p w14:paraId="1F30EB5E"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يؤثر نقص الموظفين على تحديث عمليات تبادل بيانات الملكية الفكرية.</w:t>
            </w:r>
          </w:p>
        </w:tc>
      </w:tr>
    </w:tbl>
    <w:p w14:paraId="5F4C8065" w14:textId="77777777" w:rsidR="00E8102F" w:rsidRPr="00E8102F" w:rsidRDefault="00E8102F" w:rsidP="00BD3DAD">
      <w:pPr>
        <w:pStyle w:val="Heading2"/>
        <w:rPr>
          <w:rtl/>
        </w:rPr>
      </w:pPr>
      <w:r w:rsidRPr="00E8102F">
        <w:rPr>
          <w:rtl/>
        </w:rPr>
        <w:t>تحديات في جمع بيانات الملكية الفكرية من مكاتب الملكية الفكرية الأخرى</w:t>
      </w:r>
    </w:p>
    <w:p w14:paraId="14E69E1A" w14:textId="77777777" w:rsidR="00E8102F" w:rsidRPr="00E8102F" w:rsidRDefault="00E8102F" w:rsidP="00BD3DAD">
      <w:pPr>
        <w:pStyle w:val="Heading3"/>
        <w:rPr>
          <w:rtl/>
        </w:rPr>
      </w:pPr>
      <w:r w:rsidRPr="00E8102F">
        <w:rPr>
          <w:rtl/>
        </w:rPr>
        <w:t>التحديات التقنية</w:t>
      </w:r>
    </w:p>
    <w:tbl>
      <w:tblPr>
        <w:tblStyle w:val="ListTable4-Accent11"/>
        <w:bidiVisual/>
        <w:tblW w:w="0" w:type="auto"/>
        <w:tblLook w:val="04A0" w:firstRow="1" w:lastRow="0" w:firstColumn="1" w:lastColumn="0" w:noHBand="0" w:noVBand="1"/>
      </w:tblPr>
      <w:tblGrid>
        <w:gridCol w:w="3955"/>
        <w:gridCol w:w="1113"/>
        <w:gridCol w:w="4277"/>
      </w:tblGrid>
      <w:tr w:rsidR="00E8102F" w:rsidRPr="00E8102F" w14:paraId="1B1676FD" w14:textId="77777777" w:rsidTr="00E8102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55" w:type="dxa"/>
            <w:shd w:val="clear" w:color="auto" w:fill="1F497D"/>
            <w:vAlign w:val="center"/>
            <w:hideMark/>
          </w:tcPr>
          <w:p w14:paraId="6E4C0523" w14:textId="77777777" w:rsidR="00E8102F" w:rsidRPr="00E8102F" w:rsidRDefault="00E8102F" w:rsidP="00E8102F">
            <w:pPr>
              <w:spacing w:before="40" w:after="40"/>
              <w:rPr>
                <w:rFonts w:ascii="Calibri" w:eastAsia="Calibri" w:hAnsi="Calibri"/>
                <w:rtl/>
                <w:lang w:eastAsia="en-US"/>
              </w:rPr>
            </w:pPr>
            <w:r w:rsidRPr="00E8102F">
              <w:rPr>
                <w:rFonts w:ascii="Calibri" w:eastAsia="Calibri" w:hAnsi="Calibri"/>
                <w:rtl/>
                <w:lang w:eastAsia="en-US"/>
              </w:rPr>
              <w:t>التحدي</w:t>
            </w:r>
          </w:p>
        </w:tc>
        <w:tc>
          <w:tcPr>
            <w:tcW w:w="1113" w:type="dxa"/>
            <w:shd w:val="clear" w:color="auto" w:fill="1F497D"/>
            <w:vAlign w:val="center"/>
            <w:hideMark/>
          </w:tcPr>
          <w:p w14:paraId="756E0AAB"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عدد مكاتب الملكية الفكرية</w:t>
            </w:r>
          </w:p>
        </w:tc>
        <w:tc>
          <w:tcPr>
            <w:tcW w:w="4277" w:type="dxa"/>
            <w:shd w:val="clear" w:color="auto" w:fill="1F497D"/>
            <w:vAlign w:val="center"/>
            <w:hideMark/>
          </w:tcPr>
          <w:p w14:paraId="199C452C"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التحليل/الملاحظات</w:t>
            </w:r>
          </w:p>
        </w:tc>
      </w:tr>
      <w:tr w:rsidR="00E8102F" w:rsidRPr="00E8102F" w14:paraId="40F315A9"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47DF7EC2"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أنساق غير موحدة/غير مألوفة</w:t>
            </w:r>
          </w:p>
        </w:tc>
        <w:tc>
          <w:tcPr>
            <w:tcW w:w="1113" w:type="dxa"/>
            <w:vAlign w:val="center"/>
            <w:hideMark/>
          </w:tcPr>
          <w:p w14:paraId="640EB0D1"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‎4</w:t>
            </w:r>
          </w:p>
        </w:tc>
        <w:tc>
          <w:tcPr>
            <w:tcW w:w="4277" w:type="dxa"/>
            <w:vAlign w:val="center"/>
            <w:hideMark/>
          </w:tcPr>
          <w:p w14:paraId="22A221B0"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يحد من المعالجة التلقائية والتكامل.</w:t>
            </w:r>
          </w:p>
        </w:tc>
      </w:tr>
      <w:tr w:rsidR="00E8102F" w:rsidRPr="00E8102F" w14:paraId="749A3F10"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4892BB20"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بيانات رديئة الجودة (مثل العلامات الخاطئة في لغة الترميز الموسّعة)</w:t>
            </w:r>
          </w:p>
        </w:tc>
        <w:tc>
          <w:tcPr>
            <w:tcW w:w="1113" w:type="dxa"/>
            <w:vAlign w:val="center"/>
            <w:hideMark/>
          </w:tcPr>
          <w:p w14:paraId="4021A672"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‎2</w:t>
            </w:r>
          </w:p>
        </w:tc>
        <w:tc>
          <w:tcPr>
            <w:tcW w:w="4277" w:type="dxa"/>
            <w:vAlign w:val="center"/>
            <w:hideMark/>
          </w:tcPr>
          <w:p w14:paraId="65FB4BDD"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يؤثر على قابلية الاستخدام والتشغيل الآلي في المراحل النهائية.</w:t>
            </w:r>
          </w:p>
        </w:tc>
      </w:tr>
      <w:tr w:rsidR="00E8102F" w:rsidRPr="00E8102F" w14:paraId="11025CF1"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5C724A96"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قلة موارد تكنولوجيا المعلومات في مكاتب الملكية الفكرية الشريكة</w:t>
            </w:r>
          </w:p>
        </w:tc>
        <w:tc>
          <w:tcPr>
            <w:tcW w:w="1113" w:type="dxa"/>
            <w:vAlign w:val="center"/>
            <w:hideMark/>
          </w:tcPr>
          <w:p w14:paraId="27A44D69"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‎4</w:t>
            </w:r>
          </w:p>
        </w:tc>
        <w:tc>
          <w:tcPr>
            <w:tcW w:w="4277" w:type="dxa"/>
            <w:vAlign w:val="center"/>
            <w:hideMark/>
          </w:tcPr>
          <w:p w14:paraId="653A84B7"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يعكس نضجاً متفاوتاً في النظم العالمية للملكية الفكرية.</w:t>
            </w:r>
          </w:p>
        </w:tc>
      </w:tr>
      <w:tr w:rsidR="00E8102F" w:rsidRPr="00E8102F" w14:paraId="02219646"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22B431B7"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 xml:space="preserve">الموثوقية التقنية للأنظمة (مثل نظام </w:t>
            </w:r>
            <w:r w:rsidRPr="00E8102F">
              <w:rPr>
                <w:rFonts w:ascii="Calibri" w:eastAsia="Calibri" w:hAnsi="Calibri"/>
                <w:b w:val="0"/>
                <w:bCs w:val="0"/>
                <w:lang w:eastAsia="en-US"/>
              </w:rPr>
              <w:t>WIPO CASE</w:t>
            </w:r>
            <w:r w:rsidRPr="00E8102F">
              <w:rPr>
                <w:rFonts w:ascii="Calibri" w:eastAsia="Calibri" w:hAnsi="Calibri"/>
                <w:b w:val="0"/>
                <w:bCs w:val="0"/>
                <w:rtl/>
                <w:lang w:eastAsia="en-US"/>
              </w:rPr>
              <w:t>)</w:t>
            </w:r>
          </w:p>
        </w:tc>
        <w:tc>
          <w:tcPr>
            <w:tcW w:w="1113" w:type="dxa"/>
            <w:vAlign w:val="center"/>
            <w:hideMark/>
          </w:tcPr>
          <w:p w14:paraId="75E3FABD"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‎1</w:t>
            </w:r>
          </w:p>
        </w:tc>
        <w:tc>
          <w:tcPr>
            <w:tcW w:w="4277" w:type="dxa"/>
            <w:vAlign w:val="center"/>
            <w:hideMark/>
          </w:tcPr>
          <w:p w14:paraId="46172CE1"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يشير إلى الحاجة إلى تحسين البنية التحتية أو الصيانة.</w:t>
            </w:r>
          </w:p>
        </w:tc>
      </w:tr>
    </w:tbl>
    <w:p w14:paraId="5D8EA96F" w14:textId="77777777" w:rsidR="00E8102F" w:rsidRPr="00E8102F" w:rsidRDefault="00E8102F" w:rsidP="00E8102F">
      <w:pPr>
        <w:keepNext/>
        <w:keepLines/>
        <w:bidi w:val="0"/>
        <w:spacing w:before="240" w:after="60"/>
        <w:outlineLvl w:val="2"/>
        <w:rPr>
          <w:rFonts w:ascii="Calibri" w:eastAsia="Calibri" w:hAnsi="Calibri"/>
          <w:bCs/>
          <w:szCs w:val="26"/>
          <w:u w:val="single"/>
          <w:lang w:eastAsia="en-US"/>
        </w:rPr>
      </w:pPr>
    </w:p>
    <w:p w14:paraId="4506F565" w14:textId="77777777" w:rsidR="00E8102F" w:rsidRPr="00E8102F" w:rsidRDefault="00E8102F" w:rsidP="00E8102F">
      <w:pPr>
        <w:rPr>
          <w:rFonts w:ascii="Calibri" w:eastAsia="Calibri" w:hAnsi="Calibri"/>
          <w:bCs/>
          <w:szCs w:val="26"/>
          <w:u w:val="single"/>
          <w:rtl/>
          <w:lang w:eastAsia="en-US"/>
        </w:rPr>
      </w:pPr>
      <w:r w:rsidRPr="00E8102F">
        <w:rPr>
          <w:rFonts w:ascii="Calibri" w:eastAsia="Calibri" w:hAnsi="Calibri"/>
          <w:rtl/>
          <w:lang w:eastAsia="en-US"/>
        </w:rPr>
        <w:br w:type="page"/>
      </w:r>
    </w:p>
    <w:p w14:paraId="37010E04" w14:textId="77777777" w:rsidR="00E8102F" w:rsidRPr="00E8102F" w:rsidRDefault="00E8102F" w:rsidP="00BD3DAD">
      <w:pPr>
        <w:pStyle w:val="Heading3"/>
        <w:rPr>
          <w:rtl/>
        </w:rPr>
      </w:pPr>
      <w:r w:rsidRPr="00E8102F">
        <w:rPr>
          <w:rtl/>
        </w:rPr>
        <w:t>التحديات القانونية والسياساتية</w:t>
      </w:r>
    </w:p>
    <w:tbl>
      <w:tblPr>
        <w:tblStyle w:val="ListTable4-Accent11"/>
        <w:bidiVisual/>
        <w:tblW w:w="0" w:type="auto"/>
        <w:tblLook w:val="04A0" w:firstRow="1" w:lastRow="0" w:firstColumn="1" w:lastColumn="0" w:noHBand="0" w:noVBand="1"/>
      </w:tblPr>
      <w:tblGrid>
        <w:gridCol w:w="3955"/>
        <w:gridCol w:w="1080"/>
        <w:gridCol w:w="4310"/>
      </w:tblGrid>
      <w:tr w:rsidR="00E8102F" w:rsidRPr="00E8102F" w14:paraId="555E17E8" w14:textId="77777777" w:rsidTr="00E8102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55" w:type="dxa"/>
            <w:shd w:val="clear" w:color="auto" w:fill="1F497D"/>
            <w:vAlign w:val="center"/>
            <w:hideMark/>
          </w:tcPr>
          <w:p w14:paraId="3E837FA0" w14:textId="77777777" w:rsidR="00E8102F" w:rsidRPr="00E8102F" w:rsidRDefault="00E8102F" w:rsidP="00E8102F">
            <w:pPr>
              <w:keepNext/>
              <w:keepLines/>
              <w:spacing w:before="40" w:after="40"/>
              <w:rPr>
                <w:rFonts w:ascii="Calibri" w:eastAsia="Calibri" w:hAnsi="Calibri"/>
                <w:rtl/>
                <w:lang w:eastAsia="en-US"/>
              </w:rPr>
            </w:pPr>
            <w:r w:rsidRPr="00E8102F">
              <w:rPr>
                <w:rFonts w:ascii="Calibri" w:eastAsia="Calibri" w:hAnsi="Calibri"/>
                <w:rtl/>
                <w:lang w:eastAsia="en-US"/>
              </w:rPr>
              <w:t>التحدي</w:t>
            </w:r>
          </w:p>
        </w:tc>
        <w:tc>
          <w:tcPr>
            <w:tcW w:w="1080" w:type="dxa"/>
            <w:shd w:val="clear" w:color="auto" w:fill="1F497D"/>
            <w:vAlign w:val="center"/>
            <w:hideMark/>
          </w:tcPr>
          <w:p w14:paraId="55C4049A"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عدد مكاتب الملكية الفكرية</w:t>
            </w:r>
          </w:p>
        </w:tc>
        <w:tc>
          <w:tcPr>
            <w:tcW w:w="4310" w:type="dxa"/>
            <w:shd w:val="clear" w:color="auto" w:fill="1F497D"/>
            <w:vAlign w:val="center"/>
            <w:hideMark/>
          </w:tcPr>
          <w:p w14:paraId="5BF15BDD"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التحليل/ملاحظات</w:t>
            </w:r>
          </w:p>
        </w:tc>
      </w:tr>
      <w:tr w:rsidR="00E8102F" w:rsidRPr="00E8102F" w14:paraId="67B2727A"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15C80B55"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الشواغل القانونية (إعادة التوزيع، وتصحيح الأخطاء)</w:t>
            </w:r>
          </w:p>
        </w:tc>
        <w:tc>
          <w:tcPr>
            <w:tcW w:w="1080" w:type="dxa"/>
            <w:vAlign w:val="center"/>
            <w:hideMark/>
          </w:tcPr>
          <w:p w14:paraId="36676C82"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‎4</w:t>
            </w:r>
          </w:p>
        </w:tc>
        <w:tc>
          <w:tcPr>
            <w:tcW w:w="4310" w:type="dxa"/>
            <w:vAlign w:val="center"/>
            <w:hideMark/>
          </w:tcPr>
          <w:p w14:paraId="38BA8CA5"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القيود المفروضة على الطريقة التي يمكن بها استخدام بيانات الملكية الفكرية أو تعديلها تحد من الشفافية وإعادة الاستخدام.</w:t>
            </w:r>
          </w:p>
        </w:tc>
      </w:tr>
      <w:tr w:rsidR="00E8102F" w:rsidRPr="00E8102F" w14:paraId="1F995244"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43DE98AC"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قيود الاستضافة خارج الولاية القضائية لمكتب الملكية الفكرية</w:t>
            </w:r>
          </w:p>
        </w:tc>
        <w:tc>
          <w:tcPr>
            <w:tcW w:w="1080" w:type="dxa"/>
            <w:vAlign w:val="center"/>
            <w:hideMark/>
          </w:tcPr>
          <w:p w14:paraId="4D93DCF8"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‎4</w:t>
            </w:r>
          </w:p>
        </w:tc>
        <w:tc>
          <w:tcPr>
            <w:tcW w:w="4310" w:type="dxa"/>
            <w:vAlign w:val="center"/>
            <w:hideMark/>
          </w:tcPr>
          <w:p w14:paraId="3C90F1CE"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على غرار التحديات المتعلقة بمشاركة بيانات الملكية الفكرية، تفرض قوانين البيانات السحابية والبيانات عبر الحدود حواجز كبيرة أمام استضافة البيانات الخارجية.</w:t>
            </w:r>
          </w:p>
        </w:tc>
      </w:tr>
      <w:tr w:rsidR="00E8102F" w:rsidRPr="00E8102F" w14:paraId="352C21EE"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55" w:type="dxa"/>
            <w:vAlign w:val="center"/>
            <w:hideMark/>
          </w:tcPr>
          <w:p w14:paraId="57F5B9CB" w14:textId="360BD766"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اللوائح التنظيمية لحماية البيانات (مثل النظام الأوروبي لحماية البيانات العامة</w:t>
            </w:r>
            <w:r w:rsidR="00055175">
              <w:rPr>
                <w:rFonts w:ascii="Calibri" w:eastAsia="Calibri" w:hAnsi="Calibri" w:hint="cs"/>
                <w:b w:val="0"/>
                <w:bCs w:val="0"/>
                <w:rtl/>
                <w:lang w:eastAsia="en-US"/>
              </w:rPr>
              <w:t xml:space="preserve"> </w:t>
            </w:r>
            <w:r w:rsidRPr="00E8102F">
              <w:rPr>
                <w:rFonts w:ascii="Calibri" w:eastAsia="Calibri" w:hAnsi="Calibri"/>
                <w:b w:val="0"/>
                <w:bCs w:val="0"/>
                <w:lang w:eastAsia="en-US"/>
              </w:rPr>
              <w:t>(GDPR)</w:t>
            </w:r>
            <w:r w:rsidRPr="00E8102F">
              <w:rPr>
                <w:rFonts w:ascii="Calibri" w:eastAsia="Calibri" w:hAnsi="Calibri"/>
                <w:b w:val="0"/>
                <w:bCs w:val="0"/>
                <w:rtl/>
                <w:lang w:eastAsia="en-US"/>
              </w:rPr>
              <w:t>)</w:t>
            </w:r>
          </w:p>
        </w:tc>
        <w:tc>
          <w:tcPr>
            <w:tcW w:w="1080" w:type="dxa"/>
            <w:vAlign w:val="center"/>
            <w:hideMark/>
          </w:tcPr>
          <w:p w14:paraId="08E57857"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‎2</w:t>
            </w:r>
            <w:r w:rsidRPr="00E8102F">
              <w:rPr>
                <w:rFonts w:ascii="Calibri" w:eastAsia="Calibri" w:hAnsi="Calibri"/>
                <w:rtl/>
                <w:lang w:eastAsia="en-US"/>
              </w:rPr>
              <w:t xml:space="preserve"> </w:t>
            </w:r>
          </w:p>
        </w:tc>
        <w:tc>
          <w:tcPr>
            <w:tcW w:w="4310" w:type="dxa"/>
            <w:vAlign w:val="center"/>
            <w:hideMark/>
          </w:tcPr>
          <w:p w14:paraId="6646620B"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تفرض اللوائح التنظيمية مثل النظام الأوروبي لحماية البيانات العامة قواعد صارمة على النفاذ إلى بيانات الملكية الفكرية واستخدامها، وخاصة على البيانات الشخصية أو الحساسة.</w:t>
            </w:r>
          </w:p>
        </w:tc>
      </w:tr>
    </w:tbl>
    <w:p w14:paraId="791E6A72" w14:textId="77777777" w:rsidR="00E8102F" w:rsidRPr="00E8102F" w:rsidRDefault="00E8102F" w:rsidP="00BD3DAD">
      <w:pPr>
        <w:pStyle w:val="Heading3"/>
        <w:rPr>
          <w:rtl/>
        </w:rPr>
      </w:pPr>
      <w:r w:rsidRPr="00E8102F">
        <w:rPr>
          <w:rtl/>
        </w:rPr>
        <w:t>مسائل تشغيلية وتنسيقية</w:t>
      </w:r>
    </w:p>
    <w:tbl>
      <w:tblPr>
        <w:tblStyle w:val="ListTable4-Accent11"/>
        <w:bidiVisual/>
        <w:tblW w:w="0" w:type="auto"/>
        <w:tblLook w:val="04A0" w:firstRow="1" w:lastRow="0" w:firstColumn="1" w:lastColumn="0" w:noHBand="0" w:noVBand="1"/>
      </w:tblPr>
      <w:tblGrid>
        <w:gridCol w:w="3865"/>
        <w:gridCol w:w="1080"/>
        <w:gridCol w:w="4400"/>
      </w:tblGrid>
      <w:tr w:rsidR="00E8102F" w:rsidRPr="00E8102F" w14:paraId="5907ABE8" w14:textId="77777777" w:rsidTr="00E8102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65" w:type="dxa"/>
            <w:shd w:val="clear" w:color="auto" w:fill="1F497D"/>
            <w:vAlign w:val="center"/>
            <w:hideMark/>
          </w:tcPr>
          <w:p w14:paraId="1EE68017" w14:textId="77777777" w:rsidR="00E8102F" w:rsidRPr="00E8102F" w:rsidRDefault="00E8102F" w:rsidP="00E8102F">
            <w:pPr>
              <w:spacing w:before="40" w:after="40"/>
              <w:rPr>
                <w:rFonts w:ascii="Calibri" w:eastAsia="Calibri" w:hAnsi="Calibri"/>
                <w:rtl/>
                <w:lang w:eastAsia="en-US"/>
              </w:rPr>
            </w:pPr>
            <w:r w:rsidRPr="00E8102F">
              <w:rPr>
                <w:rFonts w:ascii="Calibri" w:eastAsia="Calibri" w:hAnsi="Calibri"/>
                <w:rtl/>
                <w:lang w:eastAsia="en-US"/>
              </w:rPr>
              <w:t>التحدي</w:t>
            </w:r>
          </w:p>
        </w:tc>
        <w:tc>
          <w:tcPr>
            <w:tcW w:w="1080" w:type="dxa"/>
            <w:shd w:val="clear" w:color="auto" w:fill="1F497D"/>
            <w:vAlign w:val="center"/>
            <w:hideMark/>
          </w:tcPr>
          <w:p w14:paraId="0BCCC2C2"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عدد مكاتب الملكية الفكرية</w:t>
            </w:r>
          </w:p>
        </w:tc>
        <w:tc>
          <w:tcPr>
            <w:tcW w:w="4400" w:type="dxa"/>
            <w:shd w:val="clear" w:color="auto" w:fill="1F497D"/>
            <w:vAlign w:val="center"/>
            <w:hideMark/>
          </w:tcPr>
          <w:p w14:paraId="49583C21"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التحليل/الملاحظات</w:t>
            </w:r>
          </w:p>
        </w:tc>
      </w:tr>
      <w:tr w:rsidR="00E8102F" w:rsidRPr="00E8102F" w14:paraId="127F05AB"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65" w:type="dxa"/>
            <w:vAlign w:val="center"/>
            <w:hideMark/>
          </w:tcPr>
          <w:p w14:paraId="165ACF08"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مجموعات بيانات غير مكتملة</w:t>
            </w:r>
          </w:p>
        </w:tc>
        <w:tc>
          <w:tcPr>
            <w:tcW w:w="1080" w:type="dxa"/>
            <w:vAlign w:val="center"/>
            <w:hideMark/>
          </w:tcPr>
          <w:p w14:paraId="34C52107"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‎5</w:t>
            </w:r>
          </w:p>
        </w:tc>
        <w:tc>
          <w:tcPr>
            <w:tcW w:w="4400" w:type="dxa"/>
            <w:vAlign w:val="center"/>
            <w:hideMark/>
          </w:tcPr>
          <w:p w14:paraId="0990C916"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قد يعكس الترشيح المتعمد أو الافتقار إلى مجموعات بيانات موحدة للملكية الفكرية.</w:t>
            </w:r>
          </w:p>
        </w:tc>
      </w:tr>
      <w:tr w:rsidR="00E8102F" w:rsidRPr="00E8102F" w14:paraId="49E0B292"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3865" w:type="dxa"/>
            <w:vAlign w:val="center"/>
            <w:hideMark/>
          </w:tcPr>
          <w:p w14:paraId="2E093F33"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تسليم البيانات بشكل غير متواتر</w:t>
            </w:r>
          </w:p>
        </w:tc>
        <w:tc>
          <w:tcPr>
            <w:tcW w:w="1080" w:type="dxa"/>
            <w:vAlign w:val="center"/>
            <w:hideMark/>
          </w:tcPr>
          <w:p w14:paraId="33CA4558"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‎4</w:t>
            </w:r>
          </w:p>
        </w:tc>
        <w:tc>
          <w:tcPr>
            <w:tcW w:w="4400" w:type="dxa"/>
            <w:vAlign w:val="center"/>
            <w:hideMark/>
          </w:tcPr>
          <w:p w14:paraId="71D3152F"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التحديثات غير المتوقعة تعطّل التشغيل التلقائي وتقلّل من موثوقية البيانات.</w:t>
            </w:r>
          </w:p>
        </w:tc>
      </w:tr>
      <w:tr w:rsidR="00E8102F" w:rsidRPr="00E8102F" w14:paraId="5A8480DC"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65" w:type="dxa"/>
            <w:vAlign w:val="center"/>
            <w:hideMark/>
          </w:tcPr>
          <w:p w14:paraId="4C2F66AD"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التوقف المفاجئ دون إشعار مسبق</w:t>
            </w:r>
          </w:p>
        </w:tc>
        <w:tc>
          <w:tcPr>
            <w:tcW w:w="1080" w:type="dxa"/>
            <w:vAlign w:val="center"/>
            <w:hideMark/>
          </w:tcPr>
          <w:p w14:paraId="5182DA4E"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‎3</w:t>
            </w:r>
          </w:p>
        </w:tc>
        <w:tc>
          <w:tcPr>
            <w:tcW w:w="4400" w:type="dxa"/>
            <w:vAlign w:val="center"/>
            <w:hideMark/>
          </w:tcPr>
          <w:p w14:paraId="23FDCBE9"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vanish/>
                <w:rtl/>
                <w:lang w:eastAsia="en-US"/>
              </w:rPr>
            </w:pPr>
            <w:r w:rsidRPr="00E8102F">
              <w:rPr>
                <w:rFonts w:ascii="Calibri" w:eastAsia="Calibri" w:hAnsi="Calibri"/>
                <w:rtl/>
                <w:lang w:eastAsia="en-US"/>
              </w:rPr>
              <w:t>يشير إلى ضعف التنسيق وقلة التواصل بين المكاتب.</w:t>
            </w:r>
          </w:p>
        </w:tc>
      </w:tr>
      <w:tr w:rsidR="00E8102F" w:rsidRPr="00E8102F" w14:paraId="3CED1905"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3865" w:type="dxa"/>
            <w:vAlign w:val="center"/>
            <w:hideMark/>
          </w:tcPr>
          <w:p w14:paraId="2850623F"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الاختلافات المتعلقة بتسويق البيانات</w:t>
            </w:r>
          </w:p>
        </w:tc>
        <w:tc>
          <w:tcPr>
            <w:tcW w:w="1080" w:type="dxa"/>
            <w:vAlign w:val="center"/>
            <w:hideMark/>
          </w:tcPr>
          <w:p w14:paraId="2ED5DB10"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‎3</w:t>
            </w:r>
          </w:p>
        </w:tc>
        <w:tc>
          <w:tcPr>
            <w:tcW w:w="4400" w:type="dxa"/>
            <w:vAlign w:val="center"/>
            <w:hideMark/>
          </w:tcPr>
          <w:p w14:paraId="5D41B5EC"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هناك مشاكل بسبب وجهات النظر المتضاربة حول ما إذا كان ينبغي للبيانات أن تكون مجانية أو تحويلها إلى قيمة نقدية.</w:t>
            </w:r>
          </w:p>
        </w:tc>
      </w:tr>
      <w:tr w:rsidR="00E8102F" w:rsidRPr="00E8102F" w14:paraId="0FC06A4E"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65" w:type="dxa"/>
            <w:vAlign w:val="center"/>
            <w:hideMark/>
          </w:tcPr>
          <w:p w14:paraId="6EE59913"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عدم جمع البيانات من المكاتب الأخرى</w:t>
            </w:r>
          </w:p>
        </w:tc>
        <w:tc>
          <w:tcPr>
            <w:tcW w:w="1080" w:type="dxa"/>
            <w:vAlign w:val="center"/>
            <w:hideMark/>
          </w:tcPr>
          <w:p w14:paraId="792E59F2"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lang w:eastAsia="en-US"/>
              </w:rPr>
              <w:t>‎5</w:t>
            </w:r>
          </w:p>
        </w:tc>
        <w:tc>
          <w:tcPr>
            <w:tcW w:w="4400" w:type="dxa"/>
            <w:vAlign w:val="center"/>
            <w:hideMark/>
          </w:tcPr>
          <w:p w14:paraId="023D966C"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قد تكون المكاتب معزولة أو ليس لديها اتفاقات لتلقي البيانات من المكاتب الأخرى.</w:t>
            </w:r>
          </w:p>
        </w:tc>
      </w:tr>
    </w:tbl>
    <w:p w14:paraId="63BAE73C" w14:textId="77777777" w:rsidR="00E8102F" w:rsidRPr="00E8102F" w:rsidRDefault="00E8102F" w:rsidP="00BD3DAD">
      <w:pPr>
        <w:pStyle w:val="Heading3"/>
        <w:rPr>
          <w:rtl/>
        </w:rPr>
      </w:pPr>
      <w:r w:rsidRPr="00E8102F">
        <w:rPr>
          <w:rtl/>
        </w:rPr>
        <w:t>التحديات الاستراتيجية والتحديات الأخرى</w:t>
      </w:r>
    </w:p>
    <w:tbl>
      <w:tblPr>
        <w:tblStyle w:val="ListTable4-Accent11"/>
        <w:bidiVisual/>
        <w:tblW w:w="0" w:type="auto"/>
        <w:tblLook w:val="04A0" w:firstRow="1" w:lastRow="0" w:firstColumn="1" w:lastColumn="0" w:noHBand="0" w:noVBand="1"/>
      </w:tblPr>
      <w:tblGrid>
        <w:gridCol w:w="3775"/>
        <w:gridCol w:w="5570"/>
      </w:tblGrid>
      <w:tr w:rsidR="00E8102F" w:rsidRPr="00E8102F" w14:paraId="73E928F2" w14:textId="77777777" w:rsidTr="00E8102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75" w:type="dxa"/>
            <w:shd w:val="clear" w:color="auto" w:fill="1F497D"/>
            <w:hideMark/>
          </w:tcPr>
          <w:p w14:paraId="1445E2C8" w14:textId="77777777" w:rsidR="00E8102F" w:rsidRPr="00E8102F" w:rsidRDefault="00E8102F" w:rsidP="00E8102F">
            <w:pPr>
              <w:spacing w:before="40" w:after="40"/>
              <w:rPr>
                <w:rFonts w:ascii="Calibri" w:eastAsia="Calibri" w:hAnsi="Calibri"/>
                <w:rtl/>
                <w:lang w:eastAsia="en-US"/>
              </w:rPr>
            </w:pPr>
            <w:r w:rsidRPr="00E8102F">
              <w:rPr>
                <w:rFonts w:ascii="Calibri" w:eastAsia="Calibri" w:hAnsi="Calibri"/>
                <w:rtl/>
                <w:lang w:eastAsia="en-US"/>
              </w:rPr>
              <w:t>التحدي</w:t>
            </w:r>
          </w:p>
        </w:tc>
        <w:tc>
          <w:tcPr>
            <w:tcW w:w="5570" w:type="dxa"/>
            <w:shd w:val="clear" w:color="auto" w:fill="1F497D"/>
            <w:hideMark/>
          </w:tcPr>
          <w:p w14:paraId="5819E168"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التحليل/الملاحظات</w:t>
            </w:r>
          </w:p>
        </w:tc>
      </w:tr>
      <w:tr w:rsidR="00E8102F" w:rsidRPr="00E8102F" w14:paraId="5E0BD8A4"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75" w:type="dxa"/>
            <w:hideMark/>
          </w:tcPr>
          <w:p w14:paraId="52D4C7C5"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حوكمة البيانات وسياسات النفاذ</w:t>
            </w:r>
          </w:p>
        </w:tc>
        <w:tc>
          <w:tcPr>
            <w:tcW w:w="5570" w:type="dxa"/>
            <w:hideMark/>
          </w:tcPr>
          <w:p w14:paraId="4800B425"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الافتقار إلى الوضوح بشأن من يمكنه استخدام البيانات، وكيف يمكن تخزينها، وحقوق النشر.</w:t>
            </w:r>
          </w:p>
        </w:tc>
      </w:tr>
      <w:tr w:rsidR="00E8102F" w:rsidRPr="00E8102F" w14:paraId="4C1CA393"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3775" w:type="dxa"/>
            <w:hideMark/>
          </w:tcPr>
          <w:p w14:paraId="0782E652"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مدى اكتمال البيانات</w:t>
            </w:r>
          </w:p>
        </w:tc>
        <w:tc>
          <w:tcPr>
            <w:tcW w:w="5570" w:type="dxa"/>
            <w:hideMark/>
          </w:tcPr>
          <w:p w14:paraId="43CA89FE"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تقيّد السجلات غير المكتملة من مدى فائدة البيانات المشاركة.</w:t>
            </w:r>
          </w:p>
        </w:tc>
      </w:tr>
      <w:tr w:rsidR="00E8102F" w:rsidRPr="00E8102F" w14:paraId="708A0FF1"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75" w:type="dxa"/>
            <w:hideMark/>
          </w:tcPr>
          <w:p w14:paraId="01BC1121"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مشاكل قاموس البيانات</w:t>
            </w:r>
          </w:p>
        </w:tc>
        <w:tc>
          <w:tcPr>
            <w:tcW w:w="5570" w:type="dxa"/>
            <w:hideMark/>
          </w:tcPr>
          <w:p w14:paraId="26E9C07C"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يحدّ من قابلية التشغيل البيني بسبب الافتقار إلى التعريفات/الهياكل المشتركة.</w:t>
            </w:r>
          </w:p>
        </w:tc>
      </w:tr>
    </w:tbl>
    <w:p w14:paraId="4AA2F310" w14:textId="77777777" w:rsidR="00DB47AF" w:rsidRDefault="00DB47AF" w:rsidP="00DB47AF">
      <w:pPr>
        <w:pStyle w:val="BodyText"/>
        <w:rPr>
          <w:rtl/>
        </w:rPr>
      </w:pPr>
    </w:p>
    <w:p w14:paraId="696CAECD" w14:textId="77777777" w:rsidR="00DB47AF" w:rsidRDefault="00DB47AF">
      <w:pPr>
        <w:bidi w:val="0"/>
        <w:rPr>
          <w:b/>
          <w:i/>
          <w:caps/>
          <w:sz w:val="24"/>
          <w:szCs w:val="24"/>
          <w:rtl/>
          <w:lang w:eastAsia="en-US"/>
        </w:rPr>
      </w:pPr>
      <w:r>
        <w:rPr>
          <w:rtl/>
        </w:rPr>
        <w:br w:type="page"/>
      </w:r>
    </w:p>
    <w:p w14:paraId="7B92788C" w14:textId="68539449" w:rsidR="00E8102F" w:rsidRPr="00E8102F" w:rsidRDefault="00E8102F" w:rsidP="00BD3DAD">
      <w:pPr>
        <w:pStyle w:val="Heading2"/>
        <w:rPr>
          <w:rtl/>
        </w:rPr>
      </w:pPr>
      <w:r w:rsidRPr="00E8102F">
        <w:rPr>
          <w:rtl/>
        </w:rPr>
        <w:t>المسائل والنتائج الرئيسية</w:t>
      </w:r>
    </w:p>
    <w:p w14:paraId="3D27978F" w14:textId="77777777" w:rsidR="00E8102F" w:rsidRPr="00E8102F" w:rsidRDefault="00E8102F" w:rsidP="00BD3DAD">
      <w:pPr>
        <w:pStyle w:val="ONUMA"/>
        <w:rPr>
          <w:rFonts w:eastAsia="Calibri"/>
          <w:rtl/>
        </w:rPr>
      </w:pPr>
      <w:r w:rsidRPr="00E8102F">
        <w:rPr>
          <w:rFonts w:eastAsia="Calibri"/>
          <w:rtl/>
        </w:rPr>
        <w:t>هيمنة المشاكل المتعلقة بقابلية التشغيل البيني والجودة الرديئة للبيانات</w:t>
      </w:r>
    </w:p>
    <w:p w14:paraId="32EE16CD" w14:textId="77777777" w:rsidR="00E8102F" w:rsidRPr="00E8102F" w:rsidRDefault="00E8102F" w:rsidP="00E8102F">
      <w:pPr>
        <w:numPr>
          <w:ilvl w:val="0"/>
          <w:numId w:val="36"/>
        </w:numPr>
        <w:spacing w:before="180" w:after="220"/>
        <w:ind w:left="935" w:hanging="357"/>
        <w:rPr>
          <w:rFonts w:ascii="Calibri" w:eastAsia="Calibri" w:hAnsi="Calibri"/>
          <w:rtl/>
          <w:lang w:eastAsia="en-US"/>
        </w:rPr>
      </w:pPr>
      <w:r w:rsidRPr="00E8102F">
        <w:rPr>
          <w:rFonts w:ascii="Calibri" w:eastAsia="Calibri" w:hAnsi="Calibri"/>
          <w:rtl/>
          <w:lang w:eastAsia="en-US"/>
        </w:rPr>
        <w:t>الأنساق غير الموحدة والجودة الرديئة للبيانات لا تزال موجودة وتمنع التكامل السلس؛</w:t>
      </w:r>
    </w:p>
    <w:p w14:paraId="72ED85BE" w14:textId="77777777" w:rsidR="00E8102F" w:rsidRPr="00E8102F" w:rsidRDefault="00E8102F" w:rsidP="00E8102F">
      <w:pPr>
        <w:numPr>
          <w:ilvl w:val="0"/>
          <w:numId w:val="36"/>
        </w:numPr>
        <w:spacing w:before="180" w:after="220"/>
        <w:ind w:left="935" w:hanging="357"/>
        <w:rPr>
          <w:rFonts w:ascii="Calibri" w:eastAsia="Calibri" w:hAnsi="Calibri"/>
          <w:rtl/>
          <w:lang w:eastAsia="en-US"/>
        </w:rPr>
      </w:pPr>
      <w:r w:rsidRPr="00E8102F">
        <w:rPr>
          <w:rFonts w:ascii="Calibri" w:eastAsia="Calibri" w:hAnsi="Calibri"/>
          <w:rtl/>
          <w:lang w:eastAsia="en-US"/>
        </w:rPr>
        <w:t>والسجلات غير المكتملة تقيّد من مدى فائدة البيانات المشاركة؛</w:t>
      </w:r>
    </w:p>
    <w:p w14:paraId="1D30D0F9" w14:textId="77777777" w:rsidR="00E8102F" w:rsidRPr="00E8102F" w:rsidRDefault="00E8102F" w:rsidP="00E8102F">
      <w:pPr>
        <w:numPr>
          <w:ilvl w:val="0"/>
          <w:numId w:val="36"/>
        </w:numPr>
        <w:spacing w:before="180" w:after="220"/>
        <w:ind w:left="935" w:hanging="357"/>
        <w:rPr>
          <w:rFonts w:ascii="Calibri" w:eastAsia="Calibri" w:hAnsi="Calibri"/>
          <w:rtl/>
          <w:lang w:eastAsia="en-US"/>
        </w:rPr>
      </w:pPr>
      <w:r w:rsidRPr="00E8102F">
        <w:rPr>
          <w:rFonts w:ascii="Calibri" w:eastAsia="Calibri" w:hAnsi="Calibri"/>
          <w:rtl/>
          <w:lang w:eastAsia="en-US"/>
        </w:rPr>
        <w:t>والافتقار إلى الوضوح بشأن من يمكنه استخدام البيانات، وكيف يمكن تخزينها، وحقوق النشر؛</w:t>
      </w:r>
    </w:p>
    <w:p w14:paraId="74CD992D" w14:textId="77777777" w:rsidR="00E8102F" w:rsidRPr="00E8102F" w:rsidRDefault="00E8102F" w:rsidP="00E8102F">
      <w:pPr>
        <w:numPr>
          <w:ilvl w:val="0"/>
          <w:numId w:val="36"/>
        </w:numPr>
        <w:spacing w:before="180" w:after="220"/>
        <w:ind w:left="935" w:hanging="357"/>
        <w:rPr>
          <w:rFonts w:ascii="Calibri" w:eastAsia="Calibri" w:hAnsi="Calibri"/>
          <w:rtl/>
          <w:lang w:eastAsia="en-US"/>
        </w:rPr>
      </w:pPr>
      <w:r w:rsidRPr="00E8102F">
        <w:rPr>
          <w:rFonts w:ascii="Calibri" w:eastAsia="Calibri" w:hAnsi="Calibri"/>
          <w:rtl/>
          <w:lang w:eastAsia="en-US"/>
        </w:rPr>
        <w:t>وتسليم البيانات بشكل غير متواتر؛</w:t>
      </w:r>
    </w:p>
    <w:p w14:paraId="0E7A4072" w14:textId="77777777" w:rsidR="00E8102F" w:rsidRPr="00E8102F" w:rsidRDefault="00E8102F" w:rsidP="00E8102F">
      <w:pPr>
        <w:numPr>
          <w:ilvl w:val="0"/>
          <w:numId w:val="36"/>
        </w:numPr>
        <w:spacing w:before="180" w:after="220"/>
        <w:ind w:left="935" w:hanging="357"/>
        <w:rPr>
          <w:rFonts w:ascii="Calibri" w:eastAsia="Calibri" w:hAnsi="Calibri"/>
          <w:rtl/>
          <w:lang w:eastAsia="en-US"/>
        </w:rPr>
      </w:pPr>
      <w:r w:rsidRPr="00E8102F">
        <w:rPr>
          <w:rFonts w:ascii="Calibri" w:eastAsia="Calibri" w:hAnsi="Calibri"/>
          <w:rtl/>
          <w:lang w:eastAsia="en-US"/>
        </w:rPr>
        <w:t>والتوقف المفاجئ دون إشعار مسبق؛</w:t>
      </w:r>
    </w:p>
    <w:p w14:paraId="03071AE0" w14:textId="77777777" w:rsidR="00E8102F" w:rsidRPr="00E8102F" w:rsidRDefault="00E8102F" w:rsidP="00E8102F">
      <w:pPr>
        <w:numPr>
          <w:ilvl w:val="0"/>
          <w:numId w:val="36"/>
        </w:numPr>
        <w:spacing w:before="180" w:after="220"/>
        <w:ind w:left="935" w:hanging="357"/>
        <w:rPr>
          <w:rFonts w:ascii="Calibri" w:eastAsia="Calibri" w:hAnsi="Calibri"/>
          <w:rtl/>
          <w:lang w:eastAsia="en-US"/>
        </w:rPr>
      </w:pPr>
      <w:r w:rsidRPr="00E8102F">
        <w:rPr>
          <w:rFonts w:ascii="Calibri" w:eastAsia="Calibri" w:hAnsi="Calibri"/>
          <w:rtl/>
          <w:lang w:eastAsia="en-US"/>
        </w:rPr>
        <w:t>والاختلافات المتعلقة بتسويق البيانات.</w:t>
      </w:r>
    </w:p>
    <w:p w14:paraId="429EC576" w14:textId="77777777" w:rsidR="00E8102F" w:rsidRPr="00E8102F" w:rsidRDefault="00E8102F" w:rsidP="00BD3DAD">
      <w:pPr>
        <w:pStyle w:val="ONUMA"/>
        <w:rPr>
          <w:rFonts w:eastAsia="Calibri"/>
          <w:rtl/>
        </w:rPr>
      </w:pPr>
      <w:r w:rsidRPr="00E8102F">
        <w:rPr>
          <w:rFonts w:eastAsia="Calibri"/>
          <w:rtl/>
        </w:rPr>
        <w:t>الحواجز القانونية والسياساتية كبيرة</w:t>
      </w:r>
    </w:p>
    <w:p w14:paraId="600A21A6" w14:textId="77777777" w:rsidR="00E8102F" w:rsidRPr="00E8102F" w:rsidRDefault="00E8102F" w:rsidP="00E8102F">
      <w:pPr>
        <w:spacing w:after="220"/>
        <w:ind w:firstLine="567"/>
        <w:rPr>
          <w:rFonts w:ascii="Calibri" w:eastAsia="Calibri" w:hAnsi="Calibri"/>
          <w:rtl/>
          <w:lang w:eastAsia="en-US"/>
        </w:rPr>
      </w:pPr>
      <w:r w:rsidRPr="00E8102F">
        <w:rPr>
          <w:rFonts w:ascii="Calibri" w:eastAsia="Calibri" w:hAnsi="Calibri"/>
          <w:rtl/>
          <w:lang w:eastAsia="en-US"/>
        </w:rPr>
        <w:t xml:space="preserve">ملكية البيانات، وقيود الاستضافة، وقيود إعادة التوزيع، والنماذج المدفوعة بالإيرادات، تحول دون المشاركة المفتوحة. </w:t>
      </w:r>
    </w:p>
    <w:p w14:paraId="7FB9CFB7" w14:textId="77777777" w:rsidR="00E8102F" w:rsidRPr="00E8102F" w:rsidRDefault="00E8102F" w:rsidP="00BD3DAD">
      <w:pPr>
        <w:pStyle w:val="ONUMA"/>
        <w:rPr>
          <w:rFonts w:eastAsia="Calibri"/>
          <w:rtl/>
        </w:rPr>
      </w:pPr>
      <w:r w:rsidRPr="00E8102F">
        <w:rPr>
          <w:rFonts w:eastAsia="Calibri"/>
          <w:rtl/>
        </w:rPr>
        <w:t>الفجوات المتعلقة بالبنية التحتية والموارد البشرية</w:t>
      </w:r>
    </w:p>
    <w:p w14:paraId="1662ADB2" w14:textId="77777777" w:rsidR="00E8102F" w:rsidRPr="00E8102F" w:rsidRDefault="00E8102F" w:rsidP="00E8102F">
      <w:pPr>
        <w:numPr>
          <w:ilvl w:val="0"/>
          <w:numId w:val="32"/>
        </w:numPr>
        <w:spacing w:before="180" w:after="220"/>
        <w:ind w:left="935" w:hanging="357"/>
        <w:rPr>
          <w:rFonts w:ascii="Calibri" w:eastAsia="Calibri" w:hAnsi="Calibri"/>
          <w:rtl/>
          <w:lang w:eastAsia="en-US"/>
        </w:rPr>
      </w:pPr>
      <w:r w:rsidRPr="00E8102F">
        <w:rPr>
          <w:rFonts w:ascii="Calibri" w:eastAsia="Calibri" w:hAnsi="Calibri"/>
          <w:rtl/>
          <w:lang w:eastAsia="en-US"/>
        </w:rPr>
        <w:t>الافتقار إلى موارد تكنولوجيا المعلومات، على المستوى المحلي أو في مكاتب الملكية الفكرية الشريكة، يشكّل عائقاً رئيسياً؛</w:t>
      </w:r>
    </w:p>
    <w:p w14:paraId="62AE5636" w14:textId="77777777" w:rsidR="00E8102F" w:rsidRPr="00E8102F" w:rsidRDefault="00E8102F" w:rsidP="00E8102F">
      <w:pPr>
        <w:numPr>
          <w:ilvl w:val="0"/>
          <w:numId w:val="32"/>
        </w:numPr>
        <w:spacing w:before="180" w:after="220"/>
        <w:ind w:left="935" w:hanging="357"/>
        <w:rPr>
          <w:rFonts w:ascii="Calibri" w:eastAsia="Calibri" w:hAnsi="Calibri"/>
          <w:rtl/>
          <w:lang w:eastAsia="en-US"/>
        </w:rPr>
      </w:pPr>
      <w:r w:rsidRPr="00E8102F">
        <w:rPr>
          <w:rFonts w:ascii="Calibri" w:eastAsia="Calibri" w:hAnsi="Calibri"/>
          <w:rtl/>
          <w:lang w:eastAsia="en-US"/>
        </w:rPr>
        <w:t>وعدم كفاية الموظفين لتطوير أو صيانة أنظمة تبادل البيانات يقوّض التقدم.</w:t>
      </w:r>
    </w:p>
    <w:p w14:paraId="552E3992" w14:textId="77777777" w:rsidR="00E8102F" w:rsidRPr="00E8102F" w:rsidRDefault="00E8102F" w:rsidP="00BD3DAD">
      <w:pPr>
        <w:pStyle w:val="ONUMA"/>
        <w:rPr>
          <w:rFonts w:eastAsia="Calibri"/>
          <w:rtl/>
        </w:rPr>
      </w:pPr>
      <w:r w:rsidRPr="00E8102F">
        <w:rPr>
          <w:rFonts w:eastAsia="Calibri"/>
          <w:rtl/>
        </w:rPr>
        <w:t>التناظر بين مكاتب الملكية الفكرية</w:t>
      </w:r>
    </w:p>
    <w:p w14:paraId="69637BB7" w14:textId="77777777" w:rsidR="00E8102F" w:rsidRPr="00E8102F" w:rsidRDefault="00E8102F" w:rsidP="00E8102F">
      <w:pPr>
        <w:spacing w:after="220"/>
        <w:ind w:firstLine="567"/>
        <w:rPr>
          <w:rFonts w:ascii="Calibri" w:eastAsia="Calibri" w:hAnsi="Calibri"/>
          <w:rtl/>
          <w:lang w:eastAsia="en-US"/>
        </w:rPr>
      </w:pPr>
      <w:r w:rsidRPr="00E8102F">
        <w:rPr>
          <w:rFonts w:ascii="Calibri" w:eastAsia="Calibri" w:hAnsi="Calibri"/>
          <w:rtl/>
          <w:lang w:eastAsia="en-US"/>
        </w:rPr>
        <w:t>رغم أن بعض مكاتب الملكية الفكرية متقدمة وتشارك بيانات الملكية الفكرية الخاصة بها، فإن المكاتب الأخرى لا تزال معزولة أو رقمية بشكل جزئي.</w:t>
      </w:r>
    </w:p>
    <w:p w14:paraId="288E07FA" w14:textId="77777777" w:rsidR="00E8102F" w:rsidRPr="00E8102F" w:rsidRDefault="00E8102F" w:rsidP="00BD3DAD">
      <w:pPr>
        <w:pStyle w:val="Heading2"/>
        <w:rPr>
          <w:rtl/>
        </w:rPr>
      </w:pPr>
      <w:r w:rsidRPr="00E8102F">
        <w:rPr>
          <w:rtl/>
        </w:rPr>
        <w:t xml:space="preserve">الحلول المقترحة </w:t>
      </w:r>
    </w:p>
    <w:tbl>
      <w:tblPr>
        <w:tblStyle w:val="ListTable4-Accent11"/>
        <w:bidiVisual/>
        <w:tblW w:w="0" w:type="auto"/>
        <w:tblLook w:val="04A0" w:firstRow="1" w:lastRow="0" w:firstColumn="1" w:lastColumn="0" w:noHBand="0" w:noVBand="1"/>
      </w:tblPr>
      <w:tblGrid>
        <w:gridCol w:w="2155"/>
        <w:gridCol w:w="7190"/>
      </w:tblGrid>
      <w:tr w:rsidR="00E8102F" w:rsidRPr="00E8102F" w14:paraId="486B18D7" w14:textId="77777777" w:rsidTr="00E8102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5" w:type="dxa"/>
            <w:shd w:val="clear" w:color="auto" w:fill="1F497D"/>
            <w:hideMark/>
          </w:tcPr>
          <w:p w14:paraId="6BD4DC42" w14:textId="77777777" w:rsidR="00E8102F" w:rsidRPr="00E8102F" w:rsidRDefault="00E8102F" w:rsidP="00E8102F">
            <w:pPr>
              <w:spacing w:before="40" w:after="40"/>
              <w:rPr>
                <w:rFonts w:ascii="Calibri" w:eastAsia="Calibri" w:hAnsi="Calibri"/>
                <w:rtl/>
                <w:lang w:eastAsia="en-US"/>
              </w:rPr>
            </w:pPr>
            <w:r w:rsidRPr="00E8102F">
              <w:rPr>
                <w:rFonts w:ascii="Calibri" w:eastAsia="Calibri" w:hAnsi="Calibri"/>
                <w:rtl/>
                <w:lang w:eastAsia="en-US"/>
              </w:rPr>
              <w:t>المجال</w:t>
            </w:r>
          </w:p>
        </w:tc>
        <w:tc>
          <w:tcPr>
            <w:tcW w:w="7190" w:type="dxa"/>
            <w:shd w:val="clear" w:color="auto" w:fill="1F497D"/>
            <w:hideMark/>
          </w:tcPr>
          <w:p w14:paraId="6012B308"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الإجراء</w:t>
            </w:r>
          </w:p>
        </w:tc>
      </w:tr>
      <w:tr w:rsidR="00E8102F" w:rsidRPr="00E8102F" w14:paraId="30F951F8"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5" w:type="dxa"/>
            <w:hideMark/>
          </w:tcPr>
          <w:p w14:paraId="4FA4CF44"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الجانب التقني</w:t>
            </w:r>
          </w:p>
        </w:tc>
        <w:tc>
          <w:tcPr>
            <w:tcW w:w="7190" w:type="dxa"/>
            <w:hideMark/>
          </w:tcPr>
          <w:p w14:paraId="00B03168"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 xml:space="preserve">اعتماد معيار الويبو بشأن تبادل بيانات الملكية الفكرية وتعزيز التنفيذ الواسع النطاق لمعايير الويبو القائمة مثل </w:t>
            </w:r>
            <w:r w:rsidRPr="00E8102F">
              <w:rPr>
                <w:rFonts w:ascii="Calibri" w:eastAsia="Calibri" w:hAnsi="Calibri"/>
                <w:lang w:eastAsia="en-US"/>
              </w:rPr>
              <w:t>ST.90</w:t>
            </w:r>
            <w:r w:rsidRPr="00E8102F">
              <w:rPr>
                <w:rFonts w:ascii="Calibri" w:eastAsia="Calibri" w:hAnsi="Calibri"/>
                <w:rtl/>
                <w:lang w:eastAsia="en-US"/>
              </w:rPr>
              <w:t xml:space="preserve"> و</w:t>
            </w:r>
            <w:r w:rsidRPr="00E8102F">
              <w:rPr>
                <w:rFonts w:ascii="Calibri" w:eastAsia="Calibri" w:hAnsi="Calibri"/>
                <w:lang w:eastAsia="en-US"/>
              </w:rPr>
              <w:t>ST.96</w:t>
            </w:r>
            <w:r w:rsidRPr="00E8102F">
              <w:rPr>
                <w:rFonts w:ascii="Calibri" w:eastAsia="Calibri" w:hAnsi="Calibri"/>
                <w:rtl/>
                <w:lang w:eastAsia="en-US"/>
              </w:rPr>
              <w:t xml:space="preserve"> و</w:t>
            </w:r>
            <w:r w:rsidRPr="00E8102F">
              <w:rPr>
                <w:rFonts w:ascii="Calibri" w:eastAsia="Calibri" w:hAnsi="Calibri"/>
                <w:lang w:eastAsia="en-US"/>
              </w:rPr>
              <w:t>ST.97</w:t>
            </w:r>
            <w:r w:rsidRPr="00E8102F">
              <w:rPr>
                <w:rFonts w:ascii="Calibri" w:eastAsia="Calibri" w:hAnsi="Calibri"/>
                <w:rtl/>
                <w:lang w:eastAsia="en-US"/>
              </w:rPr>
              <w:t>.</w:t>
            </w:r>
          </w:p>
          <w:p w14:paraId="0264241F"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 xml:space="preserve">وتحسين جودة بيانات الملكية الفكرية، باستخدام أدوات الذكاء الاصطناعي، إن أمكن </w:t>
            </w:r>
          </w:p>
          <w:p w14:paraId="56CA7BB9"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دعم رقمنة بيانات الملكية الفكرية</w:t>
            </w:r>
          </w:p>
        </w:tc>
      </w:tr>
      <w:tr w:rsidR="00E8102F" w:rsidRPr="00E8102F" w14:paraId="7C13B16E"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2155" w:type="dxa"/>
            <w:hideMark/>
          </w:tcPr>
          <w:p w14:paraId="67CA5595"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القوانين والسياسات</w:t>
            </w:r>
          </w:p>
        </w:tc>
        <w:tc>
          <w:tcPr>
            <w:tcW w:w="7190" w:type="dxa"/>
            <w:hideMark/>
          </w:tcPr>
          <w:p w14:paraId="584221B3"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 xml:space="preserve">إنشاء اتفاقات نموذجية لتبادل البيانات </w:t>
            </w:r>
          </w:p>
        </w:tc>
      </w:tr>
      <w:tr w:rsidR="00E8102F" w:rsidRPr="00E8102F" w14:paraId="565D8149"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5" w:type="dxa"/>
            <w:hideMark/>
          </w:tcPr>
          <w:p w14:paraId="1A8ACE43"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التنسيق</w:t>
            </w:r>
          </w:p>
        </w:tc>
        <w:tc>
          <w:tcPr>
            <w:tcW w:w="7190" w:type="dxa"/>
            <w:hideMark/>
          </w:tcPr>
          <w:p w14:paraId="5A179936"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تعيين منسقين لتبادل البيانات؛ وتنفيذ اتفاقات مستوى الخدمة متعددة الأطراف؛ وإنشاء تقويم مشترك للتحديثات.</w:t>
            </w:r>
          </w:p>
        </w:tc>
      </w:tr>
      <w:tr w:rsidR="00E8102F" w:rsidRPr="00E8102F" w14:paraId="01E9A5E6"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2155" w:type="dxa"/>
            <w:hideMark/>
          </w:tcPr>
          <w:p w14:paraId="5C35B119"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بناء القدرات</w:t>
            </w:r>
          </w:p>
        </w:tc>
        <w:tc>
          <w:tcPr>
            <w:tcW w:w="7190" w:type="dxa"/>
            <w:hideMark/>
          </w:tcPr>
          <w:p w14:paraId="12D7F549"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إطلاق برامج تدريبية؛ وإنشاء برنامج توأمة لتبادل المعارف.</w:t>
            </w:r>
          </w:p>
        </w:tc>
      </w:tr>
      <w:tr w:rsidR="00E8102F" w:rsidRPr="00E8102F" w14:paraId="02658605"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5" w:type="dxa"/>
            <w:hideMark/>
          </w:tcPr>
          <w:p w14:paraId="7B8E1AC1"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الحوكمة</w:t>
            </w:r>
          </w:p>
        </w:tc>
        <w:tc>
          <w:tcPr>
            <w:tcW w:w="7190" w:type="dxa"/>
            <w:hideMark/>
          </w:tcPr>
          <w:p w14:paraId="15A552C8"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إنشاء إطار عمل عالمي لتبادل بيانات الملكية الفكرية؛ وتطوير بوابة بيانات مركزية؛ ورصد التقدم عبر لوحة معلومات الشفافية.</w:t>
            </w:r>
          </w:p>
        </w:tc>
      </w:tr>
    </w:tbl>
    <w:p w14:paraId="62273DFB" w14:textId="7C2D9B52" w:rsidR="00DB47AF" w:rsidRDefault="00DB47AF" w:rsidP="00BD3DAD">
      <w:pPr>
        <w:pStyle w:val="BodyText"/>
        <w:rPr>
          <w:rtl/>
        </w:rPr>
      </w:pPr>
    </w:p>
    <w:p w14:paraId="7CAC96AA" w14:textId="77777777" w:rsidR="00DB47AF" w:rsidRDefault="00DB47AF">
      <w:pPr>
        <w:bidi w:val="0"/>
        <w:rPr>
          <w:rtl/>
        </w:rPr>
      </w:pPr>
      <w:r>
        <w:rPr>
          <w:rtl/>
        </w:rPr>
        <w:br w:type="page"/>
      </w:r>
    </w:p>
    <w:p w14:paraId="57AB9C3E" w14:textId="44CC06A2" w:rsidR="00E8102F" w:rsidRPr="00E8102F" w:rsidRDefault="00E8102F" w:rsidP="00BD3DAD">
      <w:pPr>
        <w:pStyle w:val="Heading2"/>
        <w:rPr>
          <w:rtl/>
        </w:rPr>
      </w:pPr>
      <w:r w:rsidRPr="00E8102F">
        <w:rPr>
          <w:rtl/>
        </w:rPr>
        <w:t>فوائد الحلول المقترحة</w:t>
      </w:r>
    </w:p>
    <w:tbl>
      <w:tblPr>
        <w:tblStyle w:val="GridTable4-Accent11"/>
        <w:bidiVisual/>
        <w:tblW w:w="0" w:type="auto"/>
        <w:tblLook w:val="04A0" w:firstRow="1" w:lastRow="0" w:firstColumn="1" w:lastColumn="0" w:noHBand="0" w:noVBand="1"/>
      </w:tblPr>
      <w:tblGrid>
        <w:gridCol w:w="2155"/>
        <w:gridCol w:w="7190"/>
      </w:tblGrid>
      <w:tr w:rsidR="00E8102F" w:rsidRPr="00E8102F" w14:paraId="37508EE7" w14:textId="77777777" w:rsidTr="00E8102F">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5" w:type="dxa"/>
            <w:shd w:val="clear" w:color="auto" w:fill="1F497D"/>
            <w:vAlign w:val="center"/>
            <w:hideMark/>
          </w:tcPr>
          <w:p w14:paraId="6D95E4F7" w14:textId="77777777" w:rsidR="00E8102F" w:rsidRPr="00E8102F" w:rsidRDefault="00E8102F" w:rsidP="00E8102F">
            <w:pPr>
              <w:spacing w:before="40" w:after="40"/>
              <w:rPr>
                <w:rFonts w:ascii="Calibri" w:eastAsia="Calibri" w:hAnsi="Calibri"/>
                <w:rtl/>
                <w:lang w:eastAsia="en-US"/>
              </w:rPr>
            </w:pPr>
            <w:r w:rsidRPr="00E8102F">
              <w:rPr>
                <w:rFonts w:ascii="Calibri" w:eastAsia="Calibri" w:hAnsi="Calibri"/>
                <w:rtl/>
                <w:lang w:eastAsia="en-US"/>
              </w:rPr>
              <w:t>الفائدة</w:t>
            </w:r>
          </w:p>
        </w:tc>
        <w:tc>
          <w:tcPr>
            <w:tcW w:w="7190" w:type="dxa"/>
            <w:shd w:val="clear" w:color="auto" w:fill="1F497D"/>
            <w:vAlign w:val="center"/>
            <w:hideMark/>
          </w:tcPr>
          <w:p w14:paraId="2A7DCDE5" w14:textId="77777777" w:rsidR="00E8102F" w:rsidRPr="00E8102F" w:rsidRDefault="00E8102F" w:rsidP="00E8102F">
            <w:pPr>
              <w:spacing w:before="40" w:after="40"/>
              <w:cnfStyle w:val="100000000000" w:firstRow="1"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الوصف</w:t>
            </w:r>
          </w:p>
        </w:tc>
      </w:tr>
      <w:tr w:rsidR="00E8102F" w:rsidRPr="00E8102F" w14:paraId="5B6E5693"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2886FD0D"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الكفاءة</w:t>
            </w:r>
          </w:p>
        </w:tc>
        <w:tc>
          <w:tcPr>
            <w:tcW w:w="7190" w:type="dxa"/>
            <w:vAlign w:val="center"/>
            <w:hideMark/>
          </w:tcPr>
          <w:p w14:paraId="5DA699FD"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تبسيط معالجة البيانات وتقليل ازدواجية الجهود.</w:t>
            </w:r>
          </w:p>
        </w:tc>
      </w:tr>
      <w:tr w:rsidR="00E8102F" w:rsidRPr="00E8102F" w14:paraId="1B45E179"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32FC332C"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قابلية التشغيل البيني</w:t>
            </w:r>
          </w:p>
        </w:tc>
        <w:tc>
          <w:tcPr>
            <w:tcW w:w="7190" w:type="dxa"/>
            <w:vAlign w:val="center"/>
            <w:hideMark/>
          </w:tcPr>
          <w:p w14:paraId="1043FCCC"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تحسين تكامل أنظمة الملكية الفكرية العالمية وأتمتة الخدمات.</w:t>
            </w:r>
          </w:p>
        </w:tc>
      </w:tr>
      <w:tr w:rsidR="00E8102F" w:rsidRPr="00E8102F" w14:paraId="6C1BEE84"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62E79DBF"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الشفافية</w:t>
            </w:r>
          </w:p>
        </w:tc>
        <w:tc>
          <w:tcPr>
            <w:tcW w:w="7190" w:type="dxa"/>
            <w:vAlign w:val="center"/>
            <w:hideMark/>
          </w:tcPr>
          <w:p w14:paraId="6A9B8A77"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إمكانية النفاذ الموثوق بها والمتوقعة إلى بيانات الملكية الفكرية القانونية والببليوغرافية.</w:t>
            </w:r>
          </w:p>
        </w:tc>
      </w:tr>
      <w:tr w:rsidR="00E8102F" w:rsidRPr="00E8102F" w14:paraId="680E6082" w14:textId="77777777" w:rsidTr="00035D9D">
        <w:trPr>
          <w:trHeight w:val="454"/>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069A1E64"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الثقة القانونية</w:t>
            </w:r>
          </w:p>
        </w:tc>
        <w:tc>
          <w:tcPr>
            <w:tcW w:w="7190" w:type="dxa"/>
            <w:vAlign w:val="center"/>
            <w:hideMark/>
          </w:tcPr>
          <w:p w14:paraId="618C8D1C" w14:textId="77777777" w:rsidR="00E8102F" w:rsidRPr="00E8102F" w:rsidRDefault="00E8102F" w:rsidP="00E8102F">
            <w:pPr>
              <w:spacing w:before="40" w:after="40"/>
              <w:cnfStyle w:val="000000000000" w:firstRow="0" w:lastRow="0" w:firstColumn="0" w:lastColumn="0" w:oddVBand="0" w:evenVBand="0" w:oddHBand="0"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قواعد واضحة بشأن استخدام البيانات واستضافتها وإعادة توزيعها.</w:t>
            </w:r>
          </w:p>
        </w:tc>
      </w:tr>
      <w:tr w:rsidR="00E8102F" w:rsidRPr="00E8102F" w14:paraId="443EE713" w14:textId="77777777" w:rsidTr="00E8102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55" w:type="dxa"/>
            <w:vAlign w:val="center"/>
            <w:hideMark/>
          </w:tcPr>
          <w:p w14:paraId="0A99464D" w14:textId="77777777" w:rsidR="00E8102F" w:rsidRPr="00E8102F" w:rsidRDefault="00E8102F" w:rsidP="00E8102F">
            <w:pPr>
              <w:spacing w:before="40" w:after="40"/>
              <w:rPr>
                <w:rFonts w:ascii="Calibri" w:eastAsia="Calibri" w:hAnsi="Calibri"/>
                <w:b w:val="0"/>
                <w:bCs w:val="0"/>
                <w:rtl/>
                <w:lang w:eastAsia="en-US"/>
              </w:rPr>
            </w:pPr>
            <w:r w:rsidRPr="00E8102F">
              <w:rPr>
                <w:rFonts w:ascii="Calibri" w:eastAsia="Calibri" w:hAnsi="Calibri"/>
                <w:b w:val="0"/>
                <w:bCs w:val="0"/>
                <w:rtl/>
                <w:lang w:eastAsia="en-US"/>
              </w:rPr>
              <w:t>بناء القدرات</w:t>
            </w:r>
          </w:p>
        </w:tc>
        <w:tc>
          <w:tcPr>
            <w:tcW w:w="7190" w:type="dxa"/>
            <w:vAlign w:val="center"/>
            <w:hideMark/>
          </w:tcPr>
          <w:p w14:paraId="352AC11B" w14:textId="77777777" w:rsidR="00E8102F" w:rsidRPr="00E8102F" w:rsidRDefault="00E8102F" w:rsidP="00E8102F">
            <w:pPr>
              <w:spacing w:before="40" w:after="40"/>
              <w:cnfStyle w:val="000000100000" w:firstRow="0" w:lastRow="0" w:firstColumn="0" w:lastColumn="0" w:oddVBand="0" w:evenVBand="0" w:oddHBand="1" w:evenHBand="0" w:firstRowFirstColumn="0" w:firstRowLastColumn="0" w:lastRowFirstColumn="0" w:lastRowLastColumn="0"/>
              <w:rPr>
                <w:rFonts w:ascii="Calibri" w:eastAsia="Calibri" w:hAnsi="Calibri"/>
                <w:rtl/>
                <w:lang w:eastAsia="en-US"/>
              </w:rPr>
            </w:pPr>
            <w:r w:rsidRPr="00E8102F">
              <w:rPr>
                <w:rFonts w:ascii="Calibri" w:eastAsia="Calibri" w:hAnsi="Calibri"/>
                <w:rtl/>
                <w:lang w:eastAsia="en-US"/>
              </w:rPr>
              <w:t>دعم مكاتب الملكية الفكرية النامية على المشاركة بشكل مفيد في التبادل العالمي.</w:t>
            </w:r>
          </w:p>
        </w:tc>
      </w:tr>
    </w:tbl>
    <w:p w14:paraId="22E3F773" w14:textId="77777777" w:rsidR="00E8102F" w:rsidRPr="00E8102F" w:rsidRDefault="00E8102F" w:rsidP="00E8102F">
      <w:pPr>
        <w:bidi w:val="0"/>
        <w:ind w:left="5533"/>
        <w:jc w:val="center"/>
        <w:rPr>
          <w:rFonts w:ascii="Calibri" w:eastAsia="Calibri" w:hAnsi="Calibri"/>
          <w:lang w:eastAsia="en-US"/>
        </w:rPr>
      </w:pPr>
    </w:p>
    <w:p w14:paraId="1E98AE3A" w14:textId="77777777" w:rsidR="00E8102F" w:rsidRPr="00E8102F" w:rsidRDefault="00E8102F" w:rsidP="00E8102F">
      <w:pPr>
        <w:bidi w:val="0"/>
        <w:ind w:left="5533"/>
        <w:jc w:val="center"/>
        <w:rPr>
          <w:rFonts w:ascii="Calibri" w:eastAsia="Calibri" w:hAnsi="Calibri"/>
          <w:lang w:eastAsia="en-US"/>
        </w:rPr>
      </w:pPr>
    </w:p>
    <w:p w14:paraId="6260AA6E" w14:textId="77777777" w:rsidR="00E8102F" w:rsidRPr="00E8102F" w:rsidRDefault="00E8102F" w:rsidP="00E8102F">
      <w:pPr>
        <w:bidi w:val="0"/>
        <w:ind w:left="5533"/>
        <w:jc w:val="center"/>
        <w:rPr>
          <w:rFonts w:ascii="Calibri" w:eastAsia="Calibri" w:hAnsi="Calibri"/>
          <w:lang w:eastAsia="en-US"/>
        </w:rPr>
      </w:pPr>
    </w:p>
    <w:p w14:paraId="2366FE1D" w14:textId="2B28A747" w:rsidR="00A410A9" w:rsidRPr="009A41FC" w:rsidRDefault="00E8102F" w:rsidP="009A41FC">
      <w:pPr>
        <w:pStyle w:val="Endofdocument-Annex"/>
        <w:rPr>
          <w:lang w:eastAsia="en-US"/>
        </w:rPr>
      </w:pPr>
      <w:r w:rsidRPr="00E8102F">
        <w:rPr>
          <w:rtl/>
          <w:lang w:eastAsia="en-US"/>
        </w:rPr>
        <w:t>[نهاية المرفق والوثيقة]</w:t>
      </w:r>
    </w:p>
    <w:sectPr w:rsidR="00A410A9" w:rsidRPr="009A41FC" w:rsidSect="00CC3E2D">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ECE9" w14:textId="77777777" w:rsidR="00134879" w:rsidRDefault="00134879">
      <w:r>
        <w:separator/>
      </w:r>
    </w:p>
  </w:endnote>
  <w:endnote w:type="continuationSeparator" w:id="0">
    <w:p w14:paraId="5584E7A4" w14:textId="77777777" w:rsidR="00134879" w:rsidRDefault="00134879" w:rsidP="003B38C1">
      <w:r>
        <w:separator/>
      </w:r>
    </w:p>
    <w:p w14:paraId="66B7551E" w14:textId="77777777" w:rsidR="00134879" w:rsidRPr="003B38C1" w:rsidRDefault="00134879" w:rsidP="003B38C1">
      <w:pPr>
        <w:spacing w:after="60"/>
        <w:rPr>
          <w:sz w:val="17"/>
        </w:rPr>
      </w:pPr>
      <w:r>
        <w:rPr>
          <w:sz w:val="17"/>
        </w:rPr>
        <w:t>[Endnote continued from previous page]</w:t>
      </w:r>
    </w:p>
  </w:endnote>
  <w:endnote w:type="continuationNotice" w:id="1">
    <w:p w14:paraId="72CAC4B2" w14:textId="77777777" w:rsidR="00134879" w:rsidRPr="003B38C1" w:rsidRDefault="001348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F326" w14:textId="77777777" w:rsidR="00E8102F" w:rsidRDefault="00E81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BEE8" w14:textId="77777777" w:rsidR="00E8102F" w:rsidRDefault="00E81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B12E" w14:textId="77777777" w:rsidR="00E8102F" w:rsidRDefault="00E81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350F" w14:textId="77777777" w:rsidR="00134879" w:rsidRDefault="00134879">
      <w:r>
        <w:separator/>
      </w:r>
    </w:p>
  </w:footnote>
  <w:footnote w:type="continuationSeparator" w:id="0">
    <w:p w14:paraId="2B4BCF7E" w14:textId="77777777" w:rsidR="00134879" w:rsidRDefault="00134879" w:rsidP="008B60B2">
      <w:r>
        <w:separator/>
      </w:r>
    </w:p>
    <w:p w14:paraId="1663D092" w14:textId="77777777" w:rsidR="00134879" w:rsidRPr="00ED77FB" w:rsidRDefault="00134879" w:rsidP="008B60B2">
      <w:pPr>
        <w:spacing w:after="60"/>
        <w:rPr>
          <w:sz w:val="17"/>
          <w:szCs w:val="17"/>
        </w:rPr>
      </w:pPr>
      <w:r w:rsidRPr="00ED77FB">
        <w:rPr>
          <w:sz w:val="17"/>
          <w:szCs w:val="17"/>
        </w:rPr>
        <w:t>[Footnote continued from previous page]</w:t>
      </w:r>
    </w:p>
  </w:footnote>
  <w:footnote w:type="continuationNotice" w:id="1">
    <w:p w14:paraId="0D4BF0FE" w14:textId="77777777" w:rsidR="00134879" w:rsidRPr="00ED77FB" w:rsidRDefault="0013487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440A" w14:textId="77777777" w:rsidR="00E8102F" w:rsidRDefault="00E81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136B" w14:textId="10624762" w:rsidR="00D07C78" w:rsidRDefault="00FE5D75" w:rsidP="007969D1">
    <w:pPr>
      <w:bidi w:val="0"/>
      <w:rPr>
        <w:caps/>
        <w:rtl/>
      </w:rPr>
    </w:pPr>
    <w:r>
      <w:rPr>
        <w:caps/>
      </w:rPr>
      <w:t>CWS</w:t>
    </w:r>
    <w:r w:rsidR="00250149">
      <w:rPr>
        <w:caps/>
      </w:rPr>
      <w:t>/</w:t>
    </w:r>
    <w:r w:rsidR="00E15F75">
      <w:rPr>
        <w:caps/>
      </w:rPr>
      <w:t>1</w:t>
    </w:r>
    <w:r w:rsidR="003368CB">
      <w:rPr>
        <w:caps/>
      </w:rPr>
      <w:t>3</w:t>
    </w:r>
    <w:r w:rsidR="00250149">
      <w:rPr>
        <w:caps/>
      </w:rPr>
      <w:t>/</w:t>
    </w:r>
    <w:r w:rsidR="00E8102F">
      <w:rPr>
        <w:rFonts w:hint="cs"/>
        <w:caps/>
        <w:rtl/>
      </w:rPr>
      <w:t>14</w:t>
    </w:r>
  </w:p>
  <w:p w14:paraId="6C2965D4" w14:textId="032C9377" w:rsidR="00E8102F" w:rsidRPr="00E8102F" w:rsidRDefault="00E8102F" w:rsidP="00E8102F">
    <w:pPr>
      <w:bidi w:val="0"/>
      <w:rPr>
        <w:caps/>
        <w:lang w:val="fr-CH"/>
      </w:rPr>
    </w:pPr>
    <w:r>
      <w:rPr>
        <w:caps/>
        <w:lang w:val="fr-CH"/>
      </w:rPr>
      <w:t>A</w:t>
    </w:r>
    <w:r>
      <w:rPr>
        <w:lang w:val="fr-CH"/>
      </w:rPr>
      <w:t>nnex</w:t>
    </w:r>
  </w:p>
  <w:p w14:paraId="32DCD207"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2371F461"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447B" w14:textId="77777777" w:rsidR="00E8102F" w:rsidRPr="00E8102F" w:rsidRDefault="00E8102F" w:rsidP="00E8102F">
    <w:pPr>
      <w:tabs>
        <w:tab w:val="center" w:pos="4536"/>
        <w:tab w:val="right" w:pos="9072"/>
      </w:tabs>
      <w:jc w:val="right"/>
      <w:rPr>
        <w:rFonts w:eastAsia="Calibri" w:cs="Arial"/>
        <w:rtl/>
        <w:lang w:eastAsia="en-US"/>
      </w:rPr>
    </w:pPr>
    <w:r w:rsidRPr="00E8102F">
      <w:rPr>
        <w:rFonts w:eastAsia="Calibri" w:cs="Arial"/>
        <w:lang w:eastAsia="en-US"/>
      </w:rPr>
      <w:t>CWS/13/14</w:t>
    </w:r>
  </w:p>
  <w:p w14:paraId="5DB30C42" w14:textId="77777777" w:rsidR="00E8102F" w:rsidRPr="00E8102F" w:rsidRDefault="00E8102F" w:rsidP="00E8102F">
    <w:pPr>
      <w:tabs>
        <w:tab w:val="center" w:pos="4536"/>
        <w:tab w:val="right" w:pos="9072"/>
      </w:tabs>
      <w:jc w:val="right"/>
      <w:rPr>
        <w:rFonts w:eastAsia="Calibri" w:cs="Arial"/>
        <w:lang w:eastAsia="en-US"/>
      </w:rPr>
    </w:pPr>
    <w:r w:rsidRPr="00E8102F">
      <w:rPr>
        <w:rFonts w:eastAsia="Calibri" w:cs="Arial"/>
        <w:lang w:eastAsia="en-US"/>
      </w:rPr>
      <w:t>ANNEX</w:t>
    </w:r>
  </w:p>
  <w:p w14:paraId="38EA1745" w14:textId="77777777" w:rsidR="00E8102F" w:rsidRPr="00E8102F" w:rsidRDefault="00E8102F" w:rsidP="00E8102F">
    <w:pPr>
      <w:tabs>
        <w:tab w:val="center" w:pos="4536"/>
        <w:tab w:val="right" w:pos="9072"/>
      </w:tabs>
      <w:jc w:val="right"/>
      <w:rPr>
        <w:rFonts w:ascii="Calibri" w:eastAsia="Calibri" w:hAnsi="Calibri"/>
        <w:rtl/>
        <w:lang w:eastAsia="en-US"/>
      </w:rPr>
    </w:pPr>
    <w:r w:rsidRPr="00E8102F">
      <w:rPr>
        <w:rFonts w:ascii="Calibri" w:eastAsia="Calibri" w:hAnsi="Calibri"/>
        <w:rtl/>
        <w:lang w:eastAsia="en-US"/>
      </w:rPr>
      <w:t>المرفق</w:t>
    </w:r>
  </w:p>
  <w:p w14:paraId="078B7D00" w14:textId="77777777" w:rsidR="00E8102F" w:rsidRPr="00E8102F" w:rsidRDefault="00E8102F" w:rsidP="00E8102F">
    <w:pPr>
      <w:tabs>
        <w:tab w:val="center" w:pos="4536"/>
        <w:tab w:val="right" w:pos="9072"/>
      </w:tabs>
      <w:bidi w:val="0"/>
      <w:rPr>
        <w:rFonts w:eastAsia="Calibri" w:cs="Arial"/>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60CE8"/>
    <w:multiLevelType w:val="hybridMultilevel"/>
    <w:tmpl w:val="A42A5482"/>
    <w:lvl w:ilvl="0" w:tplc="60263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CB1B8A"/>
    <w:multiLevelType w:val="multilevel"/>
    <w:tmpl w:val="3F1A5984"/>
    <w:lvl w:ilvl="0">
      <w:start w:val="1"/>
      <w:numFmt w:val="bullet"/>
      <w:lvlText w:val="­"/>
      <w:lvlJc w:val="left"/>
      <w:pPr>
        <w:ind w:left="927" w:hanging="360"/>
      </w:pPr>
      <w:rPr>
        <w:rFonts w:ascii="Courier New" w:hAnsi="Courier New"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4"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BC70F8"/>
    <w:multiLevelType w:val="hybridMultilevel"/>
    <w:tmpl w:val="6A0E3B08"/>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12365B"/>
    <w:multiLevelType w:val="hybridMultilevel"/>
    <w:tmpl w:val="D5745620"/>
    <w:lvl w:ilvl="0" w:tplc="2394677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334802"/>
    <w:multiLevelType w:val="multilevel"/>
    <w:tmpl w:val="4FFC0B86"/>
    <w:lvl w:ilvl="0">
      <w:start w:val="1"/>
      <w:numFmt w:val="bullet"/>
      <w:lvlText w:val="­"/>
      <w:lvlJc w:val="left"/>
      <w:pPr>
        <w:ind w:left="927" w:hanging="360"/>
      </w:pPr>
      <w:rPr>
        <w:rFonts w:ascii="Courier New" w:hAnsi="Courier New"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9"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CB4EE6"/>
    <w:multiLevelType w:val="multilevel"/>
    <w:tmpl w:val="7780FCEE"/>
    <w:lvl w:ilvl="0">
      <w:start w:val="1"/>
      <w:numFmt w:val="bullet"/>
      <w:lvlText w:val="­"/>
      <w:lvlJc w:val="left"/>
      <w:pPr>
        <w:ind w:left="927" w:hanging="360"/>
      </w:pPr>
      <w:rPr>
        <w:rFonts w:ascii="Courier New" w:hAnsi="Courier New"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3"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5"/>
  </w:num>
  <w:num w:numId="2" w16cid:durableId="609046391">
    <w:abstractNumId w:val="18"/>
  </w:num>
  <w:num w:numId="3" w16cid:durableId="610935826">
    <w:abstractNumId w:val="0"/>
  </w:num>
  <w:num w:numId="4" w16cid:durableId="831139084">
    <w:abstractNumId w:val="21"/>
  </w:num>
  <w:num w:numId="5" w16cid:durableId="1808082453">
    <w:abstractNumId w:val="1"/>
  </w:num>
  <w:num w:numId="6" w16cid:durableId="2058821704">
    <w:abstractNumId w:val="9"/>
  </w:num>
  <w:num w:numId="7" w16cid:durableId="719669768">
    <w:abstractNumId w:val="26"/>
  </w:num>
  <w:num w:numId="8" w16cid:durableId="436217556">
    <w:abstractNumId w:val="13"/>
  </w:num>
  <w:num w:numId="9" w16cid:durableId="1591036600">
    <w:abstractNumId w:val="14"/>
  </w:num>
  <w:num w:numId="10" w16cid:durableId="1183013736">
    <w:abstractNumId w:val="19"/>
  </w:num>
  <w:num w:numId="11" w16cid:durableId="1208254078">
    <w:abstractNumId w:val="24"/>
  </w:num>
  <w:num w:numId="12" w16cid:durableId="1535313221">
    <w:abstractNumId w:val="20"/>
  </w:num>
  <w:num w:numId="13" w16cid:durableId="1775402230">
    <w:abstractNumId w:val="27"/>
  </w:num>
  <w:num w:numId="14" w16cid:durableId="605386166">
    <w:abstractNumId w:val="6"/>
  </w:num>
  <w:num w:numId="15" w16cid:durableId="913050154">
    <w:abstractNumId w:val="12"/>
  </w:num>
  <w:num w:numId="16" w16cid:durableId="1867328089">
    <w:abstractNumId w:val="2"/>
  </w:num>
  <w:num w:numId="17" w16cid:durableId="1880973570">
    <w:abstractNumId w:val="15"/>
  </w:num>
  <w:num w:numId="18" w16cid:durableId="1983188684">
    <w:abstractNumId w:val="22"/>
  </w:num>
  <w:num w:numId="19" w16cid:durableId="1285038826">
    <w:abstractNumId w:val="8"/>
  </w:num>
  <w:num w:numId="20" w16cid:durableId="398984857">
    <w:abstractNumId w:val="29"/>
  </w:num>
  <w:num w:numId="21" w16cid:durableId="855265340">
    <w:abstractNumId w:val="10"/>
  </w:num>
  <w:num w:numId="22" w16cid:durableId="1793552887">
    <w:abstractNumId w:val="30"/>
  </w:num>
  <w:num w:numId="23" w16cid:durableId="1644579125">
    <w:abstractNumId w:val="17"/>
  </w:num>
  <w:num w:numId="24" w16cid:durableId="1029574285">
    <w:abstractNumId w:val="23"/>
  </w:num>
  <w:num w:numId="25" w16cid:durableId="1259025004">
    <w:abstractNumId w:val="33"/>
  </w:num>
  <w:num w:numId="26" w16cid:durableId="1763722631">
    <w:abstractNumId w:val="3"/>
  </w:num>
  <w:num w:numId="27" w16cid:durableId="506360306">
    <w:abstractNumId w:val="11"/>
  </w:num>
  <w:num w:numId="28" w16cid:durableId="499587443">
    <w:abstractNumId w:val="31"/>
  </w:num>
  <w:num w:numId="29" w16cid:durableId="1784225043">
    <w:abstractNumId w:val="34"/>
  </w:num>
  <w:num w:numId="30" w16cid:durableId="1090201285">
    <w:abstractNumId w:val="25"/>
  </w:num>
  <w:num w:numId="31" w16cid:durableId="953287584">
    <w:abstractNumId w:val="26"/>
  </w:num>
  <w:num w:numId="32" w16cid:durableId="1559364812">
    <w:abstractNumId w:val="16"/>
  </w:num>
  <w:num w:numId="33" w16cid:durableId="153686518">
    <w:abstractNumId w:val="32"/>
  </w:num>
  <w:num w:numId="34" w16cid:durableId="1139961226">
    <w:abstractNumId w:val="28"/>
  </w:num>
  <w:num w:numId="35" w16cid:durableId="769817949">
    <w:abstractNumId w:val="7"/>
  </w:num>
  <w:num w:numId="36" w16cid:durableId="1836190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80"/>
    <w:rsid w:val="00041A0A"/>
    <w:rsid w:val="00043CAA"/>
    <w:rsid w:val="00050DF4"/>
    <w:rsid w:val="00055175"/>
    <w:rsid w:val="00056816"/>
    <w:rsid w:val="000632C7"/>
    <w:rsid w:val="00075432"/>
    <w:rsid w:val="0009025A"/>
    <w:rsid w:val="000910E5"/>
    <w:rsid w:val="000968ED"/>
    <w:rsid w:val="000A0433"/>
    <w:rsid w:val="000A3D97"/>
    <w:rsid w:val="000B5B36"/>
    <w:rsid w:val="000D3DAB"/>
    <w:rsid w:val="000D42A9"/>
    <w:rsid w:val="000F5E56"/>
    <w:rsid w:val="00134879"/>
    <w:rsid w:val="001362EE"/>
    <w:rsid w:val="001406E1"/>
    <w:rsid w:val="00140F22"/>
    <w:rsid w:val="00155D8A"/>
    <w:rsid w:val="001647D5"/>
    <w:rsid w:val="00167832"/>
    <w:rsid w:val="00176FD1"/>
    <w:rsid w:val="001832A6"/>
    <w:rsid w:val="0019592A"/>
    <w:rsid w:val="001D4107"/>
    <w:rsid w:val="00203D24"/>
    <w:rsid w:val="002058A3"/>
    <w:rsid w:val="00210D5F"/>
    <w:rsid w:val="0021217E"/>
    <w:rsid w:val="002326AB"/>
    <w:rsid w:val="00243430"/>
    <w:rsid w:val="00250149"/>
    <w:rsid w:val="00262607"/>
    <w:rsid w:val="002634C4"/>
    <w:rsid w:val="00265354"/>
    <w:rsid w:val="00273181"/>
    <w:rsid w:val="002879FE"/>
    <w:rsid w:val="002928D3"/>
    <w:rsid w:val="002935F4"/>
    <w:rsid w:val="00294303"/>
    <w:rsid w:val="002A7B3A"/>
    <w:rsid w:val="002F1FE6"/>
    <w:rsid w:val="002F4E68"/>
    <w:rsid w:val="00303282"/>
    <w:rsid w:val="00312F7F"/>
    <w:rsid w:val="00321316"/>
    <w:rsid w:val="00321EB3"/>
    <w:rsid w:val="00327E12"/>
    <w:rsid w:val="00334280"/>
    <w:rsid w:val="003368CB"/>
    <w:rsid w:val="003452A8"/>
    <w:rsid w:val="00361450"/>
    <w:rsid w:val="003673CF"/>
    <w:rsid w:val="00376168"/>
    <w:rsid w:val="003845C1"/>
    <w:rsid w:val="003A6F89"/>
    <w:rsid w:val="003B355C"/>
    <w:rsid w:val="003B3581"/>
    <w:rsid w:val="003B38C1"/>
    <w:rsid w:val="003C17A1"/>
    <w:rsid w:val="003C34E9"/>
    <w:rsid w:val="003F20F4"/>
    <w:rsid w:val="00423E3E"/>
    <w:rsid w:val="00427AF4"/>
    <w:rsid w:val="004434C3"/>
    <w:rsid w:val="0045246E"/>
    <w:rsid w:val="00452F85"/>
    <w:rsid w:val="00461B51"/>
    <w:rsid w:val="004647DA"/>
    <w:rsid w:val="00474062"/>
    <w:rsid w:val="00477D6B"/>
    <w:rsid w:val="0048522D"/>
    <w:rsid w:val="004D29A8"/>
    <w:rsid w:val="004D61DF"/>
    <w:rsid w:val="004F2DEB"/>
    <w:rsid w:val="005019FF"/>
    <w:rsid w:val="00503BFA"/>
    <w:rsid w:val="0050470A"/>
    <w:rsid w:val="00526AB0"/>
    <w:rsid w:val="0053057A"/>
    <w:rsid w:val="00556076"/>
    <w:rsid w:val="00560A29"/>
    <w:rsid w:val="005740C5"/>
    <w:rsid w:val="0059409E"/>
    <w:rsid w:val="005B2C79"/>
    <w:rsid w:val="005B453D"/>
    <w:rsid w:val="005B468F"/>
    <w:rsid w:val="005C5B64"/>
    <w:rsid w:val="005C6649"/>
    <w:rsid w:val="005E7B89"/>
    <w:rsid w:val="005F0828"/>
    <w:rsid w:val="00600D30"/>
    <w:rsid w:val="00604704"/>
    <w:rsid w:val="00605827"/>
    <w:rsid w:val="00613AB1"/>
    <w:rsid w:val="006161C5"/>
    <w:rsid w:val="00646050"/>
    <w:rsid w:val="006713CA"/>
    <w:rsid w:val="00676C5C"/>
    <w:rsid w:val="006A516B"/>
    <w:rsid w:val="006B5C12"/>
    <w:rsid w:val="006B7ACD"/>
    <w:rsid w:val="006D27D2"/>
    <w:rsid w:val="006D7AAB"/>
    <w:rsid w:val="006D7C7A"/>
    <w:rsid w:val="006F641A"/>
    <w:rsid w:val="0070778E"/>
    <w:rsid w:val="00720EFD"/>
    <w:rsid w:val="00750C1A"/>
    <w:rsid w:val="00783DFC"/>
    <w:rsid w:val="007854AF"/>
    <w:rsid w:val="0079149A"/>
    <w:rsid w:val="00793A7C"/>
    <w:rsid w:val="007969D1"/>
    <w:rsid w:val="007A0E2A"/>
    <w:rsid w:val="007A398A"/>
    <w:rsid w:val="007B1303"/>
    <w:rsid w:val="007C4902"/>
    <w:rsid w:val="007C552B"/>
    <w:rsid w:val="007D1613"/>
    <w:rsid w:val="007E4889"/>
    <w:rsid w:val="007E4C0E"/>
    <w:rsid w:val="00820911"/>
    <w:rsid w:val="008243C0"/>
    <w:rsid w:val="00870A8E"/>
    <w:rsid w:val="00872F21"/>
    <w:rsid w:val="008A134B"/>
    <w:rsid w:val="008A5C4D"/>
    <w:rsid w:val="008B2CC1"/>
    <w:rsid w:val="008B60B2"/>
    <w:rsid w:val="008D1B10"/>
    <w:rsid w:val="0090731E"/>
    <w:rsid w:val="00916EE2"/>
    <w:rsid w:val="0093527D"/>
    <w:rsid w:val="0094554E"/>
    <w:rsid w:val="00947238"/>
    <w:rsid w:val="009476FE"/>
    <w:rsid w:val="00966A22"/>
    <w:rsid w:val="0096722F"/>
    <w:rsid w:val="00980843"/>
    <w:rsid w:val="0099406E"/>
    <w:rsid w:val="009A41FC"/>
    <w:rsid w:val="009B0855"/>
    <w:rsid w:val="009B48A1"/>
    <w:rsid w:val="009B51CF"/>
    <w:rsid w:val="009E1721"/>
    <w:rsid w:val="009E2791"/>
    <w:rsid w:val="009E3F6F"/>
    <w:rsid w:val="009F499F"/>
    <w:rsid w:val="00A33241"/>
    <w:rsid w:val="00A37342"/>
    <w:rsid w:val="00A410A9"/>
    <w:rsid w:val="00A42DAF"/>
    <w:rsid w:val="00A448AB"/>
    <w:rsid w:val="00A45BD8"/>
    <w:rsid w:val="00A71A07"/>
    <w:rsid w:val="00A869B7"/>
    <w:rsid w:val="00A90F0A"/>
    <w:rsid w:val="00AA589B"/>
    <w:rsid w:val="00AC205C"/>
    <w:rsid w:val="00AC20E9"/>
    <w:rsid w:val="00AD30FC"/>
    <w:rsid w:val="00AD5F3C"/>
    <w:rsid w:val="00AF0A6B"/>
    <w:rsid w:val="00B05A69"/>
    <w:rsid w:val="00B26A4F"/>
    <w:rsid w:val="00B32B15"/>
    <w:rsid w:val="00B36A56"/>
    <w:rsid w:val="00B42CA9"/>
    <w:rsid w:val="00B51FF7"/>
    <w:rsid w:val="00B71BC1"/>
    <w:rsid w:val="00B75281"/>
    <w:rsid w:val="00B86A18"/>
    <w:rsid w:val="00B92738"/>
    <w:rsid w:val="00B92F1F"/>
    <w:rsid w:val="00B953D5"/>
    <w:rsid w:val="00B9734B"/>
    <w:rsid w:val="00BA30E2"/>
    <w:rsid w:val="00BB781F"/>
    <w:rsid w:val="00BC6536"/>
    <w:rsid w:val="00BD3DAD"/>
    <w:rsid w:val="00C11BFE"/>
    <w:rsid w:val="00C3436A"/>
    <w:rsid w:val="00C40F61"/>
    <w:rsid w:val="00C5068F"/>
    <w:rsid w:val="00C60E4B"/>
    <w:rsid w:val="00C73194"/>
    <w:rsid w:val="00C86D74"/>
    <w:rsid w:val="00C91553"/>
    <w:rsid w:val="00C925E7"/>
    <w:rsid w:val="00CB3DBA"/>
    <w:rsid w:val="00CC3E2D"/>
    <w:rsid w:val="00CD04F1"/>
    <w:rsid w:val="00CE19F8"/>
    <w:rsid w:val="00CE4B5F"/>
    <w:rsid w:val="00CF681A"/>
    <w:rsid w:val="00D07C78"/>
    <w:rsid w:val="00D17660"/>
    <w:rsid w:val="00D32D75"/>
    <w:rsid w:val="00D45252"/>
    <w:rsid w:val="00D512F3"/>
    <w:rsid w:val="00D60B2C"/>
    <w:rsid w:val="00D67EAE"/>
    <w:rsid w:val="00D71B4D"/>
    <w:rsid w:val="00D90B96"/>
    <w:rsid w:val="00D93D55"/>
    <w:rsid w:val="00D945A5"/>
    <w:rsid w:val="00DB47AF"/>
    <w:rsid w:val="00DC17E3"/>
    <w:rsid w:val="00DD7B7F"/>
    <w:rsid w:val="00DF694A"/>
    <w:rsid w:val="00E15015"/>
    <w:rsid w:val="00E15F75"/>
    <w:rsid w:val="00E17738"/>
    <w:rsid w:val="00E23ECB"/>
    <w:rsid w:val="00E24B86"/>
    <w:rsid w:val="00E319DF"/>
    <w:rsid w:val="00E335FE"/>
    <w:rsid w:val="00E66CC5"/>
    <w:rsid w:val="00E8102F"/>
    <w:rsid w:val="00E81BC4"/>
    <w:rsid w:val="00E91C3A"/>
    <w:rsid w:val="00EA2B00"/>
    <w:rsid w:val="00EA7D6E"/>
    <w:rsid w:val="00EB2F76"/>
    <w:rsid w:val="00EC100D"/>
    <w:rsid w:val="00EC4E49"/>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B6BDA"/>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071FA"/>
  <w15:docId w15:val="{13A65D0F-EC7C-4102-8706-9C697780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E8102F"/>
    <w:pPr>
      <w:keepNext/>
      <w:spacing w:before="120" w:after="240"/>
      <w:outlineLvl w:val="1"/>
    </w:pPr>
    <w:rPr>
      <w:b/>
      <w:i/>
      <w:caps/>
      <w:sz w:val="24"/>
      <w:szCs w:val="24"/>
      <w:lang w:eastAsia="en-US"/>
    </w:rPr>
  </w:style>
  <w:style w:type="paragraph" w:styleId="Heading3">
    <w:name w:val="heading 3"/>
    <w:basedOn w:val="Normal"/>
    <w:next w:val="Normal"/>
    <w:qFormat/>
    <w:rsid w:val="00BD3DAD"/>
    <w:pPr>
      <w:keepNext/>
      <w:spacing w:before="240" w:after="220"/>
      <w:outlineLvl w:val="2"/>
    </w:pPr>
    <w:rPr>
      <w:rFonts w:ascii="Calibri" w:eastAsia="Calibri" w:hAnsi="Calibri"/>
      <w:b/>
      <w:sz w:val="20"/>
      <w:szCs w:val="24"/>
      <w:u w:val="single"/>
      <w:lang w:eastAsia="en-US"/>
    </w:rPr>
  </w:style>
  <w:style w:type="paragraph" w:styleId="Heading4">
    <w:name w:val="heading 4"/>
    <w:basedOn w:val="Normal"/>
    <w:next w:val="Normal"/>
    <w:qFormat/>
    <w:rsid w:val="00D945A5"/>
    <w:pPr>
      <w:keepNext/>
      <w:spacing w:before="240" w:after="60"/>
      <w:outlineLvl w:val="3"/>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basedOn w:val="DefaultParagraphFont"/>
    <w:unhideWhenUsed/>
    <w:rsid w:val="00334280"/>
    <w:rPr>
      <w:color w:val="0000FF" w:themeColor="hyperlink"/>
      <w:u w:val="single"/>
    </w:rPr>
  </w:style>
  <w:style w:type="character" w:styleId="UnresolvedMention">
    <w:name w:val="Unresolved Mention"/>
    <w:basedOn w:val="DefaultParagraphFont"/>
    <w:uiPriority w:val="99"/>
    <w:semiHidden/>
    <w:unhideWhenUsed/>
    <w:rsid w:val="00334280"/>
    <w:rPr>
      <w:color w:val="605E5C"/>
      <w:shd w:val="clear" w:color="auto" w:fill="E1DFDD"/>
    </w:rPr>
  </w:style>
  <w:style w:type="table" w:customStyle="1" w:styleId="ListTable4-Accent11">
    <w:name w:val="List Table 4 - Accent 11"/>
    <w:basedOn w:val="TableNormal"/>
    <w:next w:val="ListTable4-Accent1"/>
    <w:uiPriority w:val="49"/>
    <w:rsid w:val="00E8102F"/>
    <w:pPr>
      <w:spacing w:before="180"/>
    </w:pPr>
    <w:rPr>
      <w:rFonts w:ascii="Noto Sans" w:eastAsia="Calibri" w:hAnsi="Noto Sans" w:cs="Arial"/>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
    <w:name w:val="Grid Table 4 - Accent 11"/>
    <w:basedOn w:val="TableNormal"/>
    <w:next w:val="GridTable4-Accent1"/>
    <w:uiPriority w:val="49"/>
    <w:rsid w:val="00E8102F"/>
    <w:pPr>
      <w:spacing w:before="180"/>
    </w:pPr>
    <w:rPr>
      <w:rFonts w:ascii="Noto Sans" w:eastAsia="Calibri" w:hAnsi="Noto Sans" w:cs="Arial"/>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4-Accent1">
    <w:name w:val="List Table 4 Accent 1"/>
    <w:basedOn w:val="TableNormal"/>
    <w:uiPriority w:val="49"/>
    <w:rsid w:val="00E810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E810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CWS/13/14 Annex (Arabic)</vt:lpstr>
    </vt:vector>
  </TitlesOfParts>
  <Company>WIPO</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CWS/13/14 Annex (Arabic)</dc:title>
  <dc:subject>تقرير فرقة العمل المعنية بتبادل بيانات الملكية الفكرية عن المهمة رقم 67 </dc:subject>
  <dc:creator>WIPO</dc:creator>
  <cp:keywords>WIPO CWS Thirteenth Session, Report, IP Data Exchange Task Force, Annex </cp:keywords>
  <cp:lastModifiedBy>Author</cp:lastModifiedBy>
  <cp:revision>3</cp:revision>
  <cp:lastPrinted>2025-09-23T08:07:00Z</cp:lastPrinted>
  <dcterms:created xsi:type="dcterms:W3CDTF">2025-10-27T11:02:00Z</dcterms:created>
  <dcterms:modified xsi:type="dcterms:W3CDTF">2025-10-30T15:09:00Z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