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D14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0B3ED73" wp14:editId="31A9224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7691A2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5AB5176" w14:textId="0C39C8A6" w:rsidR="008B2CC1" w:rsidRPr="002326AB" w:rsidRDefault="0070778E" w:rsidP="00250149">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2B3B99">
        <w:rPr>
          <w:rFonts w:ascii="Arial Black" w:hAnsi="Arial Black"/>
          <w:caps/>
          <w:sz w:val="15"/>
          <w:szCs w:val="15"/>
        </w:rPr>
        <w:t>13</w:t>
      </w:r>
    </w:p>
    <w:p w14:paraId="6860C5FA" w14:textId="76BD889A"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2B3B99">
        <w:rPr>
          <w:rFonts w:asciiTheme="minorHAnsi" w:hAnsiTheme="minorHAnsi" w:cstheme="minorHAnsi" w:hint="cs"/>
          <w:b/>
          <w:bCs/>
          <w:caps/>
          <w:sz w:val="15"/>
          <w:szCs w:val="15"/>
          <w:rtl/>
        </w:rPr>
        <w:t>بالإنكليزية</w:t>
      </w:r>
    </w:p>
    <w:p w14:paraId="6397E4CE" w14:textId="1A823152"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09343A">
        <w:rPr>
          <w:rFonts w:asciiTheme="minorHAnsi" w:hAnsiTheme="minorHAnsi" w:cstheme="minorHAnsi" w:hint="cs"/>
          <w:b/>
          <w:bCs/>
          <w:caps/>
          <w:sz w:val="15"/>
          <w:szCs w:val="15"/>
          <w:rtl/>
        </w:rPr>
        <w:t xml:space="preserve"> </w:t>
      </w:r>
      <w:r w:rsidR="0009343A" w:rsidRPr="0009343A">
        <w:rPr>
          <w:rFonts w:asciiTheme="minorHAnsi" w:hAnsiTheme="minorHAnsi" w:cstheme="minorHAnsi"/>
          <w:b/>
          <w:bCs/>
          <w:caps/>
          <w:sz w:val="15"/>
          <w:szCs w:val="15"/>
        </w:rPr>
        <w:t>27</w:t>
      </w:r>
      <w:r w:rsidR="0009343A" w:rsidRPr="0009343A">
        <w:rPr>
          <w:rFonts w:asciiTheme="minorHAnsi" w:hAnsiTheme="minorHAnsi"/>
          <w:b/>
          <w:bCs/>
          <w:caps/>
          <w:sz w:val="15"/>
          <w:szCs w:val="15"/>
          <w:rtl/>
        </w:rPr>
        <w:t xml:space="preserve"> أغسطس 2025</w:t>
      </w:r>
    </w:p>
    <w:bookmarkEnd w:id="2"/>
    <w:p w14:paraId="55319CA2"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6B52DEF9"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6540D46A"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455AB446" w14:textId="350D4EF6" w:rsidR="007969D1" w:rsidRPr="0009343A" w:rsidRDefault="0009343A" w:rsidP="0009343A">
      <w:pPr>
        <w:spacing w:after="720"/>
        <w:outlineLvl w:val="0"/>
        <w:rPr>
          <w:rFonts w:asciiTheme="minorHAnsi" w:hAnsiTheme="minorHAnsi" w:cstheme="minorHAnsi"/>
          <w:caps/>
          <w:sz w:val="24"/>
          <w:szCs w:val="24"/>
          <w:rtl/>
        </w:rPr>
      </w:pPr>
      <w:bookmarkStart w:id="3" w:name="TitleOfDoc"/>
      <w:r>
        <w:rPr>
          <w:rFonts w:hint="cs"/>
          <w:caps/>
          <w:sz w:val="24"/>
          <w:szCs w:val="24"/>
          <w:rtl/>
        </w:rPr>
        <w:t>تقرير فرقة العمل المعنية بملف الإدارة عن المهمة رقم 66</w:t>
      </w:r>
      <w:bookmarkEnd w:id="3"/>
    </w:p>
    <w:p w14:paraId="4E3F9017" w14:textId="77777777" w:rsidR="0009343A" w:rsidRPr="0009343A" w:rsidRDefault="0009343A" w:rsidP="0009343A">
      <w:pPr>
        <w:spacing w:after="960"/>
        <w:rPr>
          <w:rFonts w:ascii="Calibri" w:hAnsi="Calibri"/>
          <w:i/>
          <w:iCs/>
          <w:szCs w:val="20"/>
          <w:rtl/>
          <w:lang w:bidi="ar-EG"/>
        </w:rPr>
      </w:pPr>
      <w:r w:rsidRPr="0009343A">
        <w:rPr>
          <w:rFonts w:ascii="Calibri" w:hAnsi="Calibri" w:hint="cs"/>
          <w:i/>
          <w:iCs/>
          <w:szCs w:val="20"/>
          <w:rtl/>
          <w:lang w:bidi="ar-EG"/>
        </w:rPr>
        <w:t>وثيقة من إعداد الهيئة المشرفة على فرقة العمل المعنية بملف الإدارة</w:t>
      </w:r>
    </w:p>
    <w:p w14:paraId="5530FE5E" w14:textId="77777777" w:rsidR="0052300E" w:rsidRPr="0052300E" w:rsidRDefault="0052300E" w:rsidP="00B96E8B">
      <w:pPr>
        <w:pStyle w:val="Heading2"/>
        <w:rPr>
          <w:rtl/>
        </w:rPr>
      </w:pPr>
      <w:r w:rsidRPr="0052300E">
        <w:rPr>
          <w:rFonts w:hint="cs"/>
          <w:rtl/>
        </w:rPr>
        <w:t>ملخص</w:t>
      </w:r>
    </w:p>
    <w:p w14:paraId="539B4054" w14:textId="22B9C4D5" w:rsidR="0052300E" w:rsidRPr="0052300E" w:rsidRDefault="0052300E" w:rsidP="0052300E">
      <w:pPr>
        <w:pStyle w:val="ONUMA"/>
        <w:rPr>
          <w:rtl/>
          <w:lang w:bidi="ar-EG"/>
        </w:rPr>
      </w:pPr>
      <w:r w:rsidRPr="0052300E">
        <w:rPr>
          <w:rFonts w:hint="cs"/>
          <w:rtl/>
          <w:lang w:bidi="ar-EG"/>
        </w:rPr>
        <w:t xml:space="preserve">تقدم فرقة العمل المعنية بملف الإدارة تقريراً مرحلياً عن المهمة رقم 66 يصف العمل الذي قامت به فرقة العمل من أجل مساعدة مكاتب الملكية الفكرية على إنشاء ملفات إدارة متوافقة مع معيار الويبو </w:t>
      </w:r>
      <w:r w:rsidRPr="0052300E">
        <w:rPr>
          <w:lang w:bidi="ar-EG"/>
        </w:rPr>
        <w:t>ST.37</w:t>
      </w:r>
      <w:r>
        <w:rPr>
          <w:rFonts w:hint="cs"/>
          <w:rtl/>
          <w:lang w:bidi="ar-EG"/>
        </w:rPr>
        <w:t xml:space="preserve">. </w:t>
      </w:r>
      <w:r w:rsidRPr="0052300E">
        <w:rPr>
          <w:rFonts w:hint="cs"/>
          <w:rtl/>
          <w:lang w:bidi="ar-EG"/>
        </w:rPr>
        <w:t xml:space="preserve">وأعدت فرقة العمل نسخة منقحة من معيار الويبو </w:t>
      </w:r>
      <w:r w:rsidRPr="0052300E">
        <w:rPr>
          <w:lang w:bidi="ar-EG"/>
        </w:rPr>
        <w:t>ST.37</w:t>
      </w:r>
      <w:r w:rsidRPr="0052300E">
        <w:rPr>
          <w:rFonts w:hint="cs"/>
          <w:rtl/>
          <w:lang w:bidi="ar-EG"/>
        </w:rPr>
        <w:t xml:space="preserve">، النسخة </w:t>
      </w:r>
      <w:r w:rsidR="007E016E">
        <w:rPr>
          <w:rFonts w:hint="cs"/>
          <w:rtl/>
          <w:lang w:bidi="ar-EG"/>
        </w:rPr>
        <w:t>3.2</w:t>
      </w:r>
      <w:r w:rsidRPr="0052300E">
        <w:rPr>
          <w:rFonts w:hint="cs"/>
          <w:rtl/>
          <w:lang w:bidi="ar-EG"/>
        </w:rPr>
        <w:t>، لكي تنظر فيها اللجنة المعنية بمعايير الويبو (لجنة معايير) وتوافق عليها</w:t>
      </w:r>
      <w:r>
        <w:rPr>
          <w:rFonts w:hint="cs"/>
          <w:rtl/>
          <w:lang w:bidi="ar-EG"/>
        </w:rPr>
        <w:t xml:space="preserve">. </w:t>
      </w:r>
      <w:r w:rsidRPr="0052300E">
        <w:rPr>
          <w:rFonts w:hint="cs"/>
          <w:rtl/>
          <w:lang w:bidi="ar-EG"/>
        </w:rPr>
        <w:t xml:space="preserve">وما فتئت فرقة العمل تناقش أيضاً التحسينات المحتملة لبوابة ملفات الإدارة. </w:t>
      </w:r>
    </w:p>
    <w:p w14:paraId="05FFAABD" w14:textId="77777777" w:rsidR="0052300E" w:rsidRPr="0052300E" w:rsidRDefault="0052300E" w:rsidP="00B96E8B">
      <w:pPr>
        <w:pStyle w:val="Heading2"/>
        <w:rPr>
          <w:rtl/>
        </w:rPr>
      </w:pPr>
      <w:r w:rsidRPr="0052300E">
        <w:rPr>
          <w:rFonts w:hint="cs"/>
          <w:rtl/>
        </w:rPr>
        <w:t>معلومات أساسية</w:t>
      </w:r>
    </w:p>
    <w:p w14:paraId="3C45CE6E" w14:textId="5FD8AAB4" w:rsidR="0052300E" w:rsidRPr="0052300E" w:rsidRDefault="0052300E" w:rsidP="0052300E">
      <w:pPr>
        <w:pStyle w:val="ONUMA"/>
        <w:rPr>
          <w:rFonts w:ascii="Calibri" w:hAnsi="Calibri"/>
          <w:rtl/>
          <w:lang w:bidi="ar-EG"/>
        </w:rPr>
      </w:pPr>
      <w:r w:rsidRPr="0052300E">
        <w:rPr>
          <w:rFonts w:ascii="Calibri" w:hAnsi="Calibri"/>
          <w:rtl/>
          <w:lang w:bidi="ar-EG"/>
        </w:rPr>
        <w:t xml:space="preserve">وافقت لجنة المعايير، في دورتها الثانية عشرة، على إعادة تنشيط فرقة العمل المعنية بملف الإدارة من أجل مساعدة مكاتب الملكية الفكرية التي تولّد ملفات الإدارة المتوافقة مع معيار الويبو </w:t>
      </w:r>
      <w:r w:rsidRPr="0052300E">
        <w:rPr>
          <w:rFonts w:ascii="Calibri" w:hAnsi="Calibri"/>
          <w:lang w:bidi="ar-EG"/>
        </w:rPr>
        <w:t>ST.37</w:t>
      </w:r>
      <w:r w:rsidRPr="0052300E">
        <w:rPr>
          <w:rFonts w:ascii="Calibri" w:hAnsi="Calibri"/>
          <w:rtl/>
          <w:lang w:bidi="ar-EG"/>
        </w:rPr>
        <w:t>، وخاصةً تلك التي تهدف إلى تلبية المتطلبات الجديدة المتعلقة بالحد الأدنى من وثائق معاهدة البراءات</w:t>
      </w:r>
      <w:r>
        <w:rPr>
          <w:rFonts w:ascii="Calibri" w:hAnsi="Calibri"/>
          <w:rtl/>
          <w:lang w:bidi="ar-EG"/>
        </w:rPr>
        <w:t xml:space="preserve">. </w:t>
      </w:r>
      <w:r w:rsidRPr="0052300E">
        <w:rPr>
          <w:rFonts w:ascii="Calibri" w:hAnsi="Calibri"/>
          <w:rtl/>
          <w:lang w:bidi="ar-EG"/>
        </w:rPr>
        <w:t>وقد أُسندت المهمة رقم 66 إلى فرقة العمل المعاد تنشيطها، وعُيّن مكتب المملكة المتحدة للملكية الفكرية باعتباره الهيئة المشرفة على فرقة العمل</w:t>
      </w:r>
      <w:r>
        <w:rPr>
          <w:rFonts w:ascii="Calibri" w:hAnsi="Calibri"/>
          <w:rtl/>
          <w:lang w:bidi="ar-EG"/>
        </w:rPr>
        <w:t xml:space="preserve">. </w:t>
      </w:r>
      <w:r w:rsidRPr="0052300E">
        <w:rPr>
          <w:rFonts w:ascii="Calibri" w:hAnsi="Calibri"/>
          <w:rtl/>
          <w:lang w:bidi="ar-EG"/>
        </w:rPr>
        <w:t xml:space="preserve">وبتأييدٍ من عدة وفود، صدرت الموافقة على وصف المهمة رقم 66 على النحو التالي: </w:t>
      </w:r>
    </w:p>
    <w:p w14:paraId="5D0D2D86" w14:textId="77777777" w:rsidR="0052300E" w:rsidRDefault="0052300E" w:rsidP="0052300E">
      <w:pPr>
        <w:spacing w:after="220"/>
        <w:ind w:firstLine="562"/>
        <w:jc w:val="both"/>
        <w:rPr>
          <w:rFonts w:ascii="Calibri" w:hAnsi="Calibri"/>
          <w:rtl/>
          <w:lang w:bidi="ar-EG"/>
        </w:rPr>
      </w:pPr>
      <w:r w:rsidRPr="0052300E">
        <w:rPr>
          <w:rFonts w:ascii="Calibri" w:hAnsi="Calibri"/>
          <w:rtl/>
          <w:lang w:bidi="ar-EG"/>
        </w:rPr>
        <w:t xml:space="preserve">"تشجيع مكاتب الملكية الفكرية على تقديم ملفات الإدارة الخاصة بالبراءات وفقاً لمعيار الويبو </w:t>
      </w:r>
      <w:r w:rsidRPr="0052300E">
        <w:rPr>
          <w:rFonts w:ascii="Calibri" w:hAnsi="Calibri"/>
          <w:lang w:bidi="ar-EG"/>
        </w:rPr>
        <w:t>ST.37</w:t>
      </w:r>
      <w:r w:rsidRPr="0052300E">
        <w:rPr>
          <w:rFonts w:ascii="Calibri" w:hAnsi="Calibri"/>
          <w:rtl/>
          <w:lang w:bidi="ar-EG"/>
        </w:rPr>
        <w:t xml:space="preserve"> من خلال توفير أي دعم أو تدريب تقني لازم، على أساس الموارد المتاحة؛ وإجراء أي تنقيحات وتحديثات ضرورية لمعيار الويبو </w:t>
      </w:r>
      <w:r w:rsidRPr="0052300E">
        <w:rPr>
          <w:rFonts w:ascii="Calibri" w:hAnsi="Calibri"/>
          <w:lang w:bidi="ar-EG"/>
        </w:rPr>
        <w:t>ST.37</w:t>
      </w:r>
      <w:r w:rsidRPr="0052300E">
        <w:rPr>
          <w:rFonts w:ascii="Calibri" w:hAnsi="Calibri"/>
          <w:rtl/>
          <w:lang w:bidi="ar-EG"/>
        </w:rPr>
        <w:t>".</w:t>
      </w:r>
    </w:p>
    <w:p w14:paraId="5D98462B" w14:textId="77777777" w:rsidR="0052300E" w:rsidRPr="0052300E" w:rsidRDefault="0052300E" w:rsidP="00B96E8B">
      <w:pPr>
        <w:pStyle w:val="Heading2"/>
        <w:rPr>
          <w:rtl/>
        </w:rPr>
      </w:pPr>
      <w:r w:rsidRPr="0052300E">
        <w:rPr>
          <w:rtl/>
        </w:rPr>
        <w:t xml:space="preserve">تقرير </w:t>
      </w:r>
      <w:r w:rsidRPr="00B96E8B">
        <w:rPr>
          <w:rFonts w:hint="cs"/>
          <w:rtl/>
        </w:rPr>
        <w:t>مرحلي</w:t>
      </w:r>
      <w:r w:rsidRPr="0052300E">
        <w:rPr>
          <w:rtl/>
        </w:rPr>
        <w:t xml:space="preserve"> عن المهمة رقم 66 </w:t>
      </w:r>
    </w:p>
    <w:p w14:paraId="35C8CD51" w14:textId="77777777" w:rsidR="0052300E" w:rsidRPr="00B96E8B" w:rsidRDefault="0052300E" w:rsidP="00B96E8B">
      <w:pPr>
        <w:pStyle w:val="Heading3"/>
        <w:rPr>
          <w:rtl/>
        </w:rPr>
      </w:pPr>
      <w:r w:rsidRPr="00B96E8B">
        <w:rPr>
          <w:rFonts w:hint="cs"/>
          <w:rtl/>
        </w:rPr>
        <w:t>الأهداف</w:t>
      </w:r>
    </w:p>
    <w:p w14:paraId="73797344" w14:textId="77777777" w:rsidR="0052300E" w:rsidRPr="0052300E" w:rsidRDefault="0052300E" w:rsidP="0052300E">
      <w:pPr>
        <w:pStyle w:val="ONUMA"/>
        <w:rPr>
          <w:rFonts w:ascii="Calibri" w:hAnsi="Calibri"/>
          <w:rtl/>
          <w:lang w:bidi="ar-EG"/>
        </w:rPr>
      </w:pPr>
      <w:r w:rsidRPr="0052300E">
        <w:rPr>
          <w:rFonts w:ascii="Calibri" w:hAnsi="Calibri"/>
          <w:rtl/>
          <w:lang w:bidi="ar-EG"/>
        </w:rPr>
        <w:t>يرد فيما يلي الأهداف التي ترغب فرقة العمل المعنية بملف الإدارة تحقيقها في إطار المهمة رقم 66:</w:t>
      </w:r>
    </w:p>
    <w:p w14:paraId="1547E58D" w14:textId="0493732B" w:rsidR="0052300E" w:rsidRPr="0052300E" w:rsidRDefault="0052300E" w:rsidP="0052300E">
      <w:pPr>
        <w:numPr>
          <w:ilvl w:val="0"/>
          <w:numId w:val="30"/>
        </w:numPr>
        <w:spacing w:after="120"/>
        <w:ind w:left="936"/>
        <w:rPr>
          <w:rFonts w:ascii="Calibri" w:hAnsi="Calibri"/>
          <w:rtl/>
          <w:lang w:bidi="ar-EG"/>
        </w:rPr>
      </w:pPr>
      <w:r w:rsidRPr="0052300E">
        <w:rPr>
          <w:rFonts w:ascii="Calibri" w:hAnsi="Calibri"/>
          <w:rtl/>
          <w:lang w:bidi="ar-EG"/>
        </w:rPr>
        <w:lastRenderedPageBreak/>
        <w:t xml:space="preserve">تنقيح معيار الويبو </w:t>
      </w:r>
      <w:r w:rsidRPr="0052300E">
        <w:rPr>
          <w:rFonts w:ascii="Calibri" w:hAnsi="Calibri"/>
          <w:lang w:bidi="ar-EG"/>
        </w:rPr>
        <w:t>ST.37</w:t>
      </w:r>
      <w:r w:rsidRPr="0052300E">
        <w:rPr>
          <w:rFonts w:ascii="Calibri" w:hAnsi="Calibri"/>
          <w:rtl/>
          <w:lang w:bidi="ar-EG"/>
        </w:rPr>
        <w:t xml:space="preserve"> من أجل تبسيط النص وتوضيحه، بما يفضي إلى النسخة </w:t>
      </w:r>
      <w:r w:rsidR="00082690">
        <w:rPr>
          <w:rFonts w:ascii="Calibri" w:hAnsi="Calibri" w:hint="cs"/>
          <w:rtl/>
          <w:lang w:bidi="ar-EG"/>
        </w:rPr>
        <w:t>3.2</w:t>
      </w:r>
      <w:r w:rsidRPr="0052300E">
        <w:rPr>
          <w:rFonts w:ascii="Calibri" w:hAnsi="Calibri"/>
          <w:rtl/>
          <w:lang w:bidi="ar-EG"/>
        </w:rPr>
        <w:t>؛</w:t>
      </w:r>
    </w:p>
    <w:p w14:paraId="023E10CB" w14:textId="77777777" w:rsidR="0052300E" w:rsidRPr="0052300E" w:rsidRDefault="0052300E" w:rsidP="0052300E">
      <w:pPr>
        <w:numPr>
          <w:ilvl w:val="0"/>
          <w:numId w:val="30"/>
        </w:numPr>
        <w:spacing w:after="120"/>
        <w:ind w:left="936"/>
        <w:rPr>
          <w:rFonts w:ascii="Calibri" w:hAnsi="Calibri"/>
          <w:rtl/>
          <w:lang w:bidi="ar-EG"/>
        </w:rPr>
      </w:pPr>
      <w:r w:rsidRPr="0052300E">
        <w:rPr>
          <w:rFonts w:ascii="Calibri" w:hAnsi="Calibri"/>
          <w:rtl/>
          <w:lang w:bidi="ar-EG"/>
        </w:rPr>
        <w:t xml:space="preserve">ودعم مكاتب الملكية الفكرية في إنشاء ملف إدارة متوافق مع معيارة الويبو </w:t>
      </w:r>
      <w:r w:rsidRPr="0052300E">
        <w:rPr>
          <w:rFonts w:ascii="Calibri" w:hAnsi="Calibri"/>
          <w:lang w:bidi="ar-EG"/>
        </w:rPr>
        <w:t>ST.37</w:t>
      </w:r>
      <w:r w:rsidRPr="0052300E">
        <w:rPr>
          <w:rFonts w:ascii="Calibri" w:hAnsi="Calibri"/>
          <w:rtl/>
          <w:lang w:bidi="ar-EG"/>
        </w:rPr>
        <w:t>؛</w:t>
      </w:r>
    </w:p>
    <w:p w14:paraId="2216E290" w14:textId="77777777" w:rsidR="0052300E" w:rsidRPr="0052300E" w:rsidRDefault="0052300E" w:rsidP="0052300E">
      <w:pPr>
        <w:numPr>
          <w:ilvl w:val="0"/>
          <w:numId w:val="30"/>
        </w:numPr>
        <w:spacing w:after="120"/>
        <w:ind w:left="936"/>
        <w:rPr>
          <w:rFonts w:ascii="Calibri" w:hAnsi="Calibri"/>
          <w:rtl/>
          <w:lang w:bidi="ar-EG"/>
        </w:rPr>
      </w:pPr>
      <w:r w:rsidRPr="0052300E">
        <w:rPr>
          <w:rFonts w:ascii="Calibri" w:hAnsi="Calibri"/>
          <w:rtl/>
          <w:lang w:bidi="ar-EG"/>
        </w:rPr>
        <w:t>ومساعدة مكاتب الملكية الفكرية المعنية في فهم المتطلبات الجديدة للحد الأدنى من وثائق معاهدة البراءات؛</w:t>
      </w:r>
    </w:p>
    <w:p w14:paraId="62FE653C" w14:textId="77777777" w:rsidR="0052300E" w:rsidRPr="0052300E" w:rsidRDefault="0052300E" w:rsidP="0052300E">
      <w:pPr>
        <w:numPr>
          <w:ilvl w:val="0"/>
          <w:numId w:val="30"/>
        </w:numPr>
        <w:spacing w:after="120"/>
        <w:ind w:left="936"/>
        <w:rPr>
          <w:rFonts w:ascii="Calibri" w:hAnsi="Calibri"/>
          <w:rtl/>
          <w:lang w:bidi="ar-EG"/>
        </w:rPr>
      </w:pPr>
      <w:r w:rsidRPr="0052300E">
        <w:rPr>
          <w:rFonts w:ascii="Calibri" w:hAnsi="Calibri"/>
          <w:rtl/>
          <w:lang w:bidi="ar-EG"/>
        </w:rPr>
        <w:t>وتحديد التحديثات الضرورية لبوابة ملفات الإدارة؛</w:t>
      </w:r>
    </w:p>
    <w:p w14:paraId="547EA51C" w14:textId="77777777" w:rsidR="0052300E" w:rsidRDefault="0052300E" w:rsidP="0052300E">
      <w:pPr>
        <w:numPr>
          <w:ilvl w:val="0"/>
          <w:numId w:val="30"/>
        </w:numPr>
        <w:spacing w:after="120"/>
        <w:ind w:left="936"/>
        <w:rPr>
          <w:rFonts w:ascii="Calibri" w:hAnsi="Calibri"/>
          <w:lang w:bidi="ar-EG"/>
        </w:rPr>
      </w:pPr>
      <w:r w:rsidRPr="0052300E">
        <w:rPr>
          <w:rFonts w:ascii="Calibri" w:hAnsi="Calibri"/>
          <w:rtl/>
          <w:lang w:bidi="ar-EG"/>
        </w:rPr>
        <w:t xml:space="preserve">وزيادة عدد ملفات الإدارة المتوافقة مع معيار الويبو </w:t>
      </w:r>
      <w:r w:rsidRPr="0052300E">
        <w:rPr>
          <w:rFonts w:ascii="Calibri" w:hAnsi="Calibri"/>
          <w:lang w:bidi="ar-EG"/>
        </w:rPr>
        <w:t>ST.37</w:t>
      </w:r>
      <w:r w:rsidRPr="0052300E">
        <w:rPr>
          <w:rFonts w:ascii="Calibri" w:hAnsi="Calibri"/>
          <w:rtl/>
          <w:lang w:bidi="ar-EG"/>
        </w:rPr>
        <w:t xml:space="preserve"> المتاحة على بوابة الويبو لملفات الإدارة.</w:t>
      </w:r>
    </w:p>
    <w:p w14:paraId="1990F5BF" w14:textId="77777777" w:rsidR="0052300E" w:rsidRPr="0052300E" w:rsidRDefault="0052300E" w:rsidP="00B96E8B">
      <w:pPr>
        <w:pStyle w:val="Heading3"/>
        <w:rPr>
          <w:rtl/>
        </w:rPr>
      </w:pPr>
      <w:r w:rsidRPr="0052300E">
        <w:rPr>
          <w:rtl/>
        </w:rPr>
        <w:t>التقدم المحرز</w:t>
      </w:r>
    </w:p>
    <w:p w14:paraId="69305A4E" w14:textId="7147AA08" w:rsidR="0052300E" w:rsidRPr="0052300E" w:rsidRDefault="0052300E" w:rsidP="0052300E">
      <w:pPr>
        <w:pStyle w:val="ONUMA"/>
        <w:rPr>
          <w:rFonts w:ascii="Calibri" w:hAnsi="Calibri"/>
          <w:rtl/>
          <w:lang w:bidi="ar-EG"/>
        </w:rPr>
      </w:pPr>
      <w:r w:rsidRPr="0052300E">
        <w:rPr>
          <w:rFonts w:ascii="Calibri" w:hAnsi="Calibri"/>
          <w:rtl/>
          <w:lang w:bidi="ar-EG"/>
        </w:rPr>
        <w:t>منذ الدورة الثانية عشرة للجنة المعايير، أجرت فرقة العمل حلقة عمل مختلطة استغرقت يوماً واحداً في جنيف، وحضرها 6 مكاتب في الموقع و15 مكتباً آخر عبر الوسائل الافتراضية، وعقدت اجتماعين افتراضيين لفرقة العمل في أبريل ويونيو 2025</w:t>
      </w:r>
      <w:r>
        <w:rPr>
          <w:rFonts w:ascii="Calibri" w:hAnsi="Calibri"/>
          <w:rtl/>
          <w:lang w:bidi="ar-EG"/>
        </w:rPr>
        <w:t xml:space="preserve">. </w:t>
      </w:r>
    </w:p>
    <w:p w14:paraId="7F054BD5" w14:textId="77777777" w:rsidR="0052300E" w:rsidRPr="0052300E" w:rsidRDefault="0052300E" w:rsidP="0052300E">
      <w:pPr>
        <w:pStyle w:val="ONUMA"/>
        <w:rPr>
          <w:rtl/>
          <w:lang w:bidi="ar-EG"/>
        </w:rPr>
      </w:pPr>
      <w:r w:rsidRPr="0052300E">
        <w:rPr>
          <w:rtl/>
          <w:lang w:bidi="ar-EG"/>
        </w:rPr>
        <w:t>وخلال حلقة العمل المختلطة، نُوقش عدد من المواضيع المعلقة، من أجل تحديد أي مراجعات ضرورية للمعيار، بما في ذلك:</w:t>
      </w:r>
    </w:p>
    <w:p w14:paraId="093B20FE" w14:textId="77777777" w:rsidR="0052300E" w:rsidRPr="0052300E" w:rsidRDefault="0052300E" w:rsidP="0052300E">
      <w:pPr>
        <w:numPr>
          <w:ilvl w:val="0"/>
          <w:numId w:val="33"/>
        </w:numPr>
        <w:spacing w:after="120"/>
        <w:ind w:left="936"/>
        <w:rPr>
          <w:rFonts w:ascii="Calibri" w:hAnsi="Calibri"/>
          <w:rtl/>
          <w:lang w:bidi="ar-EG"/>
        </w:rPr>
      </w:pPr>
      <w:r w:rsidRPr="0052300E">
        <w:rPr>
          <w:rFonts w:ascii="Calibri" w:hAnsi="Calibri"/>
          <w:u w:val="single"/>
          <w:rtl/>
          <w:lang w:bidi="ar-EG"/>
        </w:rPr>
        <w:t>رموز الاستثناء</w:t>
      </w:r>
      <w:r w:rsidRPr="0052300E">
        <w:rPr>
          <w:rFonts w:ascii="Calibri" w:hAnsi="Calibri"/>
          <w:rtl/>
          <w:lang w:bidi="ar-EG"/>
        </w:rPr>
        <w:t xml:space="preserve"> – ما فتئت رموز الاستثناء تشكّل حيزاً يكتنفه اللبس بالنسبة إلى العديد من مكاتب الملكية الفكرية، وهذا الاستعراض له أهمية أساسية في مساعدة أعضاء فرقة العمل على فهم الفرق بين رموز الاستثناءات والمؤشرات القابلة للبحث النصي، فضلاً عن مراجعة رموز الاستثناءات وتحسين التعاريف المرتبطة بها.</w:t>
      </w:r>
    </w:p>
    <w:p w14:paraId="3C6D786E" w14:textId="1713AB51" w:rsidR="0052300E" w:rsidRPr="0052300E" w:rsidRDefault="0052300E" w:rsidP="0052300E">
      <w:pPr>
        <w:numPr>
          <w:ilvl w:val="0"/>
          <w:numId w:val="33"/>
        </w:numPr>
        <w:spacing w:after="120"/>
        <w:ind w:left="936"/>
        <w:rPr>
          <w:rFonts w:ascii="Calibri" w:hAnsi="Calibri"/>
          <w:rtl/>
          <w:lang w:bidi="ar-EG"/>
        </w:rPr>
      </w:pPr>
      <w:r w:rsidRPr="0052300E">
        <w:rPr>
          <w:rFonts w:ascii="Calibri" w:hAnsi="Calibri"/>
          <w:u w:val="single"/>
          <w:rtl/>
          <w:lang w:bidi="ar-EG"/>
        </w:rPr>
        <w:t>المؤشرات القابلة للبحث النصي</w:t>
      </w:r>
      <w:r w:rsidRPr="0052300E">
        <w:rPr>
          <w:rFonts w:ascii="Calibri" w:hAnsi="Calibri"/>
          <w:rtl/>
          <w:lang w:bidi="ar-EG"/>
        </w:rPr>
        <w:t xml:space="preserve"> - هي أيضاً سبب في توليد اللبس بين المكاتب، وعلى وجه الخصوص استخدام الحرف "</w:t>
      </w:r>
      <w:r w:rsidRPr="0052300E">
        <w:rPr>
          <w:rFonts w:ascii="Calibri" w:hAnsi="Calibri"/>
          <w:lang w:bidi="ar-EG"/>
        </w:rPr>
        <w:t>U</w:t>
      </w:r>
      <w:r w:rsidRPr="0052300E">
        <w:rPr>
          <w:rFonts w:ascii="Calibri" w:hAnsi="Calibri"/>
          <w:rtl/>
          <w:lang w:bidi="ar-EG"/>
        </w:rPr>
        <w:t>" مقابل الحرف "</w:t>
      </w:r>
      <w:r w:rsidRPr="0052300E">
        <w:rPr>
          <w:rFonts w:ascii="Calibri" w:hAnsi="Calibri"/>
          <w:lang w:bidi="ar-EG"/>
        </w:rPr>
        <w:t>N"</w:t>
      </w:r>
      <w:r>
        <w:rPr>
          <w:rFonts w:ascii="Calibri" w:hAnsi="Calibri"/>
          <w:rtl/>
          <w:lang w:bidi="ar-EG"/>
        </w:rPr>
        <w:t xml:space="preserve">. </w:t>
      </w:r>
      <w:r w:rsidRPr="0052300E">
        <w:rPr>
          <w:rFonts w:ascii="Calibri" w:hAnsi="Calibri"/>
          <w:rtl/>
          <w:lang w:bidi="ar-EG"/>
        </w:rPr>
        <w:t>وقد جرى التوصل إلى اتفاق لإزالة المؤشر "</w:t>
      </w:r>
      <w:r w:rsidRPr="0052300E">
        <w:rPr>
          <w:rFonts w:ascii="Calibri" w:hAnsi="Calibri"/>
          <w:lang w:bidi="ar-EG"/>
        </w:rPr>
        <w:t>U</w:t>
      </w:r>
      <w:r w:rsidRPr="0052300E">
        <w:rPr>
          <w:rFonts w:ascii="Calibri" w:hAnsi="Calibri"/>
          <w:rtl/>
          <w:lang w:bidi="ar-EG"/>
        </w:rPr>
        <w:t>" القابل للبحث النصي من المعيار</w:t>
      </w:r>
      <w:r>
        <w:rPr>
          <w:rFonts w:ascii="Calibri" w:hAnsi="Calibri"/>
          <w:rtl/>
          <w:lang w:bidi="ar-EG"/>
        </w:rPr>
        <w:t xml:space="preserve">. </w:t>
      </w:r>
      <w:r w:rsidRPr="0052300E">
        <w:rPr>
          <w:rFonts w:ascii="Calibri" w:hAnsi="Calibri"/>
          <w:rtl/>
          <w:lang w:bidi="ar-EG"/>
        </w:rPr>
        <w:t>وهذا يعني أنه سيتم تعيين رموز للغة في أقسام الملخص أو الوصف أو المطالبات للإشارة إلى اللغات المنشورة بها، أو للإشارة بدلاً من ذلك إلى أن قسماً معيناً من الوثيقة غير متاح بنسق قابل للبحث النصي في ذك الوقت، ويُشار إلى ذلك بالحرف "</w:t>
      </w:r>
      <w:r w:rsidRPr="0052300E">
        <w:rPr>
          <w:rFonts w:ascii="Calibri" w:hAnsi="Calibri"/>
          <w:lang w:bidi="ar-EG"/>
        </w:rPr>
        <w:t>N</w:t>
      </w:r>
      <w:r w:rsidRPr="0052300E">
        <w:rPr>
          <w:rFonts w:ascii="Calibri" w:hAnsi="Calibri"/>
          <w:rtl/>
          <w:lang w:bidi="ar-EG"/>
        </w:rPr>
        <w:t>".</w:t>
      </w:r>
    </w:p>
    <w:p w14:paraId="4EB1EABA" w14:textId="77777777" w:rsidR="0052300E" w:rsidRPr="0052300E" w:rsidRDefault="0052300E" w:rsidP="0052300E">
      <w:pPr>
        <w:numPr>
          <w:ilvl w:val="0"/>
          <w:numId w:val="33"/>
        </w:numPr>
        <w:spacing w:after="120"/>
        <w:ind w:left="936"/>
        <w:rPr>
          <w:rFonts w:ascii="Calibri" w:hAnsi="Calibri"/>
          <w:rtl/>
          <w:lang w:bidi="ar-EG"/>
        </w:rPr>
      </w:pPr>
      <w:r w:rsidRPr="0052300E">
        <w:rPr>
          <w:rFonts w:ascii="Calibri" w:hAnsi="Calibri"/>
          <w:u w:val="single"/>
          <w:rtl/>
          <w:lang w:bidi="ar-EG"/>
        </w:rPr>
        <w:t>العناصر الاختيارية</w:t>
      </w:r>
      <w:r w:rsidRPr="0052300E">
        <w:rPr>
          <w:rFonts w:ascii="Calibri" w:hAnsi="Calibri"/>
          <w:rtl/>
          <w:lang w:bidi="ar-EG"/>
        </w:rPr>
        <w:t xml:space="preserve"> – عقب بيانٍ من مستخدمي ملفات الإدارة، اتُفق على ضرورة تنقيح المخططات للسماح بنقص المكونات في عنصر البيانات الاختياري من أجل توفير جميع المعلومات المتاحة.</w:t>
      </w:r>
    </w:p>
    <w:p w14:paraId="1A86C873" w14:textId="77777777" w:rsidR="0052300E" w:rsidRPr="0052300E" w:rsidRDefault="0052300E" w:rsidP="0052300E">
      <w:pPr>
        <w:numPr>
          <w:ilvl w:val="0"/>
          <w:numId w:val="33"/>
        </w:numPr>
        <w:spacing w:after="120"/>
        <w:ind w:left="936"/>
        <w:rPr>
          <w:rFonts w:ascii="Calibri" w:hAnsi="Calibri"/>
          <w:rtl/>
          <w:lang w:bidi="ar-EG"/>
        </w:rPr>
      </w:pPr>
      <w:r w:rsidRPr="0052300E">
        <w:rPr>
          <w:rFonts w:ascii="Calibri" w:hAnsi="Calibri"/>
          <w:u w:val="single"/>
          <w:rtl/>
          <w:lang w:bidi="ar-EG"/>
        </w:rPr>
        <w:t>نسق النص</w:t>
      </w:r>
      <w:r w:rsidRPr="0052300E">
        <w:rPr>
          <w:rFonts w:ascii="Calibri" w:hAnsi="Calibri"/>
          <w:rtl/>
          <w:lang w:bidi="ar-EG"/>
        </w:rPr>
        <w:t xml:space="preserve"> – في حين كان الإجماع، بالنسبة إلى المكاتب الراغبة في توفير أكبر قدر ممكن من البيانات الاختيارية المحددة في المعيار، هو أن تطبق مخطط لغة الترميز الموسعة (</w:t>
      </w:r>
      <w:r w:rsidRPr="0052300E">
        <w:rPr>
          <w:rFonts w:ascii="Calibri" w:hAnsi="Calibri"/>
          <w:lang w:bidi="ar-EG"/>
        </w:rPr>
        <w:t>XML</w:t>
      </w:r>
      <w:r w:rsidRPr="0052300E">
        <w:rPr>
          <w:rFonts w:ascii="Calibri" w:hAnsi="Calibri"/>
          <w:rtl/>
          <w:lang w:bidi="ar-EG"/>
        </w:rPr>
        <w:t>) أو معرّف نوع الوثيقة (</w:t>
      </w:r>
      <w:r w:rsidRPr="0052300E">
        <w:rPr>
          <w:rFonts w:ascii="Calibri" w:hAnsi="Calibri"/>
          <w:lang w:bidi="ar-EG"/>
        </w:rPr>
        <w:t>DTD)</w:t>
      </w:r>
      <w:r w:rsidRPr="0052300E">
        <w:rPr>
          <w:rFonts w:ascii="Calibri" w:hAnsi="Calibri"/>
          <w:rtl/>
          <w:lang w:bidi="ar-EG"/>
        </w:rPr>
        <w:t>، اتُفق على أنه ما دامت المعلومات المقدمة بنسق نصي واضحة وجلية، فإنها ستكون مفيدة لمستخدمي البيانات.</w:t>
      </w:r>
    </w:p>
    <w:p w14:paraId="3FC4A650" w14:textId="5D66FC8B" w:rsidR="0052300E" w:rsidRPr="0052300E" w:rsidRDefault="0052300E" w:rsidP="0052300E">
      <w:pPr>
        <w:numPr>
          <w:ilvl w:val="0"/>
          <w:numId w:val="33"/>
        </w:numPr>
        <w:spacing w:after="120"/>
        <w:ind w:left="936"/>
        <w:rPr>
          <w:rFonts w:ascii="Calibri" w:hAnsi="Calibri"/>
          <w:rtl/>
          <w:lang w:bidi="ar-EG"/>
        </w:rPr>
      </w:pPr>
      <w:r w:rsidRPr="0052300E">
        <w:rPr>
          <w:rFonts w:ascii="Calibri" w:hAnsi="Calibri"/>
          <w:u w:val="single"/>
          <w:rtl/>
          <w:lang w:bidi="ar-EG"/>
        </w:rPr>
        <w:t>مخطط لغة الترميز الموسعة ومعرّف نوع الوثيقة</w:t>
      </w:r>
      <w:r w:rsidRPr="0052300E">
        <w:rPr>
          <w:rFonts w:ascii="Calibri" w:hAnsi="Calibri"/>
          <w:rtl/>
          <w:lang w:bidi="ar-EG"/>
        </w:rPr>
        <w:t xml:space="preserve"> – بعد المناقشات، اتُفق على ضرورة إدخال بعض التعديلات الطفيفة على المخططات</w:t>
      </w:r>
      <w:r>
        <w:rPr>
          <w:rFonts w:ascii="Calibri" w:hAnsi="Calibri"/>
          <w:rtl/>
          <w:lang w:bidi="ar-EG"/>
        </w:rPr>
        <w:t xml:space="preserve">. </w:t>
      </w:r>
      <w:r w:rsidRPr="0052300E">
        <w:rPr>
          <w:rFonts w:ascii="Calibri" w:hAnsi="Calibri"/>
          <w:rtl/>
          <w:lang w:bidi="ar-EG"/>
        </w:rPr>
        <w:t>وتتضمن هذه التغييرات اقتراحاً للسماح بنطاقات أرقام متعددة في قسم التعريف في المخطط.</w:t>
      </w:r>
    </w:p>
    <w:p w14:paraId="762D304A" w14:textId="35D018E8" w:rsidR="0052300E" w:rsidRPr="0052300E" w:rsidRDefault="0052300E" w:rsidP="0052300E">
      <w:pPr>
        <w:numPr>
          <w:ilvl w:val="0"/>
          <w:numId w:val="33"/>
        </w:numPr>
        <w:spacing w:after="120"/>
        <w:ind w:left="936"/>
        <w:rPr>
          <w:rFonts w:ascii="Calibri" w:hAnsi="Calibri"/>
          <w:rtl/>
          <w:lang w:bidi="ar-EG"/>
        </w:rPr>
      </w:pPr>
      <w:r w:rsidRPr="0052300E">
        <w:rPr>
          <w:rFonts w:ascii="Calibri" w:hAnsi="Calibri"/>
          <w:u w:val="single"/>
          <w:rtl/>
          <w:lang w:bidi="ar-EG"/>
        </w:rPr>
        <w:t>هيكلية الوثيقة</w:t>
      </w:r>
      <w:r w:rsidRPr="0052300E">
        <w:rPr>
          <w:rFonts w:ascii="Calibri" w:hAnsi="Calibri"/>
          <w:rtl/>
          <w:lang w:bidi="ar-EG"/>
        </w:rPr>
        <w:t xml:space="preserve"> - اقترح أحد أعضاء </w:t>
      </w:r>
      <w:r w:rsidR="00082690">
        <w:rPr>
          <w:rFonts w:ascii="Calibri" w:hAnsi="Calibri" w:hint="cs"/>
          <w:rtl/>
          <w:lang w:bidi="ar-EG"/>
        </w:rPr>
        <w:t>فرقة</w:t>
      </w:r>
      <w:r w:rsidRPr="0052300E">
        <w:rPr>
          <w:rFonts w:ascii="Calibri" w:hAnsi="Calibri"/>
          <w:rtl/>
          <w:lang w:bidi="ar-EG"/>
        </w:rPr>
        <w:t xml:space="preserve"> العمل بعض أوجه التبسيط لهيكلية المعيار، وهو ما رحّب به العديد من المشاركين وأسفر عن إعداد وثيقة محسنة إلى حد كبير.</w:t>
      </w:r>
    </w:p>
    <w:p w14:paraId="3EA26FEF" w14:textId="5A03108A" w:rsidR="0052300E" w:rsidRPr="0052300E" w:rsidRDefault="0052300E" w:rsidP="0052300E">
      <w:pPr>
        <w:pStyle w:val="ONUMA"/>
        <w:rPr>
          <w:rtl/>
          <w:lang w:bidi="ar-EG"/>
        </w:rPr>
      </w:pPr>
      <w:r w:rsidRPr="0052300E">
        <w:rPr>
          <w:rtl/>
          <w:lang w:bidi="ar-EG"/>
        </w:rPr>
        <w:t>وفي الاجتماع الأول لفرقة العمل، الذي عُقد في أبريل 2025، قدم المكتب الدولي عرضاً تقديمياً حول "المنشورات بالنص الكامل ـ ما هو الجيد بما فيه الكفاية"</w:t>
      </w:r>
      <w:r>
        <w:rPr>
          <w:rtl/>
          <w:lang w:bidi="ar-EG"/>
        </w:rPr>
        <w:t xml:space="preserve">. </w:t>
      </w:r>
      <w:r w:rsidRPr="0052300E">
        <w:rPr>
          <w:rtl/>
          <w:lang w:bidi="ar-EG"/>
        </w:rPr>
        <w:t xml:space="preserve">ولاقى العرض استحساناً من المشاركين في الاجتماع، وقدّم لمحة عامة جيدة عما يتعين على المكاتب القيام به من أجل تلبية المتطلبات الجديدة للحد الأدنى من وثائق البراءات، من حيث رقمنة وثائق البراءات لديها. </w:t>
      </w:r>
    </w:p>
    <w:p w14:paraId="78ACF0C6" w14:textId="617C5C28" w:rsidR="0052300E" w:rsidRPr="0052300E" w:rsidRDefault="0052300E" w:rsidP="0052300E">
      <w:pPr>
        <w:pStyle w:val="ONUMA"/>
        <w:rPr>
          <w:rtl/>
          <w:lang w:bidi="ar-EG"/>
        </w:rPr>
      </w:pPr>
      <w:r w:rsidRPr="0052300E">
        <w:rPr>
          <w:rtl/>
          <w:lang w:bidi="ar-EG"/>
        </w:rPr>
        <w:t xml:space="preserve">وخلال الاجتماع الثاني لفرقة العمل، الذي عُقد في يونيو 2025، تواصلت المناقشات بشأن المسودة المنقحة لمعيار الويبو </w:t>
      </w:r>
      <w:r w:rsidRPr="0052300E">
        <w:rPr>
          <w:lang w:bidi="ar-EG"/>
        </w:rPr>
        <w:t>ST.37</w:t>
      </w:r>
      <w:r w:rsidRPr="0052300E">
        <w:rPr>
          <w:rtl/>
          <w:lang w:bidi="ar-EG"/>
        </w:rPr>
        <w:t>، وذلك عقب التعاون بين المكتب الدولي ومكتب المملكة المتحدة للملكية الفكرية، استناداً إلى النتائج المتفق عليها من حلقة العمل المختلطة التي أجرتها فرقة العمل</w:t>
      </w:r>
      <w:r>
        <w:rPr>
          <w:rtl/>
          <w:lang w:bidi="ar-EG"/>
        </w:rPr>
        <w:t xml:space="preserve">. </w:t>
      </w:r>
      <w:r w:rsidRPr="0052300E">
        <w:rPr>
          <w:rtl/>
          <w:lang w:bidi="ar-EG"/>
        </w:rPr>
        <w:t>ونظراً إلى أن هذا التغيير طفيف من حيث محتوى التوصيات، فإنّ الرقم الذي تحمله مسودة النسخة الجديدة هو "النسخة 3.2"</w:t>
      </w:r>
      <w:r>
        <w:rPr>
          <w:rtl/>
          <w:lang w:bidi="ar-EG"/>
        </w:rPr>
        <w:t xml:space="preserve">. </w:t>
      </w:r>
      <w:r w:rsidRPr="0052300E">
        <w:rPr>
          <w:rtl/>
          <w:lang w:bidi="ar-EG"/>
        </w:rPr>
        <w:t>ونُشرت المسودة النهائية على صفحة الويكي الخاصة بفرقة العمل، ووافقت فرقة العمل عليها في وقت لاحق</w:t>
      </w:r>
      <w:r>
        <w:rPr>
          <w:rtl/>
          <w:lang w:bidi="ar-EG"/>
        </w:rPr>
        <w:t xml:space="preserve">. </w:t>
      </w:r>
      <w:r w:rsidRPr="0052300E">
        <w:rPr>
          <w:rtl/>
          <w:lang w:bidi="ar-EG"/>
        </w:rPr>
        <w:t xml:space="preserve">ويمكن الاطلاع على المزيد من التفاصيل بشأن تنقيح معيار الويبو </w:t>
      </w:r>
      <w:r w:rsidRPr="0052300E">
        <w:rPr>
          <w:lang w:bidi="ar-EG"/>
        </w:rPr>
        <w:t>ST.37</w:t>
      </w:r>
      <w:r w:rsidRPr="0052300E">
        <w:rPr>
          <w:rtl/>
          <w:lang w:bidi="ar-EG"/>
        </w:rPr>
        <w:t xml:space="preserve"> في الوثيقة </w:t>
      </w:r>
      <w:r w:rsidRPr="0052300E">
        <w:rPr>
          <w:lang w:bidi="ar-EG"/>
        </w:rPr>
        <w:t>CWS/13/17</w:t>
      </w:r>
      <w:r w:rsidRPr="0052300E">
        <w:rPr>
          <w:rtl/>
          <w:lang w:bidi="ar-EG"/>
        </w:rPr>
        <w:t>.</w:t>
      </w:r>
    </w:p>
    <w:p w14:paraId="1D9DCAAD" w14:textId="6BDB5789" w:rsidR="0052300E" w:rsidRPr="0052300E" w:rsidRDefault="0052300E" w:rsidP="0052300E">
      <w:pPr>
        <w:pStyle w:val="ONUMA"/>
        <w:rPr>
          <w:rtl/>
          <w:lang w:bidi="ar-EG"/>
        </w:rPr>
      </w:pPr>
      <w:r w:rsidRPr="0052300E">
        <w:rPr>
          <w:rtl/>
          <w:lang w:bidi="ar-EG"/>
        </w:rPr>
        <w:t xml:space="preserve">ونُوقش كذلك تاريخ بدء النفاذ بالنسبة إلى النسخة 3.2 من معيار الويبو </w:t>
      </w:r>
      <w:r w:rsidRPr="0052300E">
        <w:rPr>
          <w:lang w:bidi="ar-EG"/>
        </w:rPr>
        <w:t>ST.37</w:t>
      </w:r>
      <w:r>
        <w:rPr>
          <w:rtl/>
          <w:lang w:bidi="ar-EG"/>
        </w:rPr>
        <w:t xml:space="preserve">. </w:t>
      </w:r>
      <w:r w:rsidRPr="0052300E">
        <w:rPr>
          <w:rtl/>
          <w:lang w:bidi="ar-EG"/>
        </w:rPr>
        <w:t>وأكّدت الأمانة أن تاريخ بدء نفاذ معيار الويبو هو عادة تاريخ نشر المعيار، ما لم تحدد لجنة المعايير خلاف ذلك</w:t>
      </w:r>
      <w:r>
        <w:rPr>
          <w:rtl/>
          <w:lang w:bidi="ar-EG"/>
        </w:rPr>
        <w:t xml:space="preserve">. </w:t>
      </w:r>
      <w:r w:rsidRPr="0052300E">
        <w:rPr>
          <w:rtl/>
          <w:lang w:bidi="ar-EG"/>
        </w:rPr>
        <w:t>واتفقت فرقة العمل على أنه عندما توافق لجنة المعايير في دورتها الثالثة عشرة على المعيار المنقح، ستكون المكاتب حرة في تنفيذ النسخة 2.2 أو 3.2 بمجرد نشر النسخة الجديدة.</w:t>
      </w:r>
    </w:p>
    <w:p w14:paraId="4975144E" w14:textId="76FC464A" w:rsidR="0052300E" w:rsidRPr="0052300E" w:rsidRDefault="0052300E" w:rsidP="0052300E">
      <w:pPr>
        <w:pStyle w:val="ONUMA"/>
        <w:rPr>
          <w:rtl/>
          <w:lang w:bidi="ar-EG"/>
        </w:rPr>
      </w:pPr>
      <w:r w:rsidRPr="0052300E">
        <w:rPr>
          <w:rtl/>
          <w:lang w:bidi="ar-EG"/>
        </w:rPr>
        <w:t>وأُجريت كذلك مناقشة بشأن مساحة ويكي الخاصة بفرقة العمل، وذلك فيما يتعلق بالتحسينات المحتملة لبوابة ملفات الإدارة من أجل تسهيل وصول المكاتب ومستخدمي البيانات إلى ملفات الإدارة</w:t>
      </w:r>
      <w:r>
        <w:rPr>
          <w:rtl/>
          <w:lang w:bidi="ar-EG"/>
        </w:rPr>
        <w:t xml:space="preserve">. </w:t>
      </w:r>
      <w:r w:rsidRPr="0052300E">
        <w:rPr>
          <w:rtl/>
          <w:lang w:bidi="ar-EG"/>
        </w:rPr>
        <w:t xml:space="preserve">ولا تزال هذه المناقشات مستمرة، ويمكن الاطلاع على تفاصيل إضافية عن هذا الاقتراح في الوثيقة </w:t>
      </w:r>
      <w:r w:rsidRPr="0052300E">
        <w:rPr>
          <w:lang w:bidi="ar-EG"/>
        </w:rPr>
        <w:t>CWS/13/22</w:t>
      </w:r>
      <w:r w:rsidRPr="0052300E">
        <w:rPr>
          <w:rtl/>
          <w:lang w:bidi="ar-EG"/>
        </w:rPr>
        <w:t xml:space="preserve">. </w:t>
      </w:r>
    </w:p>
    <w:p w14:paraId="2B98DCCA" w14:textId="77777777" w:rsidR="0052300E" w:rsidRPr="0052300E" w:rsidRDefault="0052300E" w:rsidP="00B96E8B">
      <w:pPr>
        <w:pStyle w:val="Heading3"/>
        <w:rPr>
          <w:rtl/>
        </w:rPr>
      </w:pPr>
      <w:r w:rsidRPr="0052300E">
        <w:rPr>
          <w:rtl/>
        </w:rPr>
        <w:t>التحديات</w:t>
      </w:r>
    </w:p>
    <w:p w14:paraId="225AECCE" w14:textId="77777777" w:rsidR="0052300E" w:rsidRPr="0052300E" w:rsidRDefault="0052300E" w:rsidP="0052300E">
      <w:pPr>
        <w:pStyle w:val="ONUMA"/>
        <w:rPr>
          <w:rtl/>
          <w:lang w:bidi="ar-EG"/>
        </w:rPr>
      </w:pPr>
      <w:r w:rsidRPr="0052300E">
        <w:rPr>
          <w:rtl/>
          <w:lang w:bidi="ar-EG"/>
        </w:rPr>
        <w:t>واجهت فرقة العمل المعنية بملف الإدارة التحديات التالية:</w:t>
      </w:r>
    </w:p>
    <w:p w14:paraId="153B4FE3" w14:textId="77777777" w:rsidR="0052300E" w:rsidRPr="0052300E" w:rsidRDefault="0052300E" w:rsidP="0052300E">
      <w:pPr>
        <w:numPr>
          <w:ilvl w:val="0"/>
          <w:numId w:val="31"/>
        </w:numPr>
        <w:spacing w:after="120"/>
        <w:ind w:left="936"/>
        <w:rPr>
          <w:rFonts w:ascii="Calibri" w:hAnsi="Calibri"/>
          <w:rtl/>
          <w:lang w:bidi="ar-EG"/>
        </w:rPr>
      </w:pPr>
      <w:r w:rsidRPr="0052300E">
        <w:rPr>
          <w:rFonts w:ascii="Calibri" w:hAnsi="Calibri"/>
          <w:rtl/>
          <w:lang w:bidi="ar-EG"/>
        </w:rPr>
        <w:t xml:space="preserve">نظراً إلى أن بعض هيئات البحث الدولي لمعاهدة البراءات ليست من أعضاء في فرقة العمل حتى الآن، فهي لا تتمكن من الاستفادة من مناقشات فرقة العمل عند إعداد ملفات الإدارة المتوافقة مع معيار الويبو </w:t>
      </w:r>
      <w:r w:rsidRPr="0052300E">
        <w:rPr>
          <w:rFonts w:ascii="Calibri" w:hAnsi="Calibri"/>
          <w:lang w:bidi="ar-EG"/>
        </w:rPr>
        <w:t>ST.37</w:t>
      </w:r>
      <w:r w:rsidRPr="0052300E">
        <w:rPr>
          <w:rFonts w:ascii="Calibri" w:hAnsi="Calibri"/>
          <w:rtl/>
          <w:lang w:bidi="ar-EG"/>
        </w:rPr>
        <w:t>؛</w:t>
      </w:r>
    </w:p>
    <w:p w14:paraId="1F748205" w14:textId="69636C89" w:rsidR="0052300E" w:rsidRPr="0052300E" w:rsidRDefault="0052300E" w:rsidP="0052300E">
      <w:pPr>
        <w:numPr>
          <w:ilvl w:val="0"/>
          <w:numId w:val="31"/>
        </w:numPr>
        <w:spacing w:after="120"/>
        <w:ind w:left="936"/>
        <w:rPr>
          <w:rFonts w:ascii="Calibri" w:hAnsi="Calibri"/>
          <w:u w:val="single"/>
          <w:rtl/>
          <w:lang w:bidi="ar-EG"/>
        </w:rPr>
      </w:pPr>
      <w:r w:rsidRPr="0052300E">
        <w:rPr>
          <w:rFonts w:ascii="Calibri" w:hAnsi="Calibri"/>
          <w:rtl/>
          <w:lang w:bidi="ar-EG"/>
        </w:rPr>
        <w:t>وهناك أوجه عدم اتساق في كيفية فهم رموز الاستثناءات وتنفيذها</w:t>
      </w:r>
      <w:r>
        <w:rPr>
          <w:rFonts w:ascii="Calibri" w:hAnsi="Calibri"/>
          <w:rtl/>
          <w:lang w:bidi="ar-EG"/>
        </w:rPr>
        <w:t xml:space="preserve">. </w:t>
      </w:r>
      <w:r w:rsidRPr="0052300E">
        <w:rPr>
          <w:rFonts w:ascii="Calibri" w:hAnsi="Calibri"/>
          <w:rtl/>
          <w:lang w:bidi="ar-EG"/>
        </w:rPr>
        <w:t xml:space="preserve">ومن المأمول أن يتم حل هذه المشاكل بالموافقة على النسخة 3.2. </w:t>
      </w:r>
    </w:p>
    <w:p w14:paraId="53ACC964" w14:textId="77777777" w:rsidR="0052300E" w:rsidRPr="0052300E" w:rsidRDefault="0052300E" w:rsidP="00B96E8B">
      <w:pPr>
        <w:pStyle w:val="Heading3"/>
        <w:rPr>
          <w:rtl/>
        </w:rPr>
      </w:pPr>
      <w:r w:rsidRPr="0052300E">
        <w:rPr>
          <w:rtl/>
        </w:rPr>
        <w:t>العمل المقبل</w:t>
      </w:r>
    </w:p>
    <w:p w14:paraId="26B6D76C" w14:textId="2913A631" w:rsidR="0052300E" w:rsidRPr="0052300E" w:rsidRDefault="0052300E" w:rsidP="0052300E">
      <w:pPr>
        <w:pStyle w:val="ONUMA"/>
        <w:rPr>
          <w:rtl/>
          <w:lang w:bidi="ar-EG"/>
        </w:rPr>
      </w:pPr>
      <w:r w:rsidRPr="0052300E">
        <w:rPr>
          <w:rtl/>
          <w:lang w:bidi="ar-EG"/>
        </w:rPr>
        <w:t xml:space="preserve">ستواصل فرقة العمل المعنية بملف الإدارة دعم المكاتب التي تنفذ معيار الويبو </w:t>
      </w:r>
      <w:r w:rsidRPr="0052300E">
        <w:rPr>
          <w:lang w:bidi="ar-EG"/>
        </w:rPr>
        <w:t>ST.37</w:t>
      </w:r>
      <w:r w:rsidRPr="0052300E">
        <w:rPr>
          <w:rtl/>
          <w:lang w:bidi="ar-EG"/>
        </w:rPr>
        <w:t xml:space="preserve"> واقتراح أي تنقيحات ضرورية</w:t>
      </w:r>
      <w:r>
        <w:rPr>
          <w:rtl/>
          <w:lang w:bidi="ar-EG"/>
        </w:rPr>
        <w:t xml:space="preserve">. </w:t>
      </w:r>
      <w:r w:rsidRPr="0052300E">
        <w:rPr>
          <w:rtl/>
          <w:lang w:bidi="ar-EG"/>
        </w:rPr>
        <w:t>وستناقش فرقة العمل أيضاً التحسينات المقترحة على بوابة ملفات الإدارة، والنظر في أي تحديثات ضرورية على المبادئ التوجيهية لبوابة ملفات الإدارة.</w:t>
      </w:r>
    </w:p>
    <w:p w14:paraId="0D89B21B" w14:textId="77777777" w:rsidR="0052300E" w:rsidRPr="0052300E" w:rsidRDefault="0052300E" w:rsidP="0052300E">
      <w:pPr>
        <w:pStyle w:val="ONUMA"/>
        <w:ind w:left="5527"/>
        <w:rPr>
          <w:i/>
          <w:iCs/>
          <w:rtl/>
          <w:lang w:bidi="ar-EG"/>
        </w:rPr>
      </w:pPr>
      <w:r w:rsidRPr="0052300E">
        <w:rPr>
          <w:i/>
          <w:iCs/>
          <w:rtl/>
          <w:lang w:bidi="ar-EG"/>
        </w:rPr>
        <w:t xml:space="preserve">إن لجنة المعايير مدعوّة إلى: </w:t>
      </w:r>
    </w:p>
    <w:p w14:paraId="7682714C" w14:textId="77777777" w:rsidR="0052300E" w:rsidRPr="0052300E" w:rsidRDefault="0052300E" w:rsidP="0052300E">
      <w:pPr>
        <w:numPr>
          <w:ilvl w:val="0"/>
          <w:numId w:val="32"/>
        </w:numPr>
        <w:spacing w:after="220"/>
        <w:ind w:left="5580" w:firstLine="630"/>
        <w:rPr>
          <w:rFonts w:ascii="Calibri" w:hAnsi="Calibri"/>
          <w:i/>
          <w:iCs/>
          <w:rtl/>
          <w:lang w:bidi="ar-EG"/>
        </w:rPr>
      </w:pPr>
      <w:r w:rsidRPr="0052300E">
        <w:rPr>
          <w:rFonts w:ascii="Calibri" w:hAnsi="Calibri"/>
          <w:i/>
          <w:iCs/>
          <w:rtl/>
          <w:lang w:bidi="ar-EG"/>
        </w:rPr>
        <w:t>الإحاطة علماً بمحتوى هذه الوثيقة، ولا سيما التحديات المبينة في الفقرة 10 وخطة العمل المبينة في الفقرة 11 أعلاه؛</w:t>
      </w:r>
      <w:r w:rsidRPr="0052300E">
        <w:rPr>
          <w:rFonts w:ascii="Calibri" w:hAnsi="Calibri"/>
          <w:rtl/>
          <w:lang w:bidi="ar-EG"/>
        </w:rPr>
        <w:t xml:space="preserve"> </w:t>
      </w:r>
    </w:p>
    <w:p w14:paraId="0541795B" w14:textId="77777777" w:rsidR="0052300E" w:rsidRPr="0052300E" w:rsidRDefault="0052300E" w:rsidP="0052300E">
      <w:pPr>
        <w:numPr>
          <w:ilvl w:val="0"/>
          <w:numId w:val="32"/>
        </w:numPr>
        <w:spacing w:after="220"/>
        <w:ind w:left="5580" w:firstLine="630"/>
        <w:rPr>
          <w:rFonts w:ascii="Calibri" w:hAnsi="Calibri"/>
          <w:i/>
          <w:iCs/>
          <w:rtl/>
          <w:lang w:bidi="ar-EG"/>
        </w:rPr>
      </w:pPr>
      <w:r w:rsidRPr="0052300E">
        <w:rPr>
          <w:rFonts w:ascii="Calibri" w:hAnsi="Calibri"/>
          <w:i/>
          <w:iCs/>
          <w:rtl/>
          <w:lang w:bidi="ar-EG"/>
        </w:rPr>
        <w:t>وتشجيع مكاتب الملكية الفكرية على الانضمام إلى فرقة العمل المعنية بملف الإدارة، خاصة إذا كانت من هيئات البحث الدولي لمعاهدة البراءات.</w:t>
      </w:r>
      <w:r w:rsidRPr="0052300E">
        <w:rPr>
          <w:rFonts w:ascii="Calibri" w:hAnsi="Calibri"/>
          <w:rtl/>
          <w:lang w:bidi="ar-EG"/>
        </w:rPr>
        <w:t xml:space="preserve"> </w:t>
      </w:r>
    </w:p>
    <w:p w14:paraId="3BD95E91" w14:textId="77777777" w:rsidR="0052300E" w:rsidRPr="0052300E" w:rsidRDefault="0052300E" w:rsidP="0052300E">
      <w:pPr>
        <w:rPr>
          <w:rFonts w:ascii="Calibri" w:hAnsi="Calibri"/>
          <w:i/>
          <w:lang w:val="en-GB" w:bidi="ar-EG"/>
        </w:rPr>
      </w:pPr>
    </w:p>
    <w:p w14:paraId="324910AB" w14:textId="77777777" w:rsidR="0052300E" w:rsidRPr="0052300E" w:rsidRDefault="0052300E" w:rsidP="0052300E">
      <w:pPr>
        <w:rPr>
          <w:rFonts w:ascii="Calibri" w:hAnsi="Calibri"/>
          <w:i/>
          <w:lang w:val="en-GB" w:bidi="ar-EG"/>
        </w:rPr>
      </w:pPr>
    </w:p>
    <w:p w14:paraId="43C2BC05" w14:textId="369A3936" w:rsidR="00A410A9" w:rsidRPr="0052300E" w:rsidRDefault="0052300E" w:rsidP="0052300E">
      <w:pPr>
        <w:pStyle w:val="Endofdocument-Annex"/>
        <w:rPr>
          <w:lang w:bidi="ar-EG"/>
        </w:rPr>
      </w:pPr>
      <w:r w:rsidRPr="0052300E">
        <w:rPr>
          <w:rtl/>
          <w:lang w:bidi="ar-EG"/>
        </w:rPr>
        <w:t>[نهاية الوثيقة]</w:t>
      </w:r>
    </w:p>
    <w:sectPr w:rsidR="00A410A9" w:rsidRPr="0052300E"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7349" w14:textId="77777777" w:rsidR="00A70337" w:rsidRDefault="00A70337">
      <w:r>
        <w:separator/>
      </w:r>
    </w:p>
  </w:endnote>
  <w:endnote w:type="continuationSeparator" w:id="0">
    <w:p w14:paraId="43FE855D" w14:textId="77777777" w:rsidR="00A70337" w:rsidRDefault="00A70337" w:rsidP="003B38C1">
      <w:r>
        <w:separator/>
      </w:r>
    </w:p>
    <w:p w14:paraId="164F09D8" w14:textId="77777777" w:rsidR="00A70337" w:rsidRPr="003B38C1" w:rsidRDefault="00A70337" w:rsidP="003B38C1">
      <w:pPr>
        <w:spacing w:after="60"/>
        <w:rPr>
          <w:sz w:val="17"/>
        </w:rPr>
      </w:pPr>
      <w:r>
        <w:rPr>
          <w:sz w:val="17"/>
        </w:rPr>
        <w:t>[Endnote continued from previous page]</w:t>
      </w:r>
    </w:p>
  </w:endnote>
  <w:endnote w:type="continuationNotice" w:id="1">
    <w:p w14:paraId="405BECFE" w14:textId="77777777" w:rsidR="00A70337" w:rsidRPr="003B38C1" w:rsidRDefault="00A703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BFE4" w14:textId="77777777" w:rsidR="0052300E" w:rsidRDefault="00523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E300" w14:textId="77777777" w:rsidR="0052300E" w:rsidRDefault="00523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9735" w14:textId="77777777" w:rsidR="0052300E" w:rsidRDefault="0052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7359" w14:textId="77777777" w:rsidR="00A70337" w:rsidRDefault="00A70337">
      <w:r>
        <w:separator/>
      </w:r>
    </w:p>
  </w:footnote>
  <w:footnote w:type="continuationSeparator" w:id="0">
    <w:p w14:paraId="7DC01535" w14:textId="77777777" w:rsidR="00A70337" w:rsidRDefault="00A70337" w:rsidP="008B60B2">
      <w:r>
        <w:separator/>
      </w:r>
    </w:p>
    <w:p w14:paraId="4CFA815F" w14:textId="77777777" w:rsidR="00A70337" w:rsidRPr="00ED77FB" w:rsidRDefault="00A70337" w:rsidP="008B60B2">
      <w:pPr>
        <w:spacing w:after="60"/>
        <w:rPr>
          <w:sz w:val="17"/>
          <w:szCs w:val="17"/>
        </w:rPr>
      </w:pPr>
      <w:r w:rsidRPr="00ED77FB">
        <w:rPr>
          <w:sz w:val="17"/>
          <w:szCs w:val="17"/>
        </w:rPr>
        <w:t>[Footnote continued from previous page]</w:t>
      </w:r>
    </w:p>
  </w:footnote>
  <w:footnote w:type="continuationNotice" w:id="1">
    <w:p w14:paraId="1C497C8A" w14:textId="77777777" w:rsidR="00A70337" w:rsidRPr="00ED77FB" w:rsidRDefault="00A703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ED50" w14:textId="77777777" w:rsidR="0052300E" w:rsidRDefault="00523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4AF1" w14:textId="21CF8CF0" w:rsidR="00D07C78" w:rsidRPr="002326AB" w:rsidRDefault="00FE5D75" w:rsidP="007969D1">
    <w:pPr>
      <w:bidi w:val="0"/>
      <w:rPr>
        <w:caps/>
      </w:rPr>
    </w:pPr>
    <w:r>
      <w:rPr>
        <w:caps/>
      </w:rPr>
      <w:t>CWS</w:t>
    </w:r>
    <w:r w:rsidR="00250149">
      <w:rPr>
        <w:caps/>
      </w:rPr>
      <w:t>/</w:t>
    </w:r>
    <w:r w:rsidR="00E15F75">
      <w:rPr>
        <w:caps/>
      </w:rPr>
      <w:t>1</w:t>
    </w:r>
    <w:r w:rsidR="003368CB">
      <w:rPr>
        <w:caps/>
      </w:rPr>
      <w:t>3</w:t>
    </w:r>
    <w:r w:rsidR="00250149">
      <w:rPr>
        <w:caps/>
      </w:rPr>
      <w:t>/</w:t>
    </w:r>
    <w:r w:rsidR="0052300E">
      <w:rPr>
        <w:rFonts w:hint="cs"/>
        <w:caps/>
        <w:rtl/>
      </w:rPr>
      <w:t>13</w:t>
    </w:r>
  </w:p>
  <w:p w14:paraId="0497EDB3"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53869FF4" w14:textId="77777777" w:rsidR="00D07C78" w:rsidRDefault="00D07C78" w:rsidP="00210D5F">
    <w:pPr>
      <w:bidi w:val="0"/>
    </w:pPr>
  </w:p>
  <w:p w14:paraId="6EB328C2"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8FF3" w14:textId="77777777" w:rsidR="0052300E" w:rsidRDefault="00523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CC30D5"/>
    <w:multiLevelType w:val="hybridMultilevel"/>
    <w:tmpl w:val="F006DA18"/>
    <w:lvl w:ilvl="0" w:tplc="7CB46E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53EBF"/>
    <w:multiLevelType w:val="hybridMultilevel"/>
    <w:tmpl w:val="BF1E73A8"/>
    <w:lvl w:ilvl="0" w:tplc="FED031AE">
      <w:start w:val="1"/>
      <w:numFmt w:val="arabicAbjad"/>
      <w:lvlText w:val="(%1)"/>
      <w:lvlJc w:val="left"/>
      <w:pPr>
        <w:ind w:left="6032" w:hanging="360"/>
      </w:pPr>
      <w:rPr>
        <w:rFonts w:hint="default"/>
      </w:rPr>
    </w:lvl>
    <w:lvl w:ilvl="1" w:tplc="04090019" w:tentative="1">
      <w:start w:val="1"/>
      <w:numFmt w:val="lowerLetter"/>
      <w:lvlText w:val="%2."/>
      <w:lvlJc w:val="left"/>
      <w:pPr>
        <w:ind w:left="6752" w:hanging="360"/>
      </w:pPr>
    </w:lvl>
    <w:lvl w:ilvl="2" w:tplc="0409001B" w:tentative="1">
      <w:start w:val="1"/>
      <w:numFmt w:val="lowerRoman"/>
      <w:lvlText w:val="%3."/>
      <w:lvlJc w:val="right"/>
      <w:pPr>
        <w:ind w:left="7472" w:hanging="180"/>
      </w:pPr>
    </w:lvl>
    <w:lvl w:ilvl="3" w:tplc="0409000F" w:tentative="1">
      <w:start w:val="1"/>
      <w:numFmt w:val="decimal"/>
      <w:lvlText w:val="%4."/>
      <w:lvlJc w:val="left"/>
      <w:pPr>
        <w:ind w:left="8192" w:hanging="360"/>
      </w:pPr>
    </w:lvl>
    <w:lvl w:ilvl="4" w:tplc="04090019" w:tentative="1">
      <w:start w:val="1"/>
      <w:numFmt w:val="lowerLetter"/>
      <w:lvlText w:val="%5."/>
      <w:lvlJc w:val="left"/>
      <w:pPr>
        <w:ind w:left="8912" w:hanging="360"/>
      </w:pPr>
    </w:lvl>
    <w:lvl w:ilvl="5" w:tplc="0409001B" w:tentative="1">
      <w:start w:val="1"/>
      <w:numFmt w:val="lowerRoman"/>
      <w:lvlText w:val="%6."/>
      <w:lvlJc w:val="right"/>
      <w:pPr>
        <w:ind w:left="9632" w:hanging="180"/>
      </w:pPr>
    </w:lvl>
    <w:lvl w:ilvl="6" w:tplc="0409000F" w:tentative="1">
      <w:start w:val="1"/>
      <w:numFmt w:val="decimal"/>
      <w:lvlText w:val="%7."/>
      <w:lvlJc w:val="left"/>
      <w:pPr>
        <w:ind w:left="10352" w:hanging="360"/>
      </w:pPr>
    </w:lvl>
    <w:lvl w:ilvl="7" w:tplc="04090019" w:tentative="1">
      <w:start w:val="1"/>
      <w:numFmt w:val="lowerLetter"/>
      <w:lvlText w:val="%8."/>
      <w:lvlJc w:val="left"/>
      <w:pPr>
        <w:ind w:left="11072" w:hanging="360"/>
      </w:pPr>
    </w:lvl>
    <w:lvl w:ilvl="8" w:tplc="0409001B" w:tentative="1">
      <w:start w:val="1"/>
      <w:numFmt w:val="lowerRoman"/>
      <w:lvlText w:val="%9."/>
      <w:lvlJc w:val="right"/>
      <w:pPr>
        <w:ind w:left="11792"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DF00AB7"/>
    <w:multiLevelType w:val="hybridMultilevel"/>
    <w:tmpl w:val="DD6ADD4E"/>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3A2EEE"/>
    <w:multiLevelType w:val="hybridMultilevel"/>
    <w:tmpl w:val="55E819A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6"/>
  </w:num>
  <w:num w:numId="2" w16cid:durableId="609046391">
    <w:abstractNumId w:val="18"/>
  </w:num>
  <w:num w:numId="3" w16cid:durableId="610935826">
    <w:abstractNumId w:val="0"/>
  </w:num>
  <w:num w:numId="4" w16cid:durableId="831139084">
    <w:abstractNumId w:val="21"/>
  </w:num>
  <w:num w:numId="5" w16cid:durableId="1808082453">
    <w:abstractNumId w:val="1"/>
  </w:num>
  <w:num w:numId="6" w16cid:durableId="2058821704">
    <w:abstractNumId w:val="9"/>
  </w:num>
  <w:num w:numId="7" w16cid:durableId="719669768">
    <w:abstractNumId w:val="25"/>
  </w:num>
  <w:num w:numId="8" w16cid:durableId="436217556">
    <w:abstractNumId w:val="14"/>
  </w:num>
  <w:num w:numId="9" w16cid:durableId="1591036600">
    <w:abstractNumId w:val="15"/>
  </w:num>
  <w:num w:numId="10" w16cid:durableId="1183013736">
    <w:abstractNumId w:val="19"/>
  </w:num>
  <w:num w:numId="11" w16cid:durableId="1208254078">
    <w:abstractNumId w:val="24"/>
  </w:num>
  <w:num w:numId="12" w16cid:durableId="1535313221">
    <w:abstractNumId w:val="20"/>
  </w:num>
  <w:num w:numId="13" w16cid:durableId="1775402230">
    <w:abstractNumId w:val="26"/>
  </w:num>
  <w:num w:numId="14" w16cid:durableId="605386166">
    <w:abstractNumId w:val="7"/>
  </w:num>
  <w:num w:numId="15" w16cid:durableId="913050154">
    <w:abstractNumId w:val="13"/>
  </w:num>
  <w:num w:numId="16" w16cid:durableId="1867328089">
    <w:abstractNumId w:val="3"/>
  </w:num>
  <w:num w:numId="17" w16cid:durableId="1880973570">
    <w:abstractNumId w:val="16"/>
  </w:num>
  <w:num w:numId="18" w16cid:durableId="1983188684">
    <w:abstractNumId w:val="22"/>
  </w:num>
  <w:num w:numId="19" w16cid:durableId="1285038826">
    <w:abstractNumId w:val="8"/>
  </w:num>
  <w:num w:numId="20" w16cid:durableId="398984857">
    <w:abstractNumId w:val="28"/>
  </w:num>
  <w:num w:numId="21" w16cid:durableId="855265340">
    <w:abstractNumId w:val="11"/>
  </w:num>
  <w:num w:numId="22" w16cid:durableId="1793552887">
    <w:abstractNumId w:val="29"/>
  </w:num>
  <w:num w:numId="23" w16cid:durableId="1644579125">
    <w:abstractNumId w:val="17"/>
  </w:num>
  <w:num w:numId="24" w16cid:durableId="1029574285">
    <w:abstractNumId w:val="23"/>
  </w:num>
  <w:num w:numId="25" w16cid:durableId="1259025004">
    <w:abstractNumId w:val="31"/>
  </w:num>
  <w:num w:numId="26" w16cid:durableId="1763722631">
    <w:abstractNumId w:val="4"/>
  </w:num>
  <w:num w:numId="27" w16cid:durableId="506360306">
    <w:abstractNumId w:val="12"/>
  </w:num>
  <w:num w:numId="28" w16cid:durableId="499587443">
    <w:abstractNumId w:val="30"/>
  </w:num>
  <w:num w:numId="29" w16cid:durableId="1784225043">
    <w:abstractNumId w:val="32"/>
  </w:num>
  <w:num w:numId="30" w16cid:durableId="1184825996">
    <w:abstractNumId w:val="10"/>
  </w:num>
  <w:num w:numId="31" w16cid:durableId="599408761">
    <w:abstractNumId w:val="27"/>
  </w:num>
  <w:num w:numId="32" w16cid:durableId="1513760546">
    <w:abstractNumId w:val="5"/>
  </w:num>
  <w:num w:numId="33" w16cid:durableId="1547647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14"/>
    <w:rsid w:val="00041A0A"/>
    <w:rsid w:val="00043CAA"/>
    <w:rsid w:val="00056816"/>
    <w:rsid w:val="000632C7"/>
    <w:rsid w:val="00075432"/>
    <w:rsid w:val="00082690"/>
    <w:rsid w:val="000910E5"/>
    <w:rsid w:val="0009343A"/>
    <w:rsid w:val="000968ED"/>
    <w:rsid w:val="000A3D97"/>
    <w:rsid w:val="000B5B36"/>
    <w:rsid w:val="000D3DAB"/>
    <w:rsid w:val="000D42A9"/>
    <w:rsid w:val="000F5E56"/>
    <w:rsid w:val="00127A50"/>
    <w:rsid w:val="001362EE"/>
    <w:rsid w:val="001406E1"/>
    <w:rsid w:val="00140F22"/>
    <w:rsid w:val="00155D8A"/>
    <w:rsid w:val="001647D5"/>
    <w:rsid w:val="00167832"/>
    <w:rsid w:val="00176FD1"/>
    <w:rsid w:val="001832A6"/>
    <w:rsid w:val="0019592A"/>
    <w:rsid w:val="001A3DC3"/>
    <w:rsid w:val="001D4107"/>
    <w:rsid w:val="00203D24"/>
    <w:rsid w:val="00210D5F"/>
    <w:rsid w:val="0021217E"/>
    <w:rsid w:val="002326AB"/>
    <w:rsid w:val="00243430"/>
    <w:rsid w:val="00250149"/>
    <w:rsid w:val="00262607"/>
    <w:rsid w:val="002634C4"/>
    <w:rsid w:val="00265354"/>
    <w:rsid w:val="00273181"/>
    <w:rsid w:val="002879FE"/>
    <w:rsid w:val="002928D3"/>
    <w:rsid w:val="00294303"/>
    <w:rsid w:val="002A7B3A"/>
    <w:rsid w:val="002B3B99"/>
    <w:rsid w:val="002F1FE6"/>
    <w:rsid w:val="002F4E68"/>
    <w:rsid w:val="00303282"/>
    <w:rsid w:val="00312F7F"/>
    <w:rsid w:val="00321316"/>
    <w:rsid w:val="00321EB3"/>
    <w:rsid w:val="00327E12"/>
    <w:rsid w:val="003368CB"/>
    <w:rsid w:val="003452A8"/>
    <w:rsid w:val="0035258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D6B"/>
    <w:rsid w:val="0048522D"/>
    <w:rsid w:val="004D29A8"/>
    <w:rsid w:val="004E26A3"/>
    <w:rsid w:val="004F2DEB"/>
    <w:rsid w:val="005019FF"/>
    <w:rsid w:val="0050470A"/>
    <w:rsid w:val="0052300E"/>
    <w:rsid w:val="0053057A"/>
    <w:rsid w:val="00556076"/>
    <w:rsid w:val="00560A29"/>
    <w:rsid w:val="005740C5"/>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A516B"/>
    <w:rsid w:val="006A70BB"/>
    <w:rsid w:val="006A7814"/>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C4902"/>
    <w:rsid w:val="007D1613"/>
    <w:rsid w:val="007E016E"/>
    <w:rsid w:val="007E4889"/>
    <w:rsid w:val="007E4C0E"/>
    <w:rsid w:val="00820911"/>
    <w:rsid w:val="008243C0"/>
    <w:rsid w:val="008311D3"/>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70337"/>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6E8B"/>
    <w:rsid w:val="00B9734B"/>
    <w:rsid w:val="00BA30E2"/>
    <w:rsid w:val="00BB781F"/>
    <w:rsid w:val="00BC6536"/>
    <w:rsid w:val="00C11BFE"/>
    <w:rsid w:val="00C3436A"/>
    <w:rsid w:val="00C40F61"/>
    <w:rsid w:val="00C5068F"/>
    <w:rsid w:val="00C60E4B"/>
    <w:rsid w:val="00C73194"/>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C17E3"/>
    <w:rsid w:val="00DD4E45"/>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A78EA"/>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A56C2"/>
  <w15:docId w15:val="{BB68F95F-0924-4AD0-BFA5-8C06B6E6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B96E8B"/>
    <w:pPr>
      <w:keepNext/>
      <w:spacing w:before="240" w:after="240"/>
      <w:outlineLvl w:val="1"/>
    </w:pPr>
    <w:rPr>
      <w:rFonts w:ascii="Calibri" w:hAnsi="Calibri"/>
      <w:b/>
      <w:i/>
      <w:caps/>
      <w:lang w:bidi="ar-EG"/>
    </w:rPr>
  </w:style>
  <w:style w:type="paragraph" w:styleId="Heading3">
    <w:name w:val="heading 3"/>
    <w:basedOn w:val="Normal"/>
    <w:next w:val="Normal"/>
    <w:qFormat/>
    <w:rsid w:val="00B96E8B"/>
    <w:pPr>
      <w:keepNext/>
      <w:spacing w:before="240" w:after="60"/>
      <w:outlineLvl w:val="2"/>
    </w:pPr>
    <w:rPr>
      <w:b/>
      <w:u w:val="single"/>
      <w:lang w:bidi="ar-EG"/>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11</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CWS/13/13 (Arabic)</vt:lpstr>
    </vt:vector>
  </TitlesOfParts>
  <Company>WIPO</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CWS/13/13 (Arabic)</dc:title>
  <dc:subject>تقرير فرقة العمل المعنية بملف اإلدارة عن المهمة رقم 66 </dc:subject>
  <dc:creator>WIPO</dc:creator>
  <cp:keywords>WIPO CWS Thirteenth Session, Report, Authority File Task Force </cp:keywords>
  <cp:lastModifiedBy>EMMETT Claudia</cp:lastModifiedBy>
  <cp:revision>7</cp:revision>
  <cp:lastPrinted>2022-11-08T17:13:00Z</cp:lastPrinted>
  <dcterms:created xsi:type="dcterms:W3CDTF">2025-08-28T07:55:00Z</dcterms:created>
  <dcterms:modified xsi:type="dcterms:W3CDTF">2025-09-02T15:31:00Z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