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02BD1E0C"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B752BD">
        <w:rPr>
          <w:rFonts w:ascii="Arial Black" w:hAnsi="Arial Black"/>
          <w:caps/>
          <w:sz w:val="15"/>
          <w:szCs w:val="15"/>
        </w:rPr>
        <w:t>12</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0D613025"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752BD">
        <w:rPr>
          <w:rFonts w:asciiTheme="minorHAnsi" w:hAnsiTheme="minorHAnsi" w:cstheme="minorHAnsi" w:hint="cs"/>
          <w:b/>
          <w:bCs/>
          <w:caps/>
          <w:sz w:val="15"/>
          <w:szCs w:val="15"/>
          <w:rtl/>
        </w:rPr>
        <w:t xml:space="preserve">: 20 أكتوبر </w:t>
      </w:r>
      <w:r w:rsidR="0095252A" w:rsidRPr="0095252A">
        <w:rPr>
          <w:rFonts w:asciiTheme="minorHAnsi" w:hAnsiTheme="minorHAnsi" w:cstheme="minorHAnsi" w:hint="cs"/>
          <w:b/>
          <w:bCs/>
          <w:caps/>
          <w:sz w:val="15"/>
          <w:szCs w:val="15"/>
          <w:rtl/>
        </w:rPr>
        <w:t>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1E9C002A" w:rsidR="0095252A" w:rsidRPr="0095252A" w:rsidRDefault="00B752BD" w:rsidP="0095252A">
      <w:pPr>
        <w:pStyle w:val="BodyText"/>
        <w:spacing w:after="720"/>
        <w:rPr>
          <w:rFonts w:asciiTheme="minorHAnsi" w:hAnsiTheme="minorHAnsi" w:cstheme="minorHAnsi"/>
          <w:caps/>
          <w:sz w:val="24"/>
          <w:szCs w:val="24"/>
          <w:rtl/>
        </w:rPr>
      </w:pPr>
      <w:bookmarkStart w:id="3" w:name="TitleOfDoc"/>
      <w:r w:rsidRPr="00B752BD">
        <w:rPr>
          <w:rFonts w:asciiTheme="minorHAnsi" w:hAnsiTheme="minorHAnsi"/>
          <w:caps/>
          <w:sz w:val="24"/>
          <w:szCs w:val="24"/>
          <w:rtl/>
        </w:rPr>
        <w:t>تقرير فرقة العمل المعنية بالتحول الرقمي عن المهمات رقم 62 و63 و65</w:t>
      </w:r>
    </w:p>
    <w:bookmarkEnd w:id="3"/>
    <w:p w14:paraId="0A286A76" w14:textId="699478F3" w:rsidR="0095252A" w:rsidRPr="0095252A" w:rsidRDefault="00B752BD" w:rsidP="0095252A">
      <w:pPr>
        <w:tabs>
          <w:tab w:val="left" w:pos="567"/>
          <w:tab w:val="left" w:pos="1134"/>
        </w:tabs>
        <w:spacing w:after="960"/>
        <w:rPr>
          <w:rFonts w:asciiTheme="minorHAnsi" w:hAnsiTheme="minorHAnsi" w:cstheme="minorHAnsi"/>
          <w:i/>
          <w:szCs w:val="20"/>
          <w:rtl/>
        </w:rPr>
      </w:pPr>
      <w:r w:rsidRPr="00B752BD">
        <w:rPr>
          <w:rFonts w:asciiTheme="minorHAnsi" w:hAnsiTheme="minorHAnsi"/>
          <w:i/>
          <w:iCs/>
          <w:szCs w:val="20"/>
          <w:rtl/>
        </w:rPr>
        <w:t>وثيقة من إعداد المشرف على فرقة العمل المعنية بالتحول الرقمي</w:t>
      </w:r>
    </w:p>
    <w:p w14:paraId="359C506F" w14:textId="77777777" w:rsidR="00B752BD" w:rsidRPr="00B752BD" w:rsidRDefault="00B752BD" w:rsidP="00B752BD">
      <w:pPr>
        <w:pStyle w:val="Heading2"/>
        <w:spacing w:after="120"/>
        <w:rPr>
          <w:i/>
          <w:iCs w:val="0"/>
          <w:sz w:val="24"/>
          <w:szCs w:val="24"/>
          <w:rtl/>
        </w:rPr>
      </w:pPr>
      <w:r w:rsidRPr="00B752BD">
        <w:rPr>
          <w:rFonts w:hint="cs"/>
          <w:i/>
          <w:iCs w:val="0"/>
          <w:sz w:val="24"/>
          <w:szCs w:val="24"/>
          <w:rtl/>
        </w:rPr>
        <w:t xml:space="preserve">ملخص </w:t>
      </w:r>
    </w:p>
    <w:p w14:paraId="48C67755" w14:textId="0E7995A3" w:rsidR="00B752BD" w:rsidRDefault="00B752BD" w:rsidP="00B752BD">
      <w:pPr>
        <w:pStyle w:val="ONUME"/>
        <w:rPr>
          <w:rtl/>
        </w:rPr>
      </w:pPr>
      <w:r>
        <w:rPr>
          <w:rFonts w:hint="cs"/>
          <w:rtl/>
        </w:rPr>
        <w:t xml:space="preserve">فرقة العمل المعنية بالتحول الرقمي مسؤولة عن تنفيذ المهام رقم 62 و63 و65.  ويقدِّم هذا التقرير ملخصاً لعمل فرقة العمل منذ الدورة الماضية للجنة المعنية بمعايير الويبو (لجنة المعايير).  بالإضافة إلى ذلك، تقدم فرقة العمل مشروع عمل للمواصفات الوظيفية لأداة التحويل </w:t>
      </w:r>
      <w:r>
        <w:t>DOCX2XML</w:t>
      </w:r>
      <w:r>
        <w:rPr>
          <w:rFonts w:hint="cs"/>
          <w:rtl/>
        </w:rPr>
        <w:t xml:space="preserve"> لكي تنظر فيها لجنة المعايير وتعلق عليها.</w:t>
      </w:r>
    </w:p>
    <w:p w14:paraId="00DCDCE3" w14:textId="77777777" w:rsidR="00B752BD" w:rsidRPr="00B752BD" w:rsidRDefault="00B752BD" w:rsidP="00B752BD">
      <w:pPr>
        <w:pStyle w:val="Heading2"/>
        <w:spacing w:after="120"/>
        <w:rPr>
          <w:i/>
          <w:iCs w:val="0"/>
          <w:sz w:val="24"/>
          <w:szCs w:val="24"/>
          <w:rtl/>
        </w:rPr>
      </w:pPr>
      <w:r w:rsidRPr="00B752BD">
        <w:rPr>
          <w:rFonts w:hint="cs"/>
          <w:i/>
          <w:iCs w:val="0"/>
          <w:sz w:val="24"/>
          <w:szCs w:val="24"/>
          <w:rtl/>
        </w:rPr>
        <w:t>معلومات أساسية</w:t>
      </w:r>
    </w:p>
    <w:p w14:paraId="34129E3F" w14:textId="29834762" w:rsidR="00B752BD" w:rsidRDefault="00B752BD" w:rsidP="00B752BD">
      <w:pPr>
        <w:pStyle w:val="ONUME"/>
        <w:rPr>
          <w:rtl/>
        </w:rPr>
      </w:pPr>
      <w:r>
        <w:rPr>
          <w:rFonts w:hint="cs"/>
          <w:rtl/>
        </w:rPr>
        <w:t>تم إنشاء فرقة العمل المعنية بالتحول الرقمي في الدورة السادسة للجنة المعايير، وتم تعيين مكتب الولايات المتحدة للبراءات والعلامات التجارية (</w:t>
      </w:r>
      <w:r>
        <w:t>USPTO</w:t>
      </w:r>
      <w:r>
        <w:rPr>
          <w:rFonts w:hint="cs"/>
          <w:rtl/>
        </w:rPr>
        <w:t>) كمشرف على فرقة العمل هذه.  وبدأت فرقة العمل أنشطتها في البداية بالمهمة رقم 62، التي تم إنشاؤها وتكليف فرقة العمل بها في الدورة نفسها للجنة المعايير.  وينص وصف المهمة رقم 62 على ما يلي:</w:t>
      </w:r>
    </w:p>
    <w:p w14:paraId="494DB00D" w14:textId="77777777" w:rsidR="00B752BD" w:rsidRPr="00B752BD" w:rsidRDefault="00B752BD" w:rsidP="00B752BD">
      <w:pPr>
        <w:pStyle w:val="BodyText"/>
        <w:ind w:firstLine="562"/>
        <w:rPr>
          <w:i/>
          <w:iCs/>
          <w:rtl/>
        </w:rPr>
      </w:pPr>
      <w:r w:rsidRPr="00B752BD">
        <w:rPr>
          <w:rFonts w:hint="cs"/>
          <w:i/>
          <w:iCs/>
          <w:rtl/>
        </w:rPr>
        <w:t xml:space="preserve">"استعراض معايير الويبو:   </w:t>
      </w:r>
      <w:r w:rsidRPr="00B752BD">
        <w:rPr>
          <w:i/>
          <w:iCs/>
        </w:rPr>
        <w:t>ST.6</w:t>
      </w:r>
      <w:r w:rsidRPr="00B752BD">
        <w:rPr>
          <w:rFonts w:hint="cs"/>
          <w:i/>
          <w:iCs/>
          <w:rtl/>
        </w:rPr>
        <w:t xml:space="preserve"> و</w:t>
      </w:r>
      <w:r w:rsidRPr="00B752BD">
        <w:rPr>
          <w:i/>
          <w:iCs/>
        </w:rPr>
        <w:t>ST.8</w:t>
      </w:r>
      <w:r w:rsidRPr="00B752BD">
        <w:rPr>
          <w:rFonts w:hint="cs"/>
          <w:i/>
          <w:iCs/>
          <w:rtl/>
        </w:rPr>
        <w:t xml:space="preserve"> و</w:t>
      </w:r>
      <w:r w:rsidRPr="00B752BD">
        <w:rPr>
          <w:i/>
          <w:iCs/>
        </w:rPr>
        <w:t>ST.10</w:t>
      </w:r>
      <w:r w:rsidRPr="00B752BD">
        <w:rPr>
          <w:rFonts w:hint="cs"/>
          <w:i/>
          <w:iCs/>
          <w:rtl/>
        </w:rPr>
        <w:t xml:space="preserve"> و</w:t>
      </w:r>
      <w:r w:rsidRPr="00B752BD">
        <w:rPr>
          <w:i/>
          <w:iCs/>
        </w:rPr>
        <w:t>ST.11</w:t>
      </w:r>
      <w:r w:rsidRPr="00B752BD">
        <w:rPr>
          <w:rFonts w:hint="cs"/>
          <w:i/>
          <w:iCs/>
          <w:rtl/>
        </w:rPr>
        <w:t xml:space="preserve"> و</w:t>
      </w:r>
      <w:r w:rsidRPr="00B752BD">
        <w:rPr>
          <w:i/>
          <w:iCs/>
        </w:rPr>
        <w:t>ST.15</w:t>
      </w:r>
      <w:r w:rsidRPr="00B752BD">
        <w:rPr>
          <w:rFonts w:hint="cs"/>
          <w:i/>
          <w:iCs/>
          <w:rtl/>
        </w:rPr>
        <w:t xml:space="preserve"> و</w:t>
      </w:r>
      <w:r w:rsidRPr="00B752BD">
        <w:rPr>
          <w:i/>
          <w:iCs/>
        </w:rPr>
        <w:t>ST.17</w:t>
      </w:r>
      <w:r w:rsidRPr="00B752BD">
        <w:rPr>
          <w:rFonts w:hint="cs"/>
          <w:i/>
          <w:iCs/>
          <w:rtl/>
        </w:rPr>
        <w:t xml:space="preserve"> و</w:t>
      </w:r>
      <w:r w:rsidRPr="00B752BD">
        <w:rPr>
          <w:i/>
          <w:iCs/>
        </w:rPr>
        <w:t>ST.18</w:t>
      </w:r>
      <w:r w:rsidRPr="00B752BD">
        <w:rPr>
          <w:rFonts w:hint="cs"/>
          <w:i/>
          <w:iCs/>
          <w:rtl/>
        </w:rPr>
        <w:t xml:space="preserve"> و</w:t>
      </w:r>
      <w:r w:rsidRPr="00B752BD">
        <w:rPr>
          <w:i/>
          <w:iCs/>
        </w:rPr>
        <w:t>ST.63</w:t>
      </w:r>
      <w:r w:rsidRPr="00B752BD">
        <w:rPr>
          <w:rFonts w:hint="cs"/>
          <w:i/>
          <w:iCs/>
          <w:rtl/>
        </w:rPr>
        <w:t xml:space="preserve"> و</w:t>
      </w:r>
      <w:r w:rsidRPr="00B752BD">
        <w:rPr>
          <w:i/>
          <w:iCs/>
        </w:rPr>
        <w:t>ST.81</w:t>
      </w:r>
      <w:r w:rsidRPr="00B752BD">
        <w:rPr>
          <w:rFonts w:hint="cs"/>
          <w:i/>
          <w:iCs/>
          <w:rtl/>
        </w:rPr>
        <w:t xml:space="preserve"> في ضوء النشر الإلكتروني لوثائق الملكية الفكرية، واقتراح تعديلات لتلك المعايير إذا لزم الأمر".</w:t>
      </w:r>
    </w:p>
    <w:p w14:paraId="4467CDE8" w14:textId="77777777" w:rsidR="00B752BD" w:rsidRPr="00BD05C3" w:rsidRDefault="00B752BD" w:rsidP="00B752BD">
      <w:pPr>
        <w:pStyle w:val="BodyText"/>
        <w:rPr>
          <w:i/>
          <w:rtl/>
        </w:rPr>
      </w:pPr>
      <w:r>
        <w:rPr>
          <w:rFonts w:hint="cs"/>
          <w:rtl/>
        </w:rPr>
        <w:t xml:space="preserve">(انظر(ي) الفقرتين 149 و150 من الوثيقة </w:t>
      </w:r>
      <w:r>
        <w:t>CWS/6/34</w:t>
      </w:r>
      <w:r>
        <w:rPr>
          <w:rFonts w:hint="cs"/>
          <w:rtl/>
        </w:rPr>
        <w:t xml:space="preserve">).  </w:t>
      </w:r>
    </w:p>
    <w:p w14:paraId="5D532415" w14:textId="77777777" w:rsidR="00B752BD" w:rsidRPr="00100D97" w:rsidRDefault="00B752BD" w:rsidP="00B752BD">
      <w:pPr>
        <w:pStyle w:val="BodyText"/>
        <w:rPr>
          <w:rtl/>
        </w:rPr>
      </w:pPr>
      <w:r>
        <w:rPr>
          <w:rFonts w:hint="cs"/>
          <w:rtl/>
        </w:rPr>
        <w:t>والهدف من هذه المهمة هو تحديث معايير معينة للويبو، حيث أن العديد من هذه المعايير وضعت عندما كانت مكاتب الملكية الفكرية تنشر الوثائق على الورق.</w:t>
      </w:r>
    </w:p>
    <w:p w14:paraId="599C1B8F" w14:textId="6015D797" w:rsidR="00B752BD" w:rsidRDefault="00B752BD" w:rsidP="00B752BD">
      <w:pPr>
        <w:pStyle w:val="ONUME"/>
        <w:rPr>
          <w:color w:val="000000"/>
          <w:rtl/>
        </w:rPr>
      </w:pPr>
      <w:r>
        <w:rPr>
          <w:rFonts w:hint="cs"/>
          <w:rtl/>
        </w:rPr>
        <w:t xml:space="preserve">وفي الدورتين السابعة والثامنة للجنة المعايير، عرضت فرقة العمل خطة لمناقشة الممارسات الحالية، تضع مقاييس لتحديد الأولويات ومراجعة المعايير المفصلة كجزء من المهمة رقم 62 (انظر(ي) الفقرات 102 إلى 104 من الوثيقة </w:t>
      </w:r>
      <w:r>
        <w:t>CWS/7/29</w:t>
      </w:r>
      <w:r>
        <w:rPr>
          <w:rFonts w:hint="cs"/>
          <w:rtl/>
        </w:rPr>
        <w:t xml:space="preserve"> والفقرات 7 إلى 10 من الوثيقة </w:t>
      </w:r>
      <w:r>
        <w:t>CWS/8/18</w:t>
      </w:r>
      <w:r>
        <w:rPr>
          <w:rFonts w:hint="cs"/>
          <w:rtl/>
        </w:rPr>
        <w:t xml:space="preserve">).  وأثناء وضع خطة عملها، حددت فرقة العمل الحاجة إلى معلومات أكثر تفصيلاً عن الممارسات الحالية لمكاتب الملكية الفكرية، لا سيما فيما يتعلق بإجراءات التلقي والنشر.  ولمعالجة هذه المسألة، أعدت فرقة العمل استبياناً </w:t>
      </w:r>
      <w:r>
        <w:rPr>
          <w:rFonts w:hint="cs"/>
          <w:rtl/>
        </w:rPr>
        <w:lastRenderedPageBreak/>
        <w:t xml:space="preserve">لاستقصاء ممارسات مكاتب الملكية الفكرية، وقدم للاعتماد في الدورة التاسعة (انظر(ي) الوثيقة </w:t>
      </w:r>
      <w:r>
        <w:t>CWS/9/17</w:t>
      </w:r>
      <w:r>
        <w:rPr>
          <w:rFonts w:hint="cs"/>
          <w:rtl/>
        </w:rPr>
        <w:t xml:space="preserve">).  وعرضت نتائج الاستقصاء لاحقاً في الدورة العاشرة للجنة المعايير (انظر(ي) الوثيقة </w:t>
      </w:r>
      <w:r>
        <w:t>CWS/10/15</w:t>
      </w:r>
      <w:r>
        <w:rPr>
          <w:rFonts w:hint="cs"/>
          <w:rtl/>
        </w:rPr>
        <w:t>).</w:t>
      </w:r>
    </w:p>
    <w:p w14:paraId="54DA264C" w14:textId="391DF043" w:rsidR="00B752BD" w:rsidRPr="00FC083E" w:rsidRDefault="00B752BD" w:rsidP="00B752BD">
      <w:pPr>
        <w:pStyle w:val="ONUME"/>
        <w:rPr>
          <w:color w:val="000000"/>
          <w:rtl/>
        </w:rPr>
      </w:pPr>
      <w:r>
        <w:rPr>
          <w:rFonts w:hint="cs"/>
          <w:rtl/>
        </w:rPr>
        <w:t xml:space="preserve">بالإضافة إلى ذلك، أيدت لجنة المعايير، في دورتها السابعة، إعادة إسناد المهمة رقم 63 إلى فرقة العمل المعنية بالتحول الرقمي (انظر(ي) الفقرتين 39 و40 من الوثيقة </w:t>
      </w:r>
      <w:r>
        <w:t>CWS/7/29</w:t>
      </w:r>
      <w:r>
        <w:rPr>
          <w:rFonts w:hint="cs"/>
          <w:rtl/>
        </w:rPr>
        <w:t>).  وينص وصف المهمة رقم 63 على ما يلي:</w:t>
      </w:r>
    </w:p>
    <w:p w14:paraId="4FFC1A49" w14:textId="77777777" w:rsidR="00B752BD" w:rsidRPr="00B752BD" w:rsidRDefault="00B752BD" w:rsidP="00B752BD">
      <w:pPr>
        <w:pStyle w:val="BodyText"/>
        <w:ind w:firstLine="562"/>
        <w:rPr>
          <w:i/>
          <w:iCs/>
          <w:rtl/>
        </w:rPr>
      </w:pPr>
      <w:r w:rsidRPr="00B752BD">
        <w:rPr>
          <w:rFonts w:hint="cs"/>
          <w:i/>
          <w:iCs/>
          <w:rtl/>
        </w:rPr>
        <w:t>"وضع تصوير مرئي واحد أو أكثر للبيانات بلغة الترميز الموسعة (</w:t>
      </w:r>
      <w:r w:rsidRPr="00B752BD">
        <w:rPr>
          <w:i/>
          <w:iCs/>
        </w:rPr>
        <w:t>XML</w:t>
      </w:r>
      <w:r w:rsidRPr="00B752BD">
        <w:rPr>
          <w:rFonts w:hint="cs"/>
          <w:i/>
          <w:iCs/>
          <w:rtl/>
        </w:rPr>
        <w:t>)، استناداً إلى معايير الويبو الخاصة بلغة الترميز الموسعة لأغراض النشر الإلكتروني."</w:t>
      </w:r>
    </w:p>
    <w:p w14:paraId="158932D8" w14:textId="5332D713" w:rsidR="00B752BD" w:rsidRPr="00100D97" w:rsidRDefault="00B752BD" w:rsidP="00B752BD">
      <w:pPr>
        <w:pStyle w:val="ONUME"/>
        <w:rPr>
          <w:rtl/>
        </w:rPr>
      </w:pPr>
      <w:r>
        <w:rPr>
          <w:rFonts w:hint="cs"/>
          <w:rtl/>
        </w:rPr>
        <w:t xml:space="preserve">علاوة على ذلك، وافقت لجنة المعايير في دورتها العاشرة على إنشاء المهمة رقم 65 وأسندتها إلى فرقة العمل المعنية بالتحول الرقمي.  وطُلب من فرقة العمل إعطاء الأولوية لهذه المهمة وتقديم اقتراح بشأن معيار جديد للويبو يتعلق بالتبادل الإلكتروني لوثائق الأولوية في الدورة الحادية عشرة للجنة المعايير.  وقد كان الدافع وراء هذه المهمة هو دخول معيار الويبو </w:t>
      </w:r>
      <w:r>
        <w:t>ST.26</w:t>
      </w:r>
      <w:r>
        <w:rPr>
          <w:rFonts w:hint="cs"/>
          <w:rtl/>
        </w:rPr>
        <w:t xml:space="preserve"> حيز التنفيذ، لضمان إمكانية تبادل قوائم التسلسل التي تشكل جزءًا من وثيقة ذات أولوية في نسقها الأصلي عبر مكاتب الملكية الفكرية.  وينص وصف المهمة رقم 65 على ما يلي:</w:t>
      </w:r>
    </w:p>
    <w:p w14:paraId="4B705785" w14:textId="77777777" w:rsidR="00B752BD" w:rsidRPr="00B752BD" w:rsidRDefault="00B752BD" w:rsidP="00B752BD">
      <w:pPr>
        <w:pStyle w:val="BodyText"/>
        <w:ind w:firstLine="562"/>
        <w:rPr>
          <w:i/>
          <w:iCs/>
          <w:rtl/>
        </w:rPr>
      </w:pPr>
      <w:r>
        <w:rPr>
          <w:rFonts w:hint="cs"/>
          <w:i/>
          <w:iCs/>
          <w:rtl/>
        </w:rPr>
        <w:t>"إعداد اقتراح توصيات بشأن نسق حزمة البيانات من أجل التبادل الإلكتروني لوثائق الأولوية والنسخ المعتمدة للبراءات والعلامات والتصاميم الصناعية."</w:t>
      </w:r>
    </w:p>
    <w:p w14:paraId="2FDA54FF" w14:textId="77777777" w:rsidR="00B752BD" w:rsidRPr="00100D97" w:rsidRDefault="00B752BD" w:rsidP="00B752BD">
      <w:pPr>
        <w:pStyle w:val="BodyText"/>
        <w:rPr>
          <w:rtl/>
        </w:rPr>
      </w:pPr>
      <w:r>
        <w:rPr>
          <w:rFonts w:hint="cs"/>
          <w:rtl/>
        </w:rPr>
        <w:t xml:space="preserve">(انظر(ي) الفقرات من 23 إلى 25 من الوثيقة </w:t>
      </w:r>
      <w:r>
        <w:t>CWS/10/22</w:t>
      </w:r>
      <w:r>
        <w:rPr>
          <w:rFonts w:hint="cs"/>
          <w:rtl/>
        </w:rPr>
        <w:t>).</w:t>
      </w:r>
    </w:p>
    <w:p w14:paraId="65FB7FA5" w14:textId="42335D68" w:rsidR="00B752BD" w:rsidRPr="00100D97" w:rsidRDefault="00B752BD" w:rsidP="00B752BD">
      <w:pPr>
        <w:pStyle w:val="ONUME"/>
        <w:rPr>
          <w:rtl/>
        </w:rPr>
      </w:pPr>
      <w:r>
        <w:rPr>
          <w:rFonts w:hint="cs"/>
          <w:rtl/>
        </w:rPr>
        <w:t xml:space="preserve">وفي ذات الدورة، وافقت لجنة المعايير على إضافة نشاط جديد إلى خطة عمل الفرقة: وضع مواصفات متطلبات مشتركة لأداة التحويل </w:t>
      </w:r>
      <w:r>
        <w:t>DOCX2XML</w:t>
      </w:r>
      <w:r>
        <w:rPr>
          <w:rFonts w:hint="cs"/>
          <w:rtl/>
        </w:rPr>
        <w:t xml:space="preserve"> (انظر(ي) الفقرتين 104 و106 من الوثيقة </w:t>
      </w:r>
      <w:r>
        <w:t>CWS/10/22</w:t>
      </w:r>
      <w:r>
        <w:rPr>
          <w:rFonts w:hint="cs"/>
          <w:rtl/>
        </w:rPr>
        <w:t xml:space="preserve">). </w:t>
      </w:r>
    </w:p>
    <w:p w14:paraId="7C5CC1F1" w14:textId="76C1D3FD" w:rsidR="00B752BD" w:rsidRPr="00100D97" w:rsidRDefault="00B752BD" w:rsidP="00B752BD">
      <w:pPr>
        <w:pStyle w:val="ONUME"/>
        <w:rPr>
          <w:rtl/>
        </w:rPr>
      </w:pPr>
      <w:r>
        <w:rPr>
          <w:rFonts w:hint="cs"/>
          <w:rtl/>
        </w:rPr>
        <w:t>ووافقت لجنة المعايير، في دورتها الحادية عشرة، على نقل مسؤولية تحديث الجزء 6.1 من دليل الويبو بشأن المعلومات والوثائق المتعلقة بالملكية الفكرية، الذي كان في الأصل جزءاً من المهمة رقم 62، من فرقة العمل المعنية بالتحول الرقمي إلى فرقة العمل المعنية بالوصول العام إلى معلومات البراءات (</w:t>
      </w:r>
      <w:r>
        <w:t>PAPI</w:t>
      </w:r>
      <w:r>
        <w:rPr>
          <w:rFonts w:hint="cs"/>
          <w:rtl/>
        </w:rPr>
        <w:t xml:space="preserve">) (انظر(ي) الفقرة 19 من الوثيقة </w:t>
      </w:r>
      <w:r>
        <w:t>CWS/11/28</w:t>
      </w:r>
      <w:r>
        <w:rPr>
          <w:rFonts w:hint="cs"/>
          <w:rtl/>
        </w:rPr>
        <w:t>).  وبعد ذلك، وافقت لجنة المعايير على تعديل وصف المهمة رقم 62 ليصبح على النحو التالي:</w:t>
      </w:r>
    </w:p>
    <w:p w14:paraId="0D893510" w14:textId="3F00DD70" w:rsidR="00B752BD" w:rsidRPr="00B752BD" w:rsidRDefault="00B752BD" w:rsidP="00B752BD">
      <w:pPr>
        <w:pStyle w:val="BodyText"/>
        <w:ind w:firstLine="562"/>
        <w:rPr>
          <w:i/>
          <w:iCs/>
          <w:rtl/>
        </w:rPr>
      </w:pPr>
      <w:r w:rsidRPr="00B752BD">
        <w:rPr>
          <w:rFonts w:hint="cs"/>
          <w:i/>
          <w:iCs/>
          <w:rtl/>
        </w:rPr>
        <w:t>"استعراض معايير الويبو المُستحدثة لأغراض التواصل الورقي أو القائم على الصور في ضوء الإيداع الإلكتروني لوثائق الملكية الفكرية ونشرها وتبادلها واقتراح إجراء تعديلات على تلك المعايير أو وضع توصيات جديدة إذا لزم الأمر؛ وإعداد اقتراح بشأن التوصية المتعلقة بمواصفات المتطلبات المشتركة لأداة التحويل</w:t>
      </w:r>
      <w:r w:rsidR="00E639D4">
        <w:rPr>
          <w:rFonts w:hint="cs"/>
          <w:i/>
          <w:iCs/>
          <w:rtl/>
        </w:rPr>
        <w:t xml:space="preserve"> </w:t>
      </w:r>
      <w:r w:rsidR="00E639D4" w:rsidRPr="00B752BD">
        <w:rPr>
          <w:i/>
          <w:iCs/>
        </w:rPr>
        <w:t>DOCX2XML</w:t>
      </w:r>
      <w:r w:rsidRPr="00B752BD">
        <w:rPr>
          <w:rFonts w:hint="cs"/>
          <w:i/>
          <w:iCs/>
          <w:rtl/>
        </w:rPr>
        <w:t xml:space="preserve"> من النسق </w:t>
      </w:r>
      <w:r w:rsidRPr="00B752BD">
        <w:rPr>
          <w:i/>
          <w:iCs/>
        </w:rPr>
        <w:t>DOCX</w:t>
      </w:r>
      <w:r w:rsidRPr="00B752BD">
        <w:rPr>
          <w:rFonts w:hint="cs"/>
          <w:i/>
          <w:iCs/>
          <w:rtl/>
        </w:rPr>
        <w:t xml:space="preserve"> إلى النسق</w:t>
      </w:r>
      <w:r w:rsidR="00E639D4">
        <w:rPr>
          <w:rFonts w:hint="cs"/>
          <w:i/>
          <w:iCs/>
          <w:rtl/>
        </w:rPr>
        <w:t xml:space="preserve"> </w:t>
      </w:r>
      <w:r w:rsidRPr="00B752BD">
        <w:rPr>
          <w:i/>
          <w:iCs/>
        </w:rPr>
        <w:t>XML</w:t>
      </w:r>
      <w:r w:rsidRPr="00B752BD">
        <w:rPr>
          <w:rFonts w:hint="cs"/>
          <w:i/>
          <w:iCs/>
          <w:rtl/>
        </w:rPr>
        <w:t>."</w:t>
      </w:r>
    </w:p>
    <w:p w14:paraId="63C559B0" w14:textId="77777777" w:rsidR="00B752BD" w:rsidRDefault="00B752BD" w:rsidP="00B752BD">
      <w:pPr>
        <w:pStyle w:val="BodyText"/>
        <w:rPr>
          <w:bCs/>
          <w:rtl/>
        </w:rPr>
      </w:pPr>
      <w:r>
        <w:rPr>
          <w:rFonts w:hint="cs"/>
          <w:rtl/>
        </w:rPr>
        <w:t>(انظر(ي) الفقرة 59 من الوثيقة </w:t>
      </w:r>
      <w:r>
        <w:t>CWS/11/28</w:t>
      </w:r>
      <w:r>
        <w:rPr>
          <w:rFonts w:hint="cs"/>
          <w:rtl/>
        </w:rPr>
        <w:t>).</w:t>
      </w:r>
    </w:p>
    <w:p w14:paraId="250E9B97" w14:textId="4D645013" w:rsidR="00B752BD" w:rsidRPr="00F05B0D" w:rsidRDefault="00B752BD" w:rsidP="00B752BD">
      <w:pPr>
        <w:pStyle w:val="ONUME"/>
        <w:rPr>
          <w:rtl/>
        </w:rPr>
      </w:pPr>
      <w:r>
        <w:rPr>
          <w:rFonts w:hint="cs"/>
          <w:rtl/>
        </w:rPr>
        <w:t xml:space="preserve">وفي الدورة نفسها، قدمت فرقة العمل اقتراحاً بشأن معيار جديد للويبو يتعلق بتبادل وثائق الأولوية.  واعتبرت لجنة المعايير أن المعيار المقترح لم ينضج بما يكفي لاعتماده، وطلبت من فرقة العمل إعداد وتقديم مقترح محدث للنظر فيه في دورتها الثانية عشرة.  (انظر(ي) الفقرات من 111 إلى 113 من الوثيقة </w:t>
      </w:r>
      <w:r>
        <w:t>CWS/11/28</w:t>
      </w:r>
      <w:r>
        <w:rPr>
          <w:rFonts w:hint="cs"/>
          <w:rtl/>
        </w:rPr>
        <w:t>).</w:t>
      </w:r>
    </w:p>
    <w:p w14:paraId="3C73C3DA" w14:textId="7F9B19CA" w:rsidR="00B752BD" w:rsidRDefault="00B752BD" w:rsidP="00B752BD">
      <w:pPr>
        <w:pStyle w:val="ONUME"/>
        <w:keepLines/>
        <w:rPr>
          <w:rtl/>
        </w:rPr>
      </w:pPr>
      <w:r>
        <w:rPr>
          <w:rFonts w:hint="cs"/>
          <w:rtl/>
        </w:rPr>
        <w:t xml:space="preserve">وفي دورتها الثانية عشرة، أحاطت لجنة المعايير علماَ بأن فرقة العمل أجرت استعراضاً وتحليلاً لوظائف أدوات التحويل </w:t>
      </w:r>
      <w:r>
        <w:t>DOCX2XML</w:t>
      </w:r>
      <w:r>
        <w:rPr>
          <w:rFonts w:hint="cs"/>
          <w:rtl/>
        </w:rPr>
        <w:t xml:space="preserve"> المستخدمة في مكتب الولايات المتحدة للبراءات والعلامات التجارية وفي المكتب الدولي.  وقد جُمعت نتائج التحليل في شكل مواصفات موجزة نُشرت لجمع التعليقات عليها على صفحة الويكي الإلكترونية المخصصة لفرقة العمل.  وفي ذات الدورة، شجَّعت لجنة المعايير مكاتب الملكية الفكرية التي تستخدم حالياً أداة تحويل </w:t>
      </w:r>
      <w:r>
        <w:t>DOCX2XML</w:t>
      </w:r>
      <w:r>
        <w:rPr>
          <w:rFonts w:hint="cs"/>
          <w:rtl/>
        </w:rPr>
        <w:t xml:space="preserve"> على تبادل المعلومات مع فرقة العمل فيما يتعلق بوظائف أداة التحويل الخاصة بها.</w:t>
      </w:r>
    </w:p>
    <w:p w14:paraId="402D4D6C" w14:textId="3C1EE33A" w:rsidR="00B752BD" w:rsidRPr="00CA571D" w:rsidRDefault="00B752BD" w:rsidP="00B752BD">
      <w:pPr>
        <w:pStyle w:val="ONUME"/>
        <w:rPr>
          <w:rtl/>
        </w:rPr>
      </w:pPr>
      <w:r>
        <w:rPr>
          <w:rFonts w:hint="cs"/>
          <w:rtl/>
        </w:rPr>
        <w:t xml:space="preserve">وفي الدورة نفسها، اعتمدت لجنة المعايير معيار الويبو </w:t>
      </w:r>
      <w:r>
        <w:t>ST.92</w:t>
      </w:r>
      <w:r>
        <w:rPr>
          <w:rFonts w:hint="cs"/>
          <w:rtl/>
        </w:rPr>
        <w:t xml:space="preserve">، الذي يحدد توصيات بشأن التبادل الإلكتروني لوثائق الأولوية للبراءات.  ووافقت لجنة المعايير على تاريخ مبدئي للانقضاء في 30 يونيو 2027، وطلبت من فرقة العمل المعنية بالتحول الرقمي صياغة استبيان استقصائي بشأن الاستعداد لتنفيذ معيار الويبو </w:t>
      </w:r>
      <w:r>
        <w:t>ST.92</w:t>
      </w:r>
      <w:r>
        <w:rPr>
          <w:rFonts w:hint="cs"/>
          <w:rtl/>
        </w:rPr>
        <w:t>.  وطلبت لجنة المعايير أن تصدر الأمانة تعميماً تدعو فيه مكاتب الملكية الفكرية إلى الرد على الاستبيان وأن تقدم فرقة العمل تقريراً عن نتائج الاستبيان إلى الدورة الثالثة عشرة للجنة المعايير.  وأشارت لجنة المعايير إلى أن المكتب الدولي يعتزم تحديث خدمة الويبو للنفاذ الرقمي (</w:t>
      </w:r>
      <w:r>
        <w:t>DAS</w:t>
      </w:r>
      <w:r>
        <w:rPr>
          <w:rFonts w:hint="cs"/>
          <w:rtl/>
        </w:rPr>
        <w:t xml:space="preserve">) لدعم الوثائق المتوافقة مع معيار الويبو </w:t>
      </w:r>
      <w:r>
        <w:t>ST.92</w:t>
      </w:r>
      <w:r>
        <w:rPr>
          <w:rFonts w:hint="cs"/>
          <w:rtl/>
        </w:rPr>
        <w:t>.  وقد نوقش هذا التحديث مع المكاتب المشاركة في خدمة الويبو للنفاذ الرقمي (</w:t>
      </w:r>
      <w:r>
        <w:t>DAS</w:t>
      </w:r>
      <w:r>
        <w:rPr>
          <w:rFonts w:hint="cs"/>
          <w:rtl/>
        </w:rPr>
        <w:t>) في اجتماع فرقة العمل المعنية بخدمة النفاذ الرقمي لوثائق الأولوية، الذي عقد في الفترة من 10 إلى 12 مارس 2025.  وتمت مناقشة نتائج الاجتماع في الاجتماعات اللاحقة لفرقة عمل التحول الرقمي.  وبعد اعتماد المعيار الجديد، وافقت لجنة المعايير على الاقتراح المتعلق بالوصف المنقح للمهمة رقم 65، الذي أصبح نصه الآن كما يلي:</w:t>
      </w:r>
    </w:p>
    <w:p w14:paraId="25001029" w14:textId="77777777" w:rsidR="00B752BD" w:rsidRPr="00B752BD" w:rsidRDefault="00B752BD" w:rsidP="00B752BD">
      <w:pPr>
        <w:pStyle w:val="BodyText"/>
        <w:ind w:firstLine="562"/>
        <w:rPr>
          <w:i/>
          <w:iCs/>
          <w:rtl/>
        </w:rPr>
      </w:pPr>
      <w:r>
        <w:rPr>
          <w:rFonts w:hint="cs"/>
          <w:i/>
          <w:iCs/>
          <w:rtl/>
        </w:rPr>
        <w:t xml:space="preserve">"ضمان إدخال التعديلات والتحديثات اللازمة على معيار الويبو </w:t>
      </w:r>
      <w:r>
        <w:rPr>
          <w:i/>
          <w:iCs/>
        </w:rPr>
        <w:t>ST.92</w:t>
      </w:r>
      <w:r>
        <w:rPr>
          <w:rFonts w:hint="cs"/>
          <w:i/>
          <w:iCs/>
          <w:rtl/>
        </w:rPr>
        <w:t xml:space="preserve"> ودعم مكاتب الملكية الفكرية في تنفيذها للمعيار قبل 1 يوليو 2027".</w:t>
      </w:r>
    </w:p>
    <w:p w14:paraId="0E78CC44" w14:textId="77777777" w:rsidR="00B752BD" w:rsidRDefault="00B752BD" w:rsidP="00B752BD">
      <w:pPr>
        <w:pStyle w:val="BodyText"/>
        <w:rPr>
          <w:bCs/>
          <w:rtl/>
        </w:rPr>
      </w:pPr>
      <w:r>
        <w:rPr>
          <w:rFonts w:hint="cs"/>
          <w:rtl/>
        </w:rPr>
        <w:t xml:space="preserve">(انظر(ي) الفقرات من 80 إلى 84 من الوثيقة </w:t>
      </w:r>
      <w:r>
        <w:t>CWS/12/29</w:t>
      </w:r>
      <w:r>
        <w:rPr>
          <w:rFonts w:hint="cs"/>
          <w:rtl/>
        </w:rPr>
        <w:t>).</w:t>
      </w:r>
    </w:p>
    <w:p w14:paraId="4B40F83C" w14:textId="77777777" w:rsidR="00B752BD" w:rsidRPr="00B752BD" w:rsidRDefault="00B752BD" w:rsidP="00B752BD">
      <w:pPr>
        <w:pStyle w:val="Heading2"/>
        <w:spacing w:after="120"/>
        <w:rPr>
          <w:i/>
          <w:iCs w:val="0"/>
          <w:sz w:val="24"/>
          <w:szCs w:val="24"/>
          <w:rtl/>
        </w:rPr>
      </w:pPr>
      <w:r w:rsidRPr="00B752BD">
        <w:rPr>
          <w:rFonts w:hint="cs"/>
          <w:i/>
          <w:iCs w:val="0"/>
          <w:sz w:val="24"/>
          <w:szCs w:val="24"/>
          <w:rtl/>
        </w:rPr>
        <w:t>تقرير مرحلي عن المهمة رقم 62</w:t>
      </w:r>
    </w:p>
    <w:p w14:paraId="16800418" w14:textId="5B97468F" w:rsidR="00B752BD" w:rsidRDefault="00B752BD" w:rsidP="00B752BD">
      <w:pPr>
        <w:pStyle w:val="ONUME"/>
        <w:rPr>
          <w:rtl/>
        </w:rPr>
      </w:pPr>
      <w:r>
        <w:rPr>
          <w:rFonts w:hint="cs"/>
          <w:rtl/>
        </w:rPr>
        <w:t xml:space="preserve">بعد الاتفاق الذي تم التوصل إليه في الدورة العاشرة للجنة المعايير، بدأت فرقة العمل في تطوير مواصفات متطلبات موحدة لتحويل وثائق </w:t>
      </w:r>
      <w:r>
        <w:t>DOCX</w:t>
      </w:r>
      <w:r>
        <w:rPr>
          <w:rFonts w:hint="cs"/>
          <w:rtl/>
        </w:rPr>
        <w:t xml:space="preserve"> إلى </w:t>
      </w:r>
      <w:r>
        <w:t>XML</w:t>
      </w:r>
      <w:r>
        <w:rPr>
          <w:rFonts w:hint="cs"/>
          <w:rtl/>
        </w:rPr>
        <w:t xml:space="preserve">.  وبدأ هذا النشاط بمراجعة أدوات تحويل </w:t>
      </w:r>
      <w:r>
        <w:t>DOCX2XML</w:t>
      </w:r>
      <w:r>
        <w:rPr>
          <w:rFonts w:hint="cs"/>
          <w:rtl/>
        </w:rPr>
        <w:t xml:space="preserve"> الحالية التي يستخدمها مكتب الولايات المتحدة والمكتب الدولي ومكاتب الملكية الفكرية الأخرى.  ويُعرض مشروع عمل لوثيقة المواصفات الوظيفية لأداة تحويل </w:t>
      </w:r>
      <w:r>
        <w:t>DOCX2XML</w:t>
      </w:r>
      <w:r>
        <w:rPr>
          <w:rFonts w:hint="cs"/>
          <w:rtl/>
        </w:rPr>
        <w:t xml:space="preserve"> على لجنة المعايير للتعليق عليه كمرفق لهذه الوثيقة.  وقد وردت تعليقات على استخدام أدوات تحويل </w:t>
      </w:r>
      <w:r>
        <w:t>DOCX2XML</w:t>
      </w:r>
      <w:r>
        <w:rPr>
          <w:rFonts w:hint="cs"/>
          <w:rtl/>
        </w:rPr>
        <w:t xml:space="preserve"> من مكتب الولايات المتحدة للبراءات والمكتب الدولي والإدارة الوطنية الصينية للملكية الفكرية والمكتب الأوروبي للبراءات ووزارة الملكية الفكرية - المكتب الكوري للملكية الفكرية سابقاً.  ويمكن الاطلاع على تفاصيل أدوات تحويل </w:t>
      </w:r>
      <w:r>
        <w:t>DOCX2XML</w:t>
      </w:r>
      <w:r>
        <w:rPr>
          <w:rFonts w:hint="cs"/>
          <w:rtl/>
        </w:rPr>
        <w:t xml:space="preserve"> لمكاتب الملكية الفكرية هذه في المرفق الأول من مشروع وثيقة المواصفات.</w:t>
      </w:r>
    </w:p>
    <w:p w14:paraId="4829CE95" w14:textId="77777777" w:rsidR="00B752BD" w:rsidRPr="00B752BD" w:rsidRDefault="00B752BD" w:rsidP="00B752BD">
      <w:pPr>
        <w:pStyle w:val="Heading3"/>
        <w:rPr>
          <w:sz w:val="24"/>
          <w:szCs w:val="24"/>
          <w:rtl/>
        </w:rPr>
      </w:pPr>
      <w:r w:rsidRPr="00B752BD">
        <w:rPr>
          <w:rFonts w:hint="cs"/>
          <w:sz w:val="24"/>
          <w:szCs w:val="24"/>
          <w:rtl/>
        </w:rPr>
        <w:t>التحديات أو التبعيات المحتملة</w:t>
      </w:r>
    </w:p>
    <w:p w14:paraId="06E6F702" w14:textId="38702D58" w:rsidR="00B752BD" w:rsidRPr="0002392C" w:rsidRDefault="00B752BD" w:rsidP="00B752BD">
      <w:pPr>
        <w:pStyle w:val="ONUME"/>
        <w:rPr>
          <w:rtl/>
        </w:rPr>
      </w:pPr>
      <w:r>
        <w:rPr>
          <w:rFonts w:hint="cs"/>
          <w:rtl/>
        </w:rPr>
        <w:t xml:space="preserve">تلاحظ فرقة العمل أن العديد من مكاتب الملكية الفكرية قد بدأت للتو في استخدام أو تخطط لاستخدام لغة </w:t>
      </w:r>
      <w:r>
        <w:t>XML</w:t>
      </w:r>
      <w:r>
        <w:rPr>
          <w:rFonts w:hint="cs"/>
          <w:rtl/>
        </w:rPr>
        <w:t xml:space="preserve"> لمعالجة البراءات.  وقد يشكل التباين الكبير في ممارسات مكتب الملكية الفكرية وأولويات تكنولوجيا المعلومات تحدياً لمواصلة تطوير مشروع المواصفات الوظيفية. </w:t>
      </w:r>
    </w:p>
    <w:p w14:paraId="659EC923" w14:textId="77777777" w:rsidR="00B752BD" w:rsidRPr="00B752BD" w:rsidRDefault="00B752BD" w:rsidP="00B752BD">
      <w:pPr>
        <w:pStyle w:val="Heading3"/>
        <w:rPr>
          <w:sz w:val="24"/>
          <w:szCs w:val="24"/>
          <w:rtl/>
        </w:rPr>
      </w:pPr>
      <w:r w:rsidRPr="00B752BD">
        <w:rPr>
          <w:rFonts w:hint="cs"/>
          <w:sz w:val="24"/>
          <w:szCs w:val="24"/>
          <w:rtl/>
        </w:rPr>
        <w:t xml:space="preserve">خطة العمل </w:t>
      </w:r>
    </w:p>
    <w:p w14:paraId="17973383" w14:textId="0E96B760" w:rsidR="00B752BD" w:rsidRDefault="00B752BD" w:rsidP="00B752BD">
      <w:pPr>
        <w:pStyle w:val="ONUME"/>
        <w:rPr>
          <w:rtl/>
        </w:rPr>
      </w:pPr>
      <w:r>
        <w:rPr>
          <w:rFonts w:hint="cs"/>
          <w:rtl/>
        </w:rPr>
        <w:t xml:space="preserve">ستواصل فرقة العمل المناقشات حول وثيقة المواصفات الوظيفية المشتركة لأداة تحويل </w:t>
      </w:r>
      <w:r>
        <w:t>DOCX2XML</w:t>
      </w:r>
      <w:r>
        <w:rPr>
          <w:rFonts w:hint="cs"/>
          <w:rtl/>
        </w:rPr>
        <w:t xml:space="preserve">، ورصد تجارب مكاتب الملكية الفكرية في تحويل وثائق </w:t>
      </w:r>
      <w:r>
        <w:t>DOCX</w:t>
      </w:r>
      <w:r>
        <w:rPr>
          <w:rFonts w:hint="cs"/>
          <w:rtl/>
        </w:rPr>
        <w:t xml:space="preserve"> إلى </w:t>
      </w:r>
      <w:r>
        <w:t>XML</w:t>
      </w:r>
      <w:r>
        <w:rPr>
          <w:rFonts w:hint="cs"/>
          <w:rtl/>
        </w:rPr>
        <w:t xml:space="preserve"> وتحديث وثيقة المواصفات حسب الضرورة. </w:t>
      </w:r>
    </w:p>
    <w:p w14:paraId="1E9FDC5E" w14:textId="32905726" w:rsidR="00B752BD" w:rsidRPr="00B752BD" w:rsidRDefault="00B752BD" w:rsidP="00B752BD">
      <w:pPr>
        <w:pStyle w:val="Heading2"/>
        <w:spacing w:after="120"/>
        <w:rPr>
          <w:i/>
          <w:iCs w:val="0"/>
          <w:sz w:val="24"/>
          <w:szCs w:val="24"/>
          <w:rtl/>
        </w:rPr>
      </w:pPr>
      <w:r w:rsidRPr="00B752BD">
        <w:rPr>
          <w:rFonts w:hint="cs"/>
          <w:i/>
          <w:iCs w:val="0"/>
          <w:sz w:val="24"/>
          <w:szCs w:val="24"/>
          <w:rtl/>
        </w:rPr>
        <w:t>تقرير مرحلي عن المهمة رقم 63</w:t>
      </w:r>
    </w:p>
    <w:p w14:paraId="75D5C954" w14:textId="4BE049CC" w:rsidR="00B752BD" w:rsidRPr="00100D97" w:rsidRDefault="00B752BD" w:rsidP="00B752BD">
      <w:pPr>
        <w:pStyle w:val="ONUME"/>
        <w:rPr>
          <w:rtl/>
        </w:rPr>
      </w:pPr>
      <w:r>
        <w:rPr>
          <w:rFonts w:hint="cs"/>
          <w:rtl/>
        </w:rPr>
        <w:t xml:space="preserve">أعطت فرقة العمل المعنية بالتحول الرقمي الأولوية للمهمة رقم 65، ثم للمهمة رقم 62.  وقد حدّ ذلك من قدرتها على إحراز تقدم في المهمة رقم 63.  وبالتالي، لم يتم العمل على هذه المهمة منذ الدورة الحادية عشرة للجنة المعايير. </w:t>
      </w:r>
    </w:p>
    <w:p w14:paraId="25998AC9" w14:textId="77777777" w:rsidR="00B752BD" w:rsidRPr="00B752BD" w:rsidRDefault="00B752BD" w:rsidP="00B752BD">
      <w:pPr>
        <w:pStyle w:val="Heading3"/>
        <w:rPr>
          <w:sz w:val="24"/>
          <w:szCs w:val="24"/>
          <w:rtl/>
        </w:rPr>
      </w:pPr>
      <w:r w:rsidRPr="00B752BD">
        <w:rPr>
          <w:rFonts w:hint="cs"/>
          <w:sz w:val="24"/>
          <w:szCs w:val="24"/>
          <w:rtl/>
        </w:rPr>
        <w:t>التحديات أو التبعيات المحتملة</w:t>
      </w:r>
    </w:p>
    <w:p w14:paraId="0E6E10D2" w14:textId="0F07C739" w:rsidR="00B752BD" w:rsidRDefault="00B752BD" w:rsidP="00B752BD">
      <w:pPr>
        <w:pStyle w:val="ONUME"/>
        <w:rPr>
          <w:rtl/>
        </w:rPr>
      </w:pPr>
      <w:r>
        <w:rPr>
          <w:rFonts w:hint="cs"/>
          <w:rtl/>
        </w:rPr>
        <w:t xml:space="preserve">لم يتم الإبلاغ عن أي تحديات أو تبعيات حيث لم يتم القيام بأي عمل منذ الدورة الحادية عشرة للجنة. </w:t>
      </w:r>
    </w:p>
    <w:p w14:paraId="2F880CED" w14:textId="77777777" w:rsidR="00B752BD" w:rsidRPr="00B752BD" w:rsidRDefault="00B752BD" w:rsidP="00B752BD">
      <w:pPr>
        <w:pStyle w:val="Heading3"/>
        <w:rPr>
          <w:sz w:val="24"/>
          <w:szCs w:val="24"/>
          <w:rtl/>
        </w:rPr>
      </w:pPr>
      <w:r w:rsidRPr="00B752BD">
        <w:rPr>
          <w:rFonts w:hint="cs"/>
          <w:sz w:val="24"/>
          <w:szCs w:val="24"/>
          <w:rtl/>
        </w:rPr>
        <w:t xml:space="preserve">خطة العمل </w:t>
      </w:r>
    </w:p>
    <w:p w14:paraId="1164A243" w14:textId="2F583ADF" w:rsidR="00B752BD" w:rsidRDefault="00B752BD" w:rsidP="00B752BD">
      <w:pPr>
        <w:pStyle w:val="ONUME"/>
        <w:rPr>
          <w:rtl/>
        </w:rPr>
      </w:pPr>
      <w:r>
        <w:rPr>
          <w:rFonts w:hint="cs"/>
          <w:rtl/>
        </w:rPr>
        <w:t xml:space="preserve">قد تستأنف فرقة العمل عملها بشأن هذه المهمة بناءً على طلب من لجنة المعايير. </w:t>
      </w:r>
    </w:p>
    <w:p w14:paraId="5CB1A6BA" w14:textId="77777777" w:rsidR="00B752BD" w:rsidRPr="00B752BD" w:rsidRDefault="00B752BD" w:rsidP="00B752BD">
      <w:pPr>
        <w:pStyle w:val="Heading2"/>
        <w:spacing w:after="120"/>
        <w:rPr>
          <w:i/>
          <w:iCs w:val="0"/>
          <w:sz w:val="24"/>
          <w:szCs w:val="24"/>
          <w:rtl/>
        </w:rPr>
      </w:pPr>
      <w:r w:rsidRPr="00B752BD">
        <w:rPr>
          <w:rFonts w:hint="cs"/>
          <w:i/>
          <w:iCs w:val="0"/>
          <w:sz w:val="24"/>
          <w:szCs w:val="24"/>
          <w:rtl/>
        </w:rPr>
        <w:t>تقرير مرحلي عن المهمة رقم 65</w:t>
      </w:r>
    </w:p>
    <w:p w14:paraId="265604DD" w14:textId="34D69442" w:rsidR="00B752BD" w:rsidRDefault="00B752BD" w:rsidP="00B752BD">
      <w:pPr>
        <w:pStyle w:val="ONUME"/>
        <w:rPr>
          <w:rtl/>
        </w:rPr>
      </w:pPr>
      <w:r>
        <w:rPr>
          <w:rFonts w:hint="cs"/>
          <w:rtl/>
        </w:rPr>
        <w:t xml:space="preserve">منذ انعقاد الدورة الثانية عشرة للجنة المعايير، أعدت فرقة العمل المعني بالتحول الرقمي مقترحًا لمراجعة معيار الويبو </w:t>
      </w:r>
      <w:r>
        <w:t>ST.92</w:t>
      </w:r>
      <w:r>
        <w:rPr>
          <w:rFonts w:hint="cs"/>
          <w:rtl/>
        </w:rPr>
        <w:t xml:space="preserve">.  وتوسع النسخة 2.0 المقترحة من المعيار نطاقها ليشمل التصاميم الصناعية ووثائق أولوية العلامات التجارية.  وتقدم فرقة العمل هذا الاقتراح المتعلق بالمعيار المنقح لينظر فيه ويعتمد في الدورة الحالية.  وستمكّن الموافقة على معيار الويبو </w:t>
      </w:r>
      <w:r>
        <w:t>ST.92</w:t>
      </w:r>
      <w:r>
        <w:rPr>
          <w:rFonts w:hint="cs"/>
          <w:rtl/>
        </w:rPr>
        <w:t xml:space="preserve"> المنقح مكاتب الملكية الفكرية وفريق خدمة الويبو للنفاذ الرقمي (</w:t>
      </w:r>
      <w:r>
        <w:t>DAS</w:t>
      </w:r>
      <w:r>
        <w:rPr>
          <w:rFonts w:hint="cs"/>
          <w:rtl/>
        </w:rPr>
        <w:t xml:space="preserve">) من المضي قدما في التخطيط التفصيلي للتنفيذ.  وتُشجَّع مكاتب الملكية الفكرية على توفير وقبول حزم وثائق الأولوية المعتمدة المتوافقة مع معيار الويبو </w:t>
      </w:r>
      <w:r>
        <w:t>ST.92</w:t>
      </w:r>
      <w:r>
        <w:rPr>
          <w:rFonts w:hint="cs"/>
          <w:rtl/>
        </w:rPr>
        <w:t xml:space="preserve">.  ترد تفاصيل إضافية بشأن التعديل المقترح لمعيار الويبو </w:t>
      </w:r>
      <w:r>
        <w:t>ST.92</w:t>
      </w:r>
      <w:r>
        <w:rPr>
          <w:rFonts w:hint="cs"/>
          <w:rtl/>
        </w:rPr>
        <w:t xml:space="preserve"> في الوثيقة </w:t>
      </w:r>
      <w:r>
        <w:t>CWS/13/20</w:t>
      </w:r>
      <w:r>
        <w:rPr>
          <w:rFonts w:hint="cs"/>
          <w:rtl/>
        </w:rPr>
        <w:t xml:space="preserve">.  </w:t>
      </w:r>
    </w:p>
    <w:p w14:paraId="4D055D37" w14:textId="269F9C13" w:rsidR="00B752BD" w:rsidRPr="00100D97" w:rsidRDefault="00B752BD" w:rsidP="00B752BD">
      <w:pPr>
        <w:pStyle w:val="ONUME"/>
        <w:rPr>
          <w:rtl/>
        </w:rPr>
      </w:pPr>
      <w:r>
        <w:rPr>
          <w:rFonts w:hint="cs"/>
          <w:rtl/>
        </w:rPr>
        <w:t xml:space="preserve">واستجابةً للطلب المقدم في الدورة السابقة للجنة المعايير، أعدت فرقة العمل هذا العام استبياناً استقصائياً لتقييم مدى استعداد مكاتب الملكية الفكرية لتنفيذ معيار الويبو </w:t>
      </w:r>
      <w:r>
        <w:t>ST.92</w:t>
      </w:r>
      <w:r>
        <w:rPr>
          <w:rFonts w:hint="cs"/>
          <w:rtl/>
        </w:rPr>
        <w:t xml:space="preserve"> بحلول تاريخ الانقضاء المقترح.  تتوفر مزيد من التفاصيل بشأن نتائج الاستبيان الاستقصائي في الوثيقة </w:t>
      </w:r>
      <w:r>
        <w:t>CWS/13/20</w:t>
      </w:r>
      <w:r>
        <w:rPr>
          <w:rFonts w:hint="cs"/>
          <w:rtl/>
        </w:rPr>
        <w:t xml:space="preserve">. </w:t>
      </w:r>
    </w:p>
    <w:p w14:paraId="61D5D308" w14:textId="77777777" w:rsidR="00B752BD" w:rsidRPr="00B752BD" w:rsidRDefault="00B752BD" w:rsidP="00B752BD">
      <w:pPr>
        <w:pStyle w:val="Heading3"/>
        <w:rPr>
          <w:sz w:val="24"/>
          <w:szCs w:val="24"/>
          <w:rtl/>
        </w:rPr>
      </w:pPr>
      <w:r w:rsidRPr="00B752BD">
        <w:rPr>
          <w:rFonts w:hint="cs"/>
          <w:sz w:val="24"/>
          <w:szCs w:val="24"/>
          <w:rtl/>
        </w:rPr>
        <w:t>التحديات أو التبعيات المحتملة</w:t>
      </w:r>
    </w:p>
    <w:p w14:paraId="630DC1C1" w14:textId="24957F26" w:rsidR="00B752BD" w:rsidRDefault="00B752BD" w:rsidP="00B752BD">
      <w:pPr>
        <w:pStyle w:val="ONUME"/>
        <w:rPr>
          <w:rtl/>
        </w:rPr>
      </w:pPr>
      <w:r>
        <w:rPr>
          <w:rFonts w:hint="cs"/>
          <w:rtl/>
        </w:rPr>
        <w:t>بمجرد الموافقة على المعيار المنقح، ستركز فرقة العمل على تخطيط التنفيذ من خلال العمل مع المكتب الدولي وفريق خدمة الويبو للنفاذ الرقمي (</w:t>
      </w:r>
      <w:r>
        <w:t>DAS</w:t>
      </w:r>
      <w:r>
        <w:rPr>
          <w:rFonts w:hint="cs"/>
          <w:rtl/>
        </w:rPr>
        <w:t>).  وستعتمد عملية التنفيذ على قيام المكاتب بإجراء تغييرات على:</w:t>
      </w:r>
    </w:p>
    <w:p w14:paraId="21CEFFE0" w14:textId="77777777" w:rsidR="00B752BD" w:rsidRDefault="00B752BD" w:rsidP="00B752BD">
      <w:pPr>
        <w:pStyle w:val="ListParagraph"/>
        <w:numPr>
          <w:ilvl w:val="0"/>
          <w:numId w:val="33"/>
        </w:numPr>
        <w:spacing w:after="220"/>
        <w:ind w:left="922"/>
        <w:contextualSpacing w:val="0"/>
        <w:rPr>
          <w:rtl/>
        </w:rPr>
      </w:pPr>
      <w:r>
        <w:rPr>
          <w:rFonts w:hint="cs"/>
          <w:rtl/>
        </w:rPr>
        <w:t>أنظمة تكنولوجيا المعلومات لإنشاء حزم متوافقة مع معيار الويبو الجديد؛</w:t>
      </w:r>
    </w:p>
    <w:p w14:paraId="1D3B0A65" w14:textId="77777777" w:rsidR="00B752BD" w:rsidRDefault="00B752BD" w:rsidP="00B752BD">
      <w:pPr>
        <w:pStyle w:val="ListParagraph"/>
        <w:numPr>
          <w:ilvl w:val="0"/>
          <w:numId w:val="33"/>
        </w:numPr>
        <w:spacing w:after="220"/>
        <w:ind w:left="922"/>
        <w:contextualSpacing w:val="0"/>
        <w:rPr>
          <w:rtl/>
        </w:rPr>
      </w:pPr>
      <w:r>
        <w:rPr>
          <w:rFonts w:hint="cs"/>
          <w:rtl/>
        </w:rPr>
        <w:t xml:space="preserve">وتنفيذ واجهة برمجة التطبيقات لخدمة الويبو للنفاذ الرقمي حسب الحاجة؛ </w:t>
      </w:r>
    </w:p>
    <w:p w14:paraId="7D0A8C3F" w14:textId="77777777" w:rsidR="00B752BD" w:rsidRDefault="00B752BD" w:rsidP="00B752BD">
      <w:pPr>
        <w:pStyle w:val="ListParagraph"/>
        <w:numPr>
          <w:ilvl w:val="0"/>
          <w:numId w:val="33"/>
        </w:numPr>
        <w:spacing w:after="220"/>
        <w:ind w:left="922"/>
        <w:contextualSpacing w:val="0"/>
        <w:rPr>
          <w:rtl/>
        </w:rPr>
      </w:pPr>
      <w:r>
        <w:rPr>
          <w:rFonts w:hint="cs"/>
          <w:rtl/>
        </w:rPr>
        <w:t>والإرشادات القانونية أو الإدارية إذا لزم الأمر.</w:t>
      </w:r>
    </w:p>
    <w:p w14:paraId="18B338A3" w14:textId="77777777" w:rsidR="00B752BD" w:rsidRPr="00100D97" w:rsidRDefault="00B752BD" w:rsidP="00B752BD">
      <w:pPr>
        <w:pStyle w:val="BodyText"/>
        <w:rPr>
          <w:rtl/>
        </w:rPr>
      </w:pPr>
      <w:r>
        <w:rPr>
          <w:rFonts w:hint="cs"/>
          <w:rtl/>
        </w:rPr>
        <w:t xml:space="preserve">وستكون هناك حاجة أيضًا إلى إجراء تغييرات على خدمة الويبو للنفاذ الرقمي حتى تتمكن من معالجة الحزم الواردة بصيغة </w:t>
      </w:r>
      <w:r>
        <w:t>PDDP</w:t>
      </w:r>
      <w:r>
        <w:rPr>
          <w:rFonts w:hint="cs"/>
          <w:rtl/>
        </w:rPr>
        <w:t xml:space="preserve"> الجديدة.</w:t>
      </w:r>
    </w:p>
    <w:p w14:paraId="2E90807C" w14:textId="77777777" w:rsidR="00B752BD" w:rsidRPr="00B752BD" w:rsidRDefault="00B752BD" w:rsidP="00B752BD">
      <w:pPr>
        <w:pStyle w:val="Heading3"/>
        <w:rPr>
          <w:sz w:val="24"/>
          <w:szCs w:val="24"/>
          <w:rtl/>
        </w:rPr>
      </w:pPr>
      <w:r w:rsidRPr="00B752BD">
        <w:rPr>
          <w:rFonts w:hint="cs"/>
          <w:sz w:val="24"/>
          <w:szCs w:val="24"/>
          <w:rtl/>
        </w:rPr>
        <w:t>خطة العمل</w:t>
      </w:r>
    </w:p>
    <w:p w14:paraId="789DE285" w14:textId="476F0197" w:rsidR="00B752BD" w:rsidRPr="00100D97" w:rsidRDefault="00B752BD" w:rsidP="00B752BD">
      <w:pPr>
        <w:pStyle w:val="ONUME"/>
        <w:rPr>
          <w:rtl/>
        </w:rPr>
      </w:pPr>
      <w:r>
        <w:rPr>
          <w:rFonts w:hint="cs"/>
          <w:rtl/>
        </w:rPr>
        <w:t>تتمثل الأنشطة القادمة المتوقعة لفرقة العمل هذه في العام القادم فيما يلي:</w:t>
      </w:r>
    </w:p>
    <w:p w14:paraId="5C080179" w14:textId="77777777" w:rsidR="00B752BD" w:rsidRDefault="00B752BD" w:rsidP="00B752BD">
      <w:pPr>
        <w:pStyle w:val="ListParagraph"/>
        <w:numPr>
          <w:ilvl w:val="0"/>
          <w:numId w:val="33"/>
        </w:numPr>
        <w:spacing w:after="220"/>
        <w:ind w:left="922"/>
        <w:contextualSpacing w:val="0"/>
        <w:rPr>
          <w:rtl/>
        </w:rPr>
      </w:pPr>
      <w:r>
        <w:rPr>
          <w:rFonts w:hint="cs"/>
          <w:rtl/>
        </w:rPr>
        <w:t xml:space="preserve">مواصلة دعم التخطيط لتنفيذ معيار الويبو </w:t>
      </w:r>
      <w:r>
        <w:t>ST.92</w:t>
      </w:r>
      <w:r>
        <w:rPr>
          <w:rFonts w:hint="cs"/>
          <w:rtl/>
        </w:rPr>
        <w:t>.  وقد تكون هناك حاجة إلى إجراء تغييرات على المعيار بناءً على الملاحظات الواردة من مكاتب الملكية الفكرية وتجاربها أثناء التنفيذ؛</w:t>
      </w:r>
    </w:p>
    <w:p w14:paraId="3A2D7438" w14:textId="77777777" w:rsidR="00B752BD" w:rsidRDefault="00B752BD" w:rsidP="00B752BD">
      <w:pPr>
        <w:pStyle w:val="ListParagraph"/>
        <w:numPr>
          <w:ilvl w:val="0"/>
          <w:numId w:val="33"/>
        </w:numPr>
        <w:spacing w:after="220"/>
        <w:ind w:left="922"/>
        <w:contextualSpacing w:val="0"/>
        <w:rPr>
          <w:rtl/>
        </w:rPr>
      </w:pPr>
      <w:r>
        <w:rPr>
          <w:rFonts w:hint="cs"/>
          <w:rtl/>
        </w:rPr>
        <w:t xml:space="preserve">ومواصلة العمل مع فريق خدمة الويبو للنفاذ الرقمي لإجراء التحديثات اللازمة لمعيار الويبو </w:t>
      </w:r>
      <w:r>
        <w:t>ST.92</w:t>
      </w:r>
      <w:r>
        <w:rPr>
          <w:rFonts w:hint="cs"/>
          <w:rtl/>
        </w:rPr>
        <w:t>؛</w:t>
      </w:r>
    </w:p>
    <w:p w14:paraId="7CD06C72" w14:textId="77777777" w:rsidR="00B752BD" w:rsidRDefault="00B752BD" w:rsidP="00B752BD">
      <w:pPr>
        <w:pStyle w:val="ListParagraph"/>
        <w:numPr>
          <w:ilvl w:val="0"/>
          <w:numId w:val="33"/>
        </w:numPr>
        <w:spacing w:after="220"/>
        <w:ind w:left="922"/>
        <w:contextualSpacing w:val="0"/>
        <w:rPr>
          <w:rtl/>
        </w:rPr>
      </w:pPr>
      <w:r>
        <w:rPr>
          <w:rFonts w:hint="cs"/>
          <w:rtl/>
        </w:rPr>
        <w:t xml:space="preserve">ودعم المكاتب في تنفيذ الإصدار 2.0 المنقح من معيار الويبو </w:t>
      </w:r>
      <w:r>
        <w:t>ST.92</w:t>
      </w:r>
      <w:r>
        <w:rPr>
          <w:rFonts w:hint="cs"/>
          <w:rtl/>
        </w:rPr>
        <w:t>، بمجرد الموافقة عليه.</w:t>
      </w:r>
    </w:p>
    <w:p w14:paraId="14A01F67" w14:textId="77777777" w:rsidR="00B752BD" w:rsidRDefault="00B752BD" w:rsidP="00B752BD">
      <w:pPr>
        <w:pStyle w:val="ONUME"/>
        <w:tabs>
          <w:tab w:val="num" w:pos="6101"/>
        </w:tabs>
        <w:ind w:left="5533"/>
        <w:rPr>
          <w:i/>
        </w:rPr>
      </w:pPr>
      <w:r>
        <w:rPr>
          <w:rFonts w:hint="cs"/>
          <w:i/>
          <w:iCs/>
          <w:rtl/>
        </w:rPr>
        <w:t>إن لجنة المعايير مدعوة إلى:</w:t>
      </w:r>
    </w:p>
    <w:p w14:paraId="5DAE01DF" w14:textId="23B93E84" w:rsidR="00B752BD" w:rsidRPr="00B752BD" w:rsidRDefault="00B752BD" w:rsidP="00B752BD">
      <w:pPr>
        <w:pStyle w:val="ONUME"/>
        <w:numPr>
          <w:ilvl w:val="1"/>
          <w:numId w:val="5"/>
        </w:numPr>
        <w:tabs>
          <w:tab w:val="num" w:pos="6101"/>
        </w:tabs>
        <w:ind w:left="5530" w:firstLine="562"/>
        <w:rPr>
          <w:i/>
          <w:rtl/>
        </w:rPr>
      </w:pPr>
      <w:r w:rsidRPr="00B752BD">
        <w:rPr>
          <w:rFonts w:hint="cs"/>
          <w:i/>
          <w:iCs/>
          <w:rtl/>
        </w:rPr>
        <w:t>الإحاطة علما بمضمون هذه الوثيقة ومرفقها؛</w:t>
      </w:r>
      <w:r>
        <w:rPr>
          <w:rFonts w:hint="cs"/>
          <w:rtl/>
        </w:rPr>
        <w:t xml:space="preserve"> </w:t>
      </w:r>
    </w:p>
    <w:p w14:paraId="778AAA2A" w14:textId="77777777" w:rsidR="00B752BD" w:rsidRDefault="00B752BD" w:rsidP="00B752BD">
      <w:pPr>
        <w:pStyle w:val="ONUME"/>
        <w:numPr>
          <w:ilvl w:val="1"/>
          <w:numId w:val="5"/>
        </w:numPr>
        <w:tabs>
          <w:tab w:val="num" w:pos="6101"/>
        </w:tabs>
        <w:ind w:left="5530" w:firstLine="562"/>
        <w:rPr>
          <w:i/>
          <w:rtl/>
        </w:rPr>
      </w:pPr>
      <w:r>
        <w:rPr>
          <w:rFonts w:hint="cs"/>
          <w:i/>
          <w:iCs/>
          <w:rtl/>
        </w:rPr>
        <w:t xml:space="preserve">ومراجعة مشروع العمل بشأن المواصفات الوظيفية لأداة تحويل </w:t>
      </w:r>
      <w:r>
        <w:rPr>
          <w:i/>
          <w:iCs/>
        </w:rPr>
        <w:t>DOCX2XML</w:t>
      </w:r>
      <w:r>
        <w:rPr>
          <w:rFonts w:hint="cs"/>
          <w:i/>
          <w:iCs/>
          <w:rtl/>
        </w:rPr>
        <w:t>، المشار إليها في الفقرة 11 أعلاه والمستنسخة في مرفق هذه الوثيقة، والتعليق عليه؛</w:t>
      </w:r>
    </w:p>
    <w:p w14:paraId="1DAF0B84" w14:textId="77777777" w:rsidR="00B752BD" w:rsidRDefault="00B752BD" w:rsidP="00B752BD">
      <w:pPr>
        <w:pStyle w:val="ONUME"/>
        <w:numPr>
          <w:ilvl w:val="1"/>
          <w:numId w:val="5"/>
        </w:numPr>
        <w:tabs>
          <w:tab w:val="num" w:pos="6101"/>
        </w:tabs>
        <w:ind w:left="5530" w:firstLine="562"/>
        <w:rPr>
          <w:i/>
          <w:rtl/>
        </w:rPr>
      </w:pPr>
      <w:r>
        <w:rPr>
          <w:rFonts w:hint="cs"/>
          <w:i/>
          <w:iCs/>
          <w:rtl/>
        </w:rPr>
        <w:t>والإحاطة علماً بخطة العمل كما هي مبينة في الفقرات 13 و16 و20 أعلاه.</w:t>
      </w:r>
    </w:p>
    <w:p w14:paraId="5F597CFA" w14:textId="77777777" w:rsidR="00B752BD" w:rsidRPr="00515EF1" w:rsidRDefault="00B752BD" w:rsidP="00B752BD">
      <w:pPr>
        <w:ind w:left="5533"/>
        <w:rPr>
          <w:iCs/>
        </w:rPr>
      </w:pPr>
    </w:p>
    <w:p w14:paraId="071C5B3D" w14:textId="77777777" w:rsidR="00B752BD" w:rsidRPr="00515EF1" w:rsidRDefault="00B752BD" w:rsidP="00B752BD">
      <w:pPr>
        <w:ind w:left="5533"/>
        <w:rPr>
          <w:iCs/>
        </w:rPr>
      </w:pPr>
    </w:p>
    <w:p w14:paraId="65E4F386" w14:textId="77777777" w:rsidR="00B752BD" w:rsidRPr="00515EF1" w:rsidRDefault="00B752BD" w:rsidP="00B752BD">
      <w:pPr>
        <w:ind w:left="5533"/>
        <w:rPr>
          <w:iCs/>
        </w:rPr>
      </w:pPr>
    </w:p>
    <w:p w14:paraId="1B5F36A5" w14:textId="77777777" w:rsidR="00B752BD" w:rsidRPr="001E0B74" w:rsidRDefault="00B752BD" w:rsidP="00B752BD">
      <w:pPr>
        <w:ind w:left="5533"/>
        <w:jc w:val="center"/>
        <w:rPr>
          <w:rtl/>
        </w:rPr>
      </w:pPr>
      <w:r>
        <w:rPr>
          <w:rFonts w:hint="cs"/>
          <w:rtl/>
        </w:rPr>
        <w:t>[يلي ذلك المرفق]</w:t>
      </w:r>
    </w:p>
    <w:sectPr w:rsidR="00B752BD" w:rsidRPr="001E0B7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0F81" w14:textId="77777777" w:rsidR="000F11A6" w:rsidRDefault="000F11A6">
      <w:r>
        <w:separator/>
      </w:r>
    </w:p>
  </w:endnote>
  <w:endnote w:type="continuationSeparator" w:id="0">
    <w:p w14:paraId="1048AEED" w14:textId="77777777" w:rsidR="000F11A6" w:rsidRDefault="000F11A6" w:rsidP="003B38C1">
      <w:r>
        <w:separator/>
      </w:r>
    </w:p>
    <w:p w14:paraId="4F6B6482" w14:textId="77777777" w:rsidR="000F11A6" w:rsidRPr="003B38C1" w:rsidRDefault="000F11A6" w:rsidP="003B38C1">
      <w:pPr>
        <w:spacing w:after="60"/>
        <w:rPr>
          <w:sz w:val="17"/>
        </w:rPr>
      </w:pPr>
      <w:r>
        <w:rPr>
          <w:sz w:val="17"/>
        </w:rPr>
        <w:t>[Endnote continued from previous page]</w:t>
      </w:r>
    </w:p>
  </w:endnote>
  <w:endnote w:type="continuationNotice" w:id="1">
    <w:p w14:paraId="01780F87" w14:textId="77777777" w:rsidR="000F11A6" w:rsidRPr="003B38C1" w:rsidRDefault="000F11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7FBC" w14:textId="77777777" w:rsidR="000F11A6" w:rsidRDefault="000F11A6">
      <w:r>
        <w:separator/>
      </w:r>
    </w:p>
  </w:footnote>
  <w:footnote w:type="continuationSeparator" w:id="0">
    <w:p w14:paraId="471BA59C" w14:textId="77777777" w:rsidR="000F11A6" w:rsidRDefault="000F11A6" w:rsidP="008B60B2">
      <w:r>
        <w:separator/>
      </w:r>
    </w:p>
    <w:p w14:paraId="0AAD2705" w14:textId="77777777" w:rsidR="000F11A6" w:rsidRPr="00ED77FB" w:rsidRDefault="000F11A6" w:rsidP="008B60B2">
      <w:pPr>
        <w:spacing w:after="60"/>
        <w:rPr>
          <w:sz w:val="17"/>
          <w:szCs w:val="17"/>
        </w:rPr>
      </w:pPr>
      <w:r w:rsidRPr="00ED77FB">
        <w:rPr>
          <w:sz w:val="17"/>
          <w:szCs w:val="17"/>
        </w:rPr>
        <w:t>[Footnote continued from previous page]</w:t>
      </w:r>
    </w:p>
  </w:footnote>
  <w:footnote w:type="continuationNotice" w:id="1">
    <w:p w14:paraId="3E279C4A" w14:textId="77777777" w:rsidR="000F11A6" w:rsidRPr="00ED77FB" w:rsidRDefault="000F11A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777CEE2F"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B752BD">
      <w:rPr>
        <w:caps/>
      </w:rPr>
      <w:t>12</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81A4EE8"/>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487E3C"/>
    <w:multiLevelType w:val="multilevel"/>
    <w:tmpl w:val="A888FE3E"/>
    <w:lvl w:ilvl="0">
      <w:start w:val="1"/>
      <w:numFmt w:val="decimal"/>
      <w:lvlRestart w:val="0"/>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6"/>
  </w:num>
  <w:num w:numId="3" w16cid:durableId="610935826">
    <w:abstractNumId w:val="0"/>
  </w:num>
  <w:num w:numId="4" w16cid:durableId="831139084">
    <w:abstractNumId w:val="19"/>
  </w:num>
  <w:num w:numId="5" w16cid:durableId="1808082453">
    <w:abstractNumId w:val="1"/>
  </w:num>
  <w:num w:numId="6" w16cid:durableId="2058821704">
    <w:abstractNumId w:val="7"/>
  </w:num>
  <w:num w:numId="7" w16cid:durableId="719669768">
    <w:abstractNumId w:val="23"/>
  </w:num>
  <w:num w:numId="8" w16cid:durableId="436217556">
    <w:abstractNumId w:val="12"/>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4"/>
  </w:num>
  <w:num w:numId="14" w16cid:durableId="605386166">
    <w:abstractNumId w:val="5"/>
  </w:num>
  <w:num w:numId="15" w16cid:durableId="913050154">
    <w:abstractNumId w:val="11"/>
  </w:num>
  <w:num w:numId="16" w16cid:durableId="1867328089">
    <w:abstractNumId w:val="2"/>
  </w:num>
  <w:num w:numId="17" w16cid:durableId="1880973570">
    <w:abstractNumId w:val="14"/>
  </w:num>
  <w:num w:numId="18" w16cid:durableId="1983188684">
    <w:abstractNumId w:val="20"/>
  </w:num>
  <w:num w:numId="19" w16cid:durableId="1285038826">
    <w:abstractNumId w:val="6"/>
  </w:num>
  <w:num w:numId="20" w16cid:durableId="398984857">
    <w:abstractNumId w:val="26"/>
  </w:num>
  <w:num w:numId="21" w16cid:durableId="855265340">
    <w:abstractNumId w:val="9"/>
  </w:num>
  <w:num w:numId="22" w16cid:durableId="1793552887">
    <w:abstractNumId w:val="27"/>
  </w:num>
  <w:num w:numId="23" w16cid:durableId="1644579125">
    <w:abstractNumId w:val="15"/>
  </w:num>
  <w:num w:numId="24" w16cid:durableId="1029574285">
    <w:abstractNumId w:val="21"/>
  </w:num>
  <w:num w:numId="25" w16cid:durableId="1259025004">
    <w:abstractNumId w:val="31"/>
  </w:num>
  <w:num w:numId="26" w16cid:durableId="1763722631">
    <w:abstractNumId w:val="3"/>
  </w:num>
  <w:num w:numId="27" w16cid:durableId="506360306">
    <w:abstractNumId w:val="10"/>
  </w:num>
  <w:num w:numId="28" w16cid:durableId="499587443">
    <w:abstractNumId w:val="28"/>
  </w:num>
  <w:num w:numId="29" w16cid:durableId="1784225043">
    <w:abstractNumId w:val="32"/>
  </w:num>
  <w:num w:numId="30" w16cid:durableId="780606270">
    <w:abstractNumId w:val="29"/>
  </w:num>
  <w:num w:numId="31" w16cid:durableId="1069696050">
    <w:abstractNumId w:val="25"/>
  </w:num>
  <w:num w:numId="32" w16cid:durableId="1875386754">
    <w:abstractNumId w:val="30"/>
  </w:num>
  <w:num w:numId="33" w16cid:durableId="1676178717">
    <w:abstractNumId w:val="8"/>
  </w:num>
  <w:num w:numId="34" w16cid:durableId="1896768926">
    <w:abstractNumId w:val="1"/>
  </w:num>
  <w:num w:numId="35" w16cid:durableId="1777361971">
    <w:abstractNumId w:val="1"/>
  </w:num>
  <w:num w:numId="36" w16cid:durableId="1669552336">
    <w:abstractNumId w:val="1"/>
  </w:num>
  <w:num w:numId="37" w16cid:durableId="13128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D3DAB"/>
    <w:rsid w:val="000D42A9"/>
    <w:rsid w:val="000E0064"/>
    <w:rsid w:val="000F11A6"/>
    <w:rsid w:val="000F5E56"/>
    <w:rsid w:val="001362EE"/>
    <w:rsid w:val="001406E1"/>
    <w:rsid w:val="00140F22"/>
    <w:rsid w:val="00155D8A"/>
    <w:rsid w:val="001647D5"/>
    <w:rsid w:val="00167832"/>
    <w:rsid w:val="00176FD1"/>
    <w:rsid w:val="001832A6"/>
    <w:rsid w:val="0019592A"/>
    <w:rsid w:val="001D4107"/>
    <w:rsid w:val="00203D24"/>
    <w:rsid w:val="002043C2"/>
    <w:rsid w:val="00210D5F"/>
    <w:rsid w:val="0021217E"/>
    <w:rsid w:val="00224BB0"/>
    <w:rsid w:val="002326AB"/>
    <w:rsid w:val="00240CAD"/>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1638"/>
    <w:rsid w:val="004434C3"/>
    <w:rsid w:val="0045246E"/>
    <w:rsid w:val="00452F85"/>
    <w:rsid w:val="00461B51"/>
    <w:rsid w:val="004647DA"/>
    <w:rsid w:val="00474062"/>
    <w:rsid w:val="00477D6B"/>
    <w:rsid w:val="0048522D"/>
    <w:rsid w:val="004D29A8"/>
    <w:rsid w:val="004F1756"/>
    <w:rsid w:val="004F2DEB"/>
    <w:rsid w:val="005019FF"/>
    <w:rsid w:val="0050470A"/>
    <w:rsid w:val="0053057A"/>
    <w:rsid w:val="00556076"/>
    <w:rsid w:val="00560A29"/>
    <w:rsid w:val="005740C5"/>
    <w:rsid w:val="00591E8C"/>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401D"/>
    <w:rsid w:val="006B5C12"/>
    <w:rsid w:val="006D27D2"/>
    <w:rsid w:val="006D3408"/>
    <w:rsid w:val="006D7AAB"/>
    <w:rsid w:val="006D7C7A"/>
    <w:rsid w:val="006F641A"/>
    <w:rsid w:val="0070778E"/>
    <w:rsid w:val="00720EFD"/>
    <w:rsid w:val="00750C1A"/>
    <w:rsid w:val="007854AF"/>
    <w:rsid w:val="0079149A"/>
    <w:rsid w:val="00793A7C"/>
    <w:rsid w:val="007969D1"/>
    <w:rsid w:val="007A0E2A"/>
    <w:rsid w:val="007A398A"/>
    <w:rsid w:val="007A6659"/>
    <w:rsid w:val="007C4902"/>
    <w:rsid w:val="007D1613"/>
    <w:rsid w:val="007E4889"/>
    <w:rsid w:val="007E4C0E"/>
    <w:rsid w:val="00820911"/>
    <w:rsid w:val="008243C0"/>
    <w:rsid w:val="00881F2D"/>
    <w:rsid w:val="008A134B"/>
    <w:rsid w:val="008A5C4D"/>
    <w:rsid w:val="008B2CC1"/>
    <w:rsid w:val="008B60B2"/>
    <w:rsid w:val="008D1B10"/>
    <w:rsid w:val="008F1C96"/>
    <w:rsid w:val="0090731E"/>
    <w:rsid w:val="00916EE2"/>
    <w:rsid w:val="0093527D"/>
    <w:rsid w:val="0094554E"/>
    <w:rsid w:val="00947238"/>
    <w:rsid w:val="009476FE"/>
    <w:rsid w:val="0095252A"/>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752BD"/>
    <w:rsid w:val="00B86A18"/>
    <w:rsid w:val="00B92F1F"/>
    <w:rsid w:val="00B953D5"/>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DF49A8"/>
    <w:rsid w:val="00E15015"/>
    <w:rsid w:val="00E15F75"/>
    <w:rsid w:val="00E175A5"/>
    <w:rsid w:val="00E17738"/>
    <w:rsid w:val="00E23ECB"/>
    <w:rsid w:val="00E319DF"/>
    <w:rsid w:val="00E335FE"/>
    <w:rsid w:val="00E639D4"/>
    <w:rsid w:val="00E66CC5"/>
    <w:rsid w:val="00E91C3A"/>
    <w:rsid w:val="00EA2B00"/>
    <w:rsid w:val="00EA7D6E"/>
    <w:rsid w:val="00EB2F76"/>
    <w:rsid w:val="00EC4E49"/>
    <w:rsid w:val="00ED5F52"/>
    <w:rsid w:val="00ED6EB7"/>
    <w:rsid w:val="00ED77FB"/>
    <w:rsid w:val="00EE307E"/>
    <w:rsid w:val="00EE45FA"/>
    <w:rsid w:val="00F043DE"/>
    <w:rsid w:val="00F10E7C"/>
    <w:rsid w:val="00F1217E"/>
    <w:rsid w:val="00F248CE"/>
    <w:rsid w:val="00F436E3"/>
    <w:rsid w:val="00F66152"/>
    <w:rsid w:val="00F76CB4"/>
    <w:rsid w:val="00F86BD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customStyle="1" w:styleId="ONUMEChar">
    <w:name w:val="ONUM E Char"/>
    <w:basedOn w:val="DefaultParagraphFont"/>
    <w:link w:val="ONUME"/>
    <w:rsid w:val="00B752BD"/>
    <w:rPr>
      <w:rFonts w:ascii="Arial" w:eastAsia="SimSun" w:hAnsi="Arial" w:cs="Calibri"/>
      <w:sz w:val="22"/>
      <w:szCs w:val="22"/>
      <w:lang w:val="en-US" w:eastAsia="zh-CN"/>
    </w:rPr>
  </w:style>
  <w:style w:type="paragraph" w:styleId="NoSpacing">
    <w:name w:val="No Spacing"/>
    <w:uiPriority w:val="1"/>
    <w:qFormat/>
    <w:rsid w:val="00B752B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CWS/13/12 (Arabic) </vt:lpstr>
    </vt:vector>
  </TitlesOfParts>
  <Company>WIPO</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CWS/13/12 (Arabic) </dc:title>
  <dc:subject>تقرير فرقة العمل المعنية بالتحول الرقمي عن المهمات رقم 62 و63 و65</dc:subject>
  <dc:creator>WIPO</dc:creator>
  <cp:keywords>WIPO CWS Thirteenth Session, Report, Digital Transformation Task Force </cp:keywords>
  <cp:lastModifiedBy>Author</cp:lastModifiedBy>
  <cp:revision>8</cp:revision>
  <cp:lastPrinted>2025-10-27T12:55:00Z</cp:lastPrinted>
  <dcterms:created xsi:type="dcterms:W3CDTF">2025-10-27T12:54:00Z</dcterms:created>
  <dcterms:modified xsi:type="dcterms:W3CDTF">2025-10-30T17:25:00Z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